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623" w14:paraId="0B48FE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D979EE" w14:textId="1281B7DD" w:rsidR="00751A4A" w:rsidRPr="00CD6623" w:rsidRDefault="00344BD7" w:rsidP="0010095E">
            <w:pPr>
              <w:pStyle w:val="EPName"/>
            </w:pPr>
            <w:r w:rsidRPr="00CD6623">
              <w:t>Европейски</w:t>
            </w:r>
            <w:r w:rsidR="00D653F9" w:rsidRPr="00CD6623">
              <w:t xml:space="preserve"> парламент</w:t>
            </w:r>
          </w:p>
          <w:p w14:paraId="59278523" w14:textId="747DD441" w:rsidR="00751A4A" w:rsidRPr="00CD66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623">
              <w:t>2024</w:t>
            </w:r>
            <w:r w:rsidR="00344BD7">
              <w:rPr>
                <w:lang w:val="en-GB"/>
              </w:rPr>
              <w:t> – </w:t>
            </w:r>
            <w:r w:rsidR="00817416" w:rsidRPr="00CD6623">
              <w:t>202</w:t>
            </w:r>
            <w:r w:rsidRPr="00CD6623">
              <w:t>9</w:t>
            </w:r>
          </w:p>
        </w:tc>
        <w:tc>
          <w:tcPr>
            <w:tcW w:w="2268" w:type="dxa"/>
            <w:shd w:val="clear" w:color="auto" w:fill="auto"/>
          </w:tcPr>
          <w:p w14:paraId="5C2B7C36" w14:textId="77777777" w:rsidR="00751A4A" w:rsidRPr="00CD6623" w:rsidRDefault="00187494" w:rsidP="0010095E">
            <w:pPr>
              <w:pStyle w:val="EPLogo"/>
            </w:pPr>
            <w:r w:rsidRPr="00CD6623">
              <w:rPr>
                <w:noProof/>
                <w:lang w:eastAsia="ja-JP"/>
              </w:rPr>
              <w:drawing>
                <wp:inline distT="0" distB="0" distL="0" distR="0" wp14:anchorId="7264CD2E" wp14:editId="202046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74225" w14:textId="77777777" w:rsidR="00D058B8" w:rsidRPr="00CD6623" w:rsidRDefault="00D058B8" w:rsidP="004C5D52">
      <w:pPr>
        <w:pStyle w:val="LineTop"/>
      </w:pPr>
    </w:p>
    <w:p w14:paraId="6AC13DDC" w14:textId="77777777" w:rsidR="00680577" w:rsidRPr="00CD6623" w:rsidRDefault="00D653F9" w:rsidP="00680577">
      <w:pPr>
        <w:pStyle w:val="EPBodyTA1"/>
      </w:pPr>
      <w:r w:rsidRPr="00CD6623">
        <w:t>ПРИЕТИ ТЕКСТОВЕ</w:t>
      </w:r>
    </w:p>
    <w:p w14:paraId="126F1883" w14:textId="77777777" w:rsidR="00D058B8" w:rsidRPr="00CD6623" w:rsidRDefault="00D058B8" w:rsidP="00D058B8">
      <w:pPr>
        <w:pStyle w:val="LineBottom"/>
      </w:pPr>
    </w:p>
    <w:p w14:paraId="4B0C092B" w14:textId="5AEB448F" w:rsidR="00D653F9" w:rsidRPr="00CD6623" w:rsidRDefault="00D653F9" w:rsidP="00D653F9">
      <w:pPr>
        <w:pStyle w:val="ATHeading1"/>
      </w:pPr>
      <w:bookmarkStart w:id="0" w:name="TANumber"/>
      <w:r w:rsidRPr="00CD6623">
        <w:t>P10_TA(2025)0</w:t>
      </w:r>
      <w:r w:rsidR="00696463">
        <w:t>3</w:t>
      </w:r>
      <w:r w:rsidRPr="00CD6623">
        <w:t>0</w:t>
      </w:r>
      <w:r w:rsidR="00696463">
        <w:t>4</w:t>
      </w:r>
      <w:bookmarkEnd w:id="0"/>
    </w:p>
    <w:p w14:paraId="27C89D93" w14:textId="77777777" w:rsidR="00D653F9" w:rsidRPr="00CD6623" w:rsidRDefault="00D653F9" w:rsidP="00D653F9">
      <w:pPr>
        <w:pStyle w:val="ATHeading2"/>
      </w:pPr>
      <w:bookmarkStart w:id="1" w:name="title"/>
      <w:r w:rsidRPr="00CD6623">
        <w:t xml:space="preserve">Положението в областта на правовата държава и правата на човека в Тунис, по-специално случаят Соня </w:t>
      </w:r>
      <w:proofErr w:type="spellStart"/>
      <w:r w:rsidRPr="00CD6623">
        <w:t>Дахмани</w:t>
      </w:r>
      <w:bookmarkEnd w:id="1"/>
      <w:proofErr w:type="spellEnd"/>
    </w:p>
    <w:p w14:paraId="5651D9E8" w14:textId="77777777" w:rsidR="00D653F9" w:rsidRPr="00CD6623" w:rsidRDefault="00D653F9" w:rsidP="00D653F9">
      <w:pPr>
        <w:rPr>
          <w:i/>
          <w:vanish/>
        </w:rPr>
      </w:pPr>
      <w:r w:rsidRPr="00CD6623">
        <w:rPr>
          <w:i/>
        </w:rPr>
        <w:fldChar w:fldCharType="begin"/>
      </w:r>
      <w:r w:rsidRPr="00CD6623">
        <w:rPr>
          <w:i/>
        </w:rPr>
        <w:instrText xml:space="preserve"> TC"(</w:instrText>
      </w:r>
      <w:bookmarkStart w:id="2" w:name="DocNumber"/>
      <w:r w:rsidRPr="00CD6623">
        <w:rPr>
          <w:i/>
        </w:rPr>
        <w:instrText xml:space="preserve">B10-0518, 0520, 0525, 0532 </w:instrText>
      </w:r>
      <w:proofErr w:type="spellStart"/>
      <w:r w:rsidRPr="00CD6623">
        <w:rPr>
          <w:i/>
        </w:rPr>
        <w:instrText>and</w:instrText>
      </w:r>
      <w:proofErr w:type="spellEnd"/>
      <w:r w:rsidRPr="00CD6623">
        <w:rPr>
          <w:i/>
        </w:rPr>
        <w:instrText xml:space="preserve"> 0538/2025</w:instrText>
      </w:r>
      <w:bookmarkEnd w:id="2"/>
      <w:r w:rsidRPr="00CD6623">
        <w:rPr>
          <w:i/>
        </w:rPr>
        <w:instrText xml:space="preserve">)"\l3 \n&gt; \* MERGEFORMAT </w:instrText>
      </w:r>
      <w:r w:rsidRPr="00CD6623">
        <w:rPr>
          <w:i/>
        </w:rPr>
        <w:fldChar w:fldCharType="end"/>
      </w:r>
    </w:p>
    <w:p w14:paraId="1D217A64" w14:textId="77777777" w:rsidR="00D653F9" w:rsidRPr="00CD6623" w:rsidRDefault="00D653F9" w:rsidP="00D653F9">
      <w:pPr>
        <w:rPr>
          <w:vanish/>
        </w:rPr>
      </w:pPr>
      <w:bookmarkStart w:id="3" w:name="PE"/>
      <w:r w:rsidRPr="00CD6623">
        <w:rPr>
          <w:vanish/>
        </w:rPr>
        <w:t>PE778.991</w:t>
      </w:r>
      <w:bookmarkEnd w:id="3"/>
    </w:p>
    <w:p w14:paraId="28611164" w14:textId="41216E66" w:rsidR="00D653F9" w:rsidRPr="00CD6623" w:rsidRDefault="00D653F9" w:rsidP="00D653F9">
      <w:pPr>
        <w:pStyle w:val="ATHeading3"/>
      </w:pPr>
      <w:bookmarkStart w:id="4" w:name="Sujet"/>
      <w:r w:rsidRPr="00CD6623">
        <w:t xml:space="preserve">Резолюция на Европейския парламент от </w:t>
      </w:r>
      <w:r w:rsidR="00344BD7">
        <w:rPr>
          <w:lang w:val="en-GB"/>
        </w:rPr>
        <w:t xml:space="preserve">27 </w:t>
      </w:r>
      <w:r w:rsidR="00344BD7">
        <w:t>ноември</w:t>
      </w:r>
      <w:r w:rsidRPr="00CD6623">
        <w:t xml:space="preserve"> 2025 г. относно положението с принципите на правовата държава и правата на човека в Тунис, и по-специално случая на Соня </w:t>
      </w:r>
      <w:proofErr w:type="spellStart"/>
      <w:r w:rsidRPr="00CD6623">
        <w:t>Дахмани</w:t>
      </w:r>
      <w:bookmarkEnd w:id="4"/>
      <w:proofErr w:type="spellEnd"/>
      <w:r w:rsidRPr="00CD6623">
        <w:t xml:space="preserve"> </w:t>
      </w:r>
      <w:bookmarkStart w:id="5" w:name="References"/>
      <w:r w:rsidRPr="00CD6623">
        <w:t>(2025/2988(RSP))</w:t>
      </w:r>
      <w:bookmarkEnd w:id="5"/>
    </w:p>
    <w:p w14:paraId="6E0571E1" w14:textId="77777777" w:rsidR="000057FD" w:rsidRPr="00CD6623" w:rsidRDefault="000057FD" w:rsidP="000057FD">
      <w:pPr>
        <w:pStyle w:val="EPComma"/>
      </w:pPr>
      <w:bookmarkStart w:id="6" w:name="TextBodyBegin"/>
      <w:bookmarkEnd w:id="6"/>
      <w:r w:rsidRPr="00CD6623">
        <w:rPr>
          <w:i/>
          <w:iCs/>
        </w:rPr>
        <w:t>Европейският парламент</w:t>
      </w:r>
      <w:r w:rsidRPr="00CD6623">
        <w:t>,</w:t>
      </w:r>
    </w:p>
    <w:p w14:paraId="61EEA984" w14:textId="77777777" w:rsidR="000057FD" w:rsidRPr="00CD6623" w:rsidRDefault="000057FD" w:rsidP="000057FD">
      <w:pPr>
        <w:pStyle w:val="NormalHanging12a"/>
        <w:rPr>
          <w:rFonts w:eastAsiaTheme="minorEastAsia"/>
        </w:rPr>
      </w:pPr>
      <w:r w:rsidRPr="00CD6623">
        <w:t>–</w:t>
      </w:r>
      <w:r w:rsidRPr="00CD6623">
        <w:tab/>
        <w:t>като взе предвид предишните си резолюции относно Тунис,</w:t>
      </w:r>
    </w:p>
    <w:p w14:paraId="1BEA12A2" w14:textId="77777777" w:rsidR="000057FD" w:rsidRPr="00CD6623" w:rsidRDefault="000057FD" w:rsidP="000057FD">
      <w:pPr>
        <w:pStyle w:val="NormalHanging12a"/>
        <w:rPr>
          <w:rFonts w:eastAsiaTheme="minorEastAsia"/>
        </w:rPr>
      </w:pPr>
      <w:r w:rsidRPr="00CD6623">
        <w:t>–</w:t>
      </w:r>
      <w:r w:rsidRPr="00CD6623">
        <w:tab/>
        <w:t>като взе предвид споразумението за асоцииране между ЕС и Тунис,</w:t>
      </w:r>
    </w:p>
    <w:p w14:paraId="7DD996FB" w14:textId="77777777" w:rsidR="000057FD" w:rsidRPr="00CD6623" w:rsidRDefault="000057FD" w:rsidP="000057FD">
      <w:pPr>
        <w:pStyle w:val="NormalHanging12a"/>
        <w:rPr>
          <w:rFonts w:eastAsiaTheme="minorEastAsia"/>
        </w:rPr>
      </w:pPr>
      <w:r w:rsidRPr="00CD6623">
        <w:t>–</w:t>
      </w:r>
      <w:r w:rsidRPr="00CD6623">
        <w:tab/>
        <w:t>като взе предвид меморандума за разбирателство между ЕС и Тунис от 1995 г.,</w:t>
      </w:r>
    </w:p>
    <w:p w14:paraId="1F821BFD" w14:textId="77777777" w:rsidR="000057FD" w:rsidRPr="00CD6623" w:rsidRDefault="000057FD" w:rsidP="000057FD">
      <w:pPr>
        <w:pStyle w:val="NormalHanging12a"/>
      </w:pPr>
      <w:r w:rsidRPr="00CD6623">
        <w:t>–</w:t>
      </w:r>
      <w:r w:rsidRPr="00CD6623">
        <w:tab/>
        <w:t>като взе предвид член 150, параграф 5 и член 136, параграф 4 от своя Правилник за дейността,</w:t>
      </w:r>
    </w:p>
    <w:p w14:paraId="5D7875AD" w14:textId="77777777" w:rsidR="000057FD" w:rsidRPr="00CD6623" w:rsidRDefault="000057FD" w:rsidP="000057FD">
      <w:pPr>
        <w:pStyle w:val="NormalHanging12a"/>
      </w:pPr>
      <w:r w:rsidRPr="00CD6623">
        <w:t>А.</w:t>
      </w:r>
      <w:r w:rsidRPr="00CD6623">
        <w:tab/>
        <w:t xml:space="preserve">като има предвид, че адвокатът и журналист Соня </w:t>
      </w:r>
      <w:proofErr w:type="spellStart"/>
      <w:r w:rsidRPr="00CD6623">
        <w:t>Дахмани</w:t>
      </w:r>
      <w:proofErr w:type="spellEnd"/>
      <w:r w:rsidRPr="00CD6623">
        <w:t xml:space="preserve"> беше арестувана през май 2024 г. в офиса на тунизийската адвокатска колегия след нейната поява по телевизионния канал </w:t>
      </w:r>
      <w:proofErr w:type="spellStart"/>
      <w:r w:rsidRPr="00CD6623">
        <w:t>Carthage</w:t>
      </w:r>
      <w:proofErr w:type="spellEnd"/>
      <w:r w:rsidRPr="00CD6623">
        <w:t>+; като има предвид, че след задържането си тя е изправена пред пет отделни съдебни производства и е получила три присъди; като има предвид, че са планирани допълнителни съдебни процеси и че общата ѝ присъда би могла да достигне 24 години;</w:t>
      </w:r>
    </w:p>
    <w:p w14:paraId="71475399" w14:textId="77777777" w:rsidR="000057FD" w:rsidRPr="00CD6623" w:rsidRDefault="000057FD" w:rsidP="000057FD">
      <w:pPr>
        <w:pStyle w:val="NormalHanging12a"/>
      </w:pPr>
      <w:r w:rsidRPr="00CD6623">
        <w:t>Б.</w:t>
      </w:r>
      <w:r w:rsidRPr="00CD6623">
        <w:tab/>
        <w:t xml:space="preserve">като има предвид, че Соня </w:t>
      </w:r>
      <w:proofErr w:type="spellStart"/>
      <w:r w:rsidRPr="00CD6623">
        <w:t>Дахмани</w:t>
      </w:r>
      <w:proofErr w:type="spellEnd"/>
      <w:r w:rsidRPr="00CD6623">
        <w:t xml:space="preserve"> е подложена на нечовешки и унизителни условия на задържане, без достъп до медицински грижи;</w:t>
      </w:r>
    </w:p>
    <w:p w14:paraId="585F080C" w14:textId="77777777" w:rsidR="000057FD" w:rsidRPr="00CD6623" w:rsidRDefault="000057FD" w:rsidP="000057FD">
      <w:pPr>
        <w:pStyle w:val="NormalHanging12a"/>
      </w:pPr>
      <w:r w:rsidRPr="00CD6623">
        <w:t>В.</w:t>
      </w:r>
      <w:r w:rsidRPr="00CD6623">
        <w:tab/>
        <w:t xml:space="preserve">като има предвид, че сестра ѝ </w:t>
      </w:r>
      <w:proofErr w:type="spellStart"/>
      <w:r w:rsidRPr="00CD6623">
        <w:t>Рамла</w:t>
      </w:r>
      <w:proofErr w:type="spellEnd"/>
      <w:r w:rsidRPr="00CD6623">
        <w:t xml:space="preserve"> </w:t>
      </w:r>
      <w:proofErr w:type="spellStart"/>
      <w:r w:rsidRPr="00CD6623">
        <w:t>Дахмани</w:t>
      </w:r>
      <w:proofErr w:type="spellEnd"/>
      <w:r w:rsidRPr="00CD6623">
        <w:t xml:space="preserve"> беше осъдена задочно през юли 2025 г. по обвинения в разпространяване на неверни новини;</w:t>
      </w:r>
    </w:p>
    <w:p w14:paraId="50C48AC0" w14:textId="77777777" w:rsidR="000057FD" w:rsidRPr="00CD6623" w:rsidRDefault="000057FD" w:rsidP="000057FD">
      <w:pPr>
        <w:pStyle w:val="NormalHanging12a"/>
      </w:pPr>
      <w:r w:rsidRPr="00CD6623">
        <w:t>1.</w:t>
      </w:r>
      <w:r w:rsidRPr="00CD6623">
        <w:tab/>
        <w:t xml:space="preserve">осъжда произволното задържане, съдебния тормоз и осъждането на адвоката и медиен коментатор Соня </w:t>
      </w:r>
      <w:proofErr w:type="spellStart"/>
      <w:r w:rsidRPr="00CD6623">
        <w:t>Дахмани</w:t>
      </w:r>
      <w:proofErr w:type="spellEnd"/>
      <w:r w:rsidRPr="00CD6623">
        <w:t>;</w:t>
      </w:r>
    </w:p>
    <w:p w14:paraId="1F0BD227" w14:textId="77777777" w:rsidR="000057FD" w:rsidRPr="00CD6623" w:rsidRDefault="000057FD" w:rsidP="000057FD">
      <w:pPr>
        <w:pStyle w:val="NormalHanging12a"/>
      </w:pPr>
      <w:r w:rsidRPr="00CD6623">
        <w:t>2.</w:t>
      </w:r>
      <w:r w:rsidRPr="00CD6623">
        <w:tab/>
        <w:t xml:space="preserve">изисква незабавното и безусловно освобождаване на Соня </w:t>
      </w:r>
      <w:proofErr w:type="spellStart"/>
      <w:r w:rsidRPr="00CD6623">
        <w:t>Дахмани</w:t>
      </w:r>
      <w:proofErr w:type="spellEnd"/>
      <w:r w:rsidRPr="00CD6623">
        <w:t xml:space="preserve"> и на всички лица, задържани заради упражняването на правото си на свобода на изразяване на мнение, включително политически затворници и защитници на правата на човека; настоятелно призовава тунизийските органи да оттеглят всички обвинения срещу </w:t>
      </w:r>
      <w:r w:rsidRPr="00CD6623">
        <w:lastRenderedPageBreak/>
        <w:t xml:space="preserve">Соня </w:t>
      </w:r>
      <w:proofErr w:type="spellStart"/>
      <w:r w:rsidRPr="00CD6623">
        <w:t>Дахмани</w:t>
      </w:r>
      <w:proofErr w:type="spellEnd"/>
      <w:r w:rsidRPr="00CD6623">
        <w:t xml:space="preserve"> и нейната сестра и да се въздържат от тормоз над тяхното семейство;</w:t>
      </w:r>
    </w:p>
    <w:p w14:paraId="2389D2F3" w14:textId="77777777" w:rsidR="000057FD" w:rsidRPr="00CD6623" w:rsidRDefault="000057FD" w:rsidP="000057FD">
      <w:pPr>
        <w:pStyle w:val="NormalHanging12a"/>
      </w:pPr>
      <w:r w:rsidRPr="00CD6623">
        <w:t>3.</w:t>
      </w:r>
      <w:r w:rsidRPr="00CD6623">
        <w:tab/>
      </w:r>
      <w:bookmarkStart w:id="7" w:name="_Hlk214916283"/>
      <w:r w:rsidRPr="00CD6623">
        <w:t xml:space="preserve">осъжда условията, при които е задържана Соня </w:t>
      </w:r>
      <w:proofErr w:type="spellStart"/>
      <w:r w:rsidRPr="00CD6623">
        <w:t>Дахмани</w:t>
      </w:r>
      <w:proofErr w:type="spellEnd"/>
      <w:r w:rsidRPr="00CD6623">
        <w:t>, включително неадекватните медицински грижи, ограничената комуникация с нейното семейство и правния ѝ съветник и забавените изслушвания, наред с множеството дела, насочени към удължаване на задържането ѝ</w:t>
      </w:r>
      <w:bookmarkEnd w:id="7"/>
      <w:r w:rsidRPr="00CD6623">
        <w:t>;</w:t>
      </w:r>
    </w:p>
    <w:p w14:paraId="796E7144" w14:textId="77777777" w:rsidR="000057FD" w:rsidRPr="00CD6623" w:rsidRDefault="000057FD" w:rsidP="000057FD">
      <w:pPr>
        <w:pStyle w:val="NormalHanging12a"/>
      </w:pPr>
      <w:r w:rsidRPr="00CD6623">
        <w:t>4.</w:t>
      </w:r>
      <w:r w:rsidRPr="00CD6623">
        <w:tab/>
        <w:t>настоява тунизийските органи да защитават свободата на събранията и на изразяване на мнение, да гарантират независимостта на съдебната власт, да предотвратяват намесата на изпълнителната власт в съдебните функции и да отстояват правата и свободите, гарантирани от Конституцията на Тунис; осъжда ескалиращите произволни задържания, политически мотивираните преследвания и ограниченията на свободите;</w:t>
      </w:r>
    </w:p>
    <w:p w14:paraId="1CFC385D" w14:textId="77777777" w:rsidR="000057FD" w:rsidRPr="00CD6623" w:rsidRDefault="000057FD" w:rsidP="000057FD">
      <w:pPr>
        <w:pStyle w:val="NormalHanging12a"/>
      </w:pPr>
      <w:r w:rsidRPr="00CD6623">
        <w:t>5.</w:t>
      </w:r>
      <w:r w:rsidRPr="00CD6623">
        <w:tab/>
        <w:t>призовава за пълна отмяна на Наредба-закон № 54, която доведе до наказателно преследване за изразяване на мнение, както и на всяко неправомерно законодателство, използвано за ограничаване на свободите;</w:t>
      </w:r>
    </w:p>
    <w:p w14:paraId="130B089A" w14:textId="77777777" w:rsidR="000057FD" w:rsidRPr="00CD6623" w:rsidRDefault="000057FD" w:rsidP="000057FD">
      <w:pPr>
        <w:pStyle w:val="NormalHanging12a"/>
      </w:pPr>
      <w:r w:rsidRPr="00CD6623">
        <w:t>6.</w:t>
      </w:r>
      <w:r w:rsidRPr="00CD6623">
        <w:tab/>
        <w:t>призовава институциите на ЕС да изразят дълбока загриженост във връзка с влошаването на положението с правата на човека в Тунис и да предприемат координирани дипломатически действия, насочени към улесняване на освобождаването на политически затворници;</w:t>
      </w:r>
    </w:p>
    <w:p w14:paraId="2955B3FE" w14:textId="77777777" w:rsidR="000057FD" w:rsidRPr="00CD6623" w:rsidRDefault="000057FD" w:rsidP="000057FD">
      <w:pPr>
        <w:pStyle w:val="NormalHanging12a"/>
      </w:pPr>
      <w:r w:rsidRPr="00CD6623">
        <w:t>7.</w:t>
      </w:r>
      <w:r w:rsidRPr="00CD6623">
        <w:tab/>
        <w:t>призовава тунизийските органи да спазват задълженията си съгласно международното право в областта на правата на човека и Споразумението за асоцииране между ЕС и Тунис; отбелязва неотдавнашното отлагане на Съвета за асоцииране ЕС-Тунис и призовава Комисията да постави положението с правата на човека в центъра на всякакъв политически диалог, финансова помощ, сътрудничество в областта на сигурността и споразумения с Тунис;</w:t>
      </w:r>
    </w:p>
    <w:p w14:paraId="57E6EC04" w14:textId="77777777" w:rsidR="000057FD" w:rsidRPr="00CD6623" w:rsidRDefault="000057FD" w:rsidP="000057FD">
      <w:pPr>
        <w:pStyle w:val="NormalHanging12a"/>
      </w:pPr>
      <w:r w:rsidRPr="00CD6623">
        <w:t>8.</w:t>
      </w:r>
      <w:r w:rsidRPr="00CD6623">
        <w:tab/>
        <w:t>изразява непоколебима солидарност с гражданското общество, защитниците на правата на човека, независимите медии и журналисти и адвокатските сдружения в Тунис; призовава Комисията да отговори на решението на правителството на Тунис да блокира банковите сметки на организациите на гражданското общество; подчертава решаващата роля, която практикуващите юристи играят за защитата на принципите на правовата държава и почтеността на съдебната система;</w:t>
      </w:r>
    </w:p>
    <w:p w14:paraId="50F94000" w14:textId="77777777" w:rsidR="000057FD" w:rsidRPr="00CD6623" w:rsidRDefault="000057FD" w:rsidP="000057FD">
      <w:pPr>
        <w:pStyle w:val="NormalHanging12a"/>
      </w:pPr>
      <w:r w:rsidRPr="00CD6623">
        <w:t>9.</w:t>
      </w:r>
      <w:r w:rsidRPr="00CD6623">
        <w:tab/>
        <w:t>насърчава Тунис да се заеме с многобройните предизвикателства в целия регион, като поеме роля в отстояването на правата на човека и демокрацията;</w:t>
      </w:r>
    </w:p>
    <w:p w14:paraId="05192515" w14:textId="021D844A" w:rsidR="00CD6623" w:rsidRPr="00CD6623" w:rsidRDefault="000057FD" w:rsidP="00CD6623">
      <w:pPr>
        <w:pStyle w:val="NormalHanging12a"/>
      </w:pPr>
      <w:r w:rsidRPr="00CD6623">
        <w:t>10.</w:t>
      </w:r>
      <w:r w:rsidRPr="00CD6623">
        <w:tab/>
        <w:t>възлага на своя председател да предаде настоящата резолюция на Съвета, на Комисията, на върховния представител на Съюза по въпросите на външните работи и политиката на сигурност и заместник-председател на Комисията, на правителствата и парламентите на държавите членки, както и на тунизийските органи.</w:t>
      </w:r>
    </w:p>
    <w:p w14:paraId="3C465ECD" w14:textId="3C3B6A82" w:rsidR="00E365E1" w:rsidRPr="00CD6623" w:rsidRDefault="00E365E1" w:rsidP="00D653F9"/>
    <w:sectPr w:rsidR="00E365E1" w:rsidRPr="00CD6623" w:rsidSect="00CD66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1D151" w14:textId="77777777" w:rsidR="00D653F9" w:rsidRPr="00CD6623" w:rsidRDefault="00D653F9">
      <w:r w:rsidRPr="00CD6623">
        <w:separator/>
      </w:r>
    </w:p>
  </w:endnote>
  <w:endnote w:type="continuationSeparator" w:id="0">
    <w:p w14:paraId="6FE94F4C" w14:textId="77777777" w:rsidR="00D653F9" w:rsidRPr="00CD6623" w:rsidRDefault="00D653F9">
      <w:r w:rsidRPr="00CD66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6B45B" w14:textId="77777777" w:rsidR="00064002" w:rsidRPr="00CD66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3974" w14:textId="77777777" w:rsidR="00064002" w:rsidRPr="00CD66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9CB1" w14:textId="77777777" w:rsidR="00064002" w:rsidRPr="00CD66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58525" w14:textId="77777777" w:rsidR="00D653F9" w:rsidRPr="00CD6623" w:rsidRDefault="00D653F9">
      <w:r w:rsidRPr="00CD6623">
        <w:separator/>
      </w:r>
    </w:p>
  </w:footnote>
  <w:footnote w:type="continuationSeparator" w:id="0">
    <w:p w14:paraId="0C93535E" w14:textId="77777777" w:rsidR="00D653F9" w:rsidRPr="00CD6623" w:rsidRDefault="00D653F9">
      <w:r w:rsidRPr="00CD66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387C" w14:textId="77777777" w:rsidR="00064002" w:rsidRPr="00CD66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E83D3" w14:textId="77777777" w:rsidR="00064002" w:rsidRPr="00CD66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EA502" w14:textId="77777777" w:rsidR="00064002" w:rsidRPr="00CD66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0368605">
    <w:abstractNumId w:val="9"/>
  </w:num>
  <w:num w:numId="2" w16cid:durableId="1215578380">
    <w:abstractNumId w:val="9"/>
  </w:num>
  <w:num w:numId="3" w16cid:durableId="556404863">
    <w:abstractNumId w:val="7"/>
  </w:num>
  <w:num w:numId="4" w16cid:durableId="1273324838">
    <w:abstractNumId w:val="7"/>
  </w:num>
  <w:num w:numId="5" w16cid:durableId="536504879">
    <w:abstractNumId w:val="6"/>
  </w:num>
  <w:num w:numId="6" w16cid:durableId="1413502422">
    <w:abstractNumId w:val="6"/>
  </w:num>
  <w:num w:numId="7" w16cid:durableId="813596209">
    <w:abstractNumId w:val="5"/>
  </w:num>
  <w:num w:numId="8" w16cid:durableId="1371296026">
    <w:abstractNumId w:val="5"/>
  </w:num>
  <w:num w:numId="9" w16cid:durableId="73860374">
    <w:abstractNumId w:val="4"/>
  </w:num>
  <w:num w:numId="10" w16cid:durableId="462502020">
    <w:abstractNumId w:val="4"/>
  </w:num>
  <w:num w:numId="11" w16cid:durableId="2054038055">
    <w:abstractNumId w:val="8"/>
  </w:num>
  <w:num w:numId="12" w16cid:durableId="1478574020">
    <w:abstractNumId w:val="8"/>
  </w:num>
  <w:num w:numId="13" w16cid:durableId="1983804327">
    <w:abstractNumId w:val="3"/>
  </w:num>
  <w:num w:numId="14" w16cid:durableId="302124110">
    <w:abstractNumId w:val="3"/>
  </w:num>
  <w:num w:numId="15" w16cid:durableId="853886259">
    <w:abstractNumId w:val="2"/>
  </w:num>
  <w:num w:numId="16" w16cid:durableId="744886998">
    <w:abstractNumId w:val="2"/>
  </w:num>
  <w:num w:numId="17" w16cid:durableId="30233746">
    <w:abstractNumId w:val="1"/>
  </w:num>
  <w:num w:numId="18" w16cid:durableId="2035496723">
    <w:abstractNumId w:val="1"/>
  </w:num>
  <w:num w:numId="19" w16cid:durableId="151676666">
    <w:abstractNumId w:val="0"/>
  </w:num>
  <w:num w:numId="20" w16cid:durableId="2110077523">
    <w:abstractNumId w:val="0"/>
  </w:num>
  <w:num w:numId="21" w16cid:durableId="2052612304">
    <w:abstractNumId w:val="9"/>
  </w:num>
  <w:num w:numId="22" w16cid:durableId="195779366">
    <w:abstractNumId w:val="7"/>
  </w:num>
  <w:num w:numId="23" w16cid:durableId="100077016">
    <w:abstractNumId w:val="6"/>
  </w:num>
  <w:num w:numId="24" w16cid:durableId="1059981582">
    <w:abstractNumId w:val="5"/>
  </w:num>
  <w:num w:numId="25" w16cid:durableId="2013411421">
    <w:abstractNumId w:val="4"/>
  </w:num>
  <w:num w:numId="26" w16cid:durableId="18119581">
    <w:abstractNumId w:val="8"/>
  </w:num>
  <w:num w:numId="27" w16cid:durableId="882016132">
    <w:abstractNumId w:val="3"/>
  </w:num>
  <w:num w:numId="28" w16cid:durableId="2011061301">
    <w:abstractNumId w:val="2"/>
  </w:num>
  <w:num w:numId="29" w16cid:durableId="1813256976">
    <w:abstractNumId w:val="1"/>
  </w:num>
  <w:num w:numId="30" w16cid:durableId="790637377">
    <w:abstractNumId w:val="0"/>
  </w:num>
  <w:num w:numId="31" w16cid:durableId="1485077088">
    <w:abstractNumId w:val="9"/>
  </w:num>
  <w:num w:numId="32" w16cid:durableId="1196239205">
    <w:abstractNumId w:val="7"/>
  </w:num>
  <w:num w:numId="33" w16cid:durableId="1670207661">
    <w:abstractNumId w:val="6"/>
  </w:num>
  <w:num w:numId="34" w16cid:durableId="878202104">
    <w:abstractNumId w:val="5"/>
  </w:num>
  <w:num w:numId="35" w16cid:durableId="2008049969">
    <w:abstractNumId w:val="4"/>
  </w:num>
  <w:num w:numId="36" w16cid:durableId="433478738">
    <w:abstractNumId w:val="8"/>
  </w:num>
  <w:num w:numId="37" w16cid:durableId="1265845753">
    <w:abstractNumId w:val="3"/>
  </w:num>
  <w:num w:numId="38" w16cid:durableId="706754533">
    <w:abstractNumId w:val="2"/>
  </w:num>
  <w:num w:numId="39" w16cid:durableId="1224608293">
    <w:abstractNumId w:val="1"/>
  </w:num>
  <w:num w:numId="40" w16cid:durableId="1909882719">
    <w:abstractNumId w:val="0"/>
  </w:num>
  <w:num w:numId="41" w16cid:durableId="1947617372">
    <w:abstractNumId w:val="10"/>
  </w:num>
  <w:num w:numId="42" w16cid:durableId="1446919630">
    <w:abstractNumId w:val="10"/>
  </w:num>
  <w:num w:numId="43" w16cid:durableId="1670637">
    <w:abstractNumId w:val="10"/>
  </w:num>
  <w:num w:numId="44" w16cid:durableId="16502094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and 0538/2025"/>
    <w:docVar w:name="dvlangue" w:val="BG"/>
    <w:docVar w:name="dvnumam" w:val="0"/>
    <w:docVar w:name="dvpe" w:val="778.991"/>
    <w:docVar w:name="dvtitre" w:val="Резолюция на Европейския парламент от ... 2025 г. относно положението с принципите на правовата държава и правата на човека в Тунис, и по-специално случая на Соня Дахмани(2025/2988(RSP))"/>
  </w:docVars>
  <w:rsids>
    <w:rsidRoot w:val="00D653F9"/>
    <w:rsid w:val="00002272"/>
    <w:rsid w:val="000057FD"/>
    <w:rsid w:val="00064002"/>
    <w:rsid w:val="000677B9"/>
    <w:rsid w:val="00071103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BD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46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623"/>
    <w:rsid w:val="00CF071A"/>
    <w:rsid w:val="00D058B8"/>
    <w:rsid w:val="00D56C11"/>
    <w:rsid w:val="00D653F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54BEB"/>
  <w15:chartTrackingRefBased/>
  <w15:docId w15:val="{E4511CCF-0317-4EDE-AFA0-80182712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057FD"/>
    <w:pPr>
      <w:spacing w:after="240"/>
      <w:ind w:left="567" w:hanging="567"/>
    </w:pPr>
  </w:style>
  <w:style w:type="paragraph" w:customStyle="1" w:styleId="EPComma">
    <w:name w:val="EPComma"/>
    <w:basedOn w:val="Normal"/>
    <w:rsid w:val="000057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057FD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2025-11-27T11:19:00Z</dcterms:created>
  <dcterms:modified xsi:type="dcterms:W3CDTF">2025-11-27T11:19:00Z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B10-0518, 0520, 0525, 0532 and 0538/2025</vt:lpwstr>
  </property>
  <property fmtid="{D5CDD505-2E9C-101B-9397-08002B2CF9AE}" pid="4" name="&lt;Type&gt;">
    <vt:lpwstr>RR</vt:lpwstr>
  </property>
</Properties>
</file>