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1BF5" w14:paraId="298F2F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EABE66" w14:textId="77777777" w:rsidR="00751A4A" w:rsidRPr="00281BF5" w:rsidRDefault="00435B3D" w:rsidP="0010095E">
            <w:pPr>
              <w:pStyle w:val="EPName"/>
            </w:pPr>
            <w:r w:rsidRPr="00281BF5">
              <w:t>Evropský parlament</w:t>
            </w:r>
          </w:p>
          <w:p w14:paraId="3A9702C2" w14:textId="77777777" w:rsidR="00751A4A" w:rsidRPr="00281B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1BF5">
              <w:t>2024</w:t>
            </w:r>
            <w:r w:rsidR="00817416" w:rsidRPr="00281BF5">
              <w:t>-202</w:t>
            </w:r>
            <w:r w:rsidRPr="00281BF5">
              <w:t>9</w:t>
            </w:r>
          </w:p>
        </w:tc>
        <w:tc>
          <w:tcPr>
            <w:tcW w:w="2268" w:type="dxa"/>
            <w:shd w:val="clear" w:color="auto" w:fill="auto"/>
          </w:tcPr>
          <w:p w14:paraId="4E518CB1" w14:textId="77777777" w:rsidR="00751A4A" w:rsidRPr="00281BF5" w:rsidRDefault="00187494" w:rsidP="0010095E">
            <w:pPr>
              <w:pStyle w:val="EPLogo"/>
            </w:pPr>
            <w:r w:rsidRPr="00281BF5">
              <w:rPr>
                <w:noProof/>
                <w:lang w:eastAsia="ja-JP"/>
              </w:rPr>
              <w:drawing>
                <wp:inline distT="0" distB="0" distL="0" distR="0" wp14:anchorId="011EFF3D" wp14:editId="1D327F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778DD" w14:textId="77777777" w:rsidR="00D058B8" w:rsidRPr="00281BF5" w:rsidRDefault="00D058B8" w:rsidP="004C5D52">
      <w:pPr>
        <w:pStyle w:val="LineTop"/>
      </w:pPr>
    </w:p>
    <w:p w14:paraId="20849DD7" w14:textId="77777777" w:rsidR="00680577" w:rsidRPr="00281BF5" w:rsidRDefault="00435B3D" w:rsidP="00680577">
      <w:pPr>
        <w:pStyle w:val="EPBodyTA1"/>
      </w:pPr>
      <w:r w:rsidRPr="00281BF5">
        <w:t>PŘIJATÉ TEXTY</w:t>
      </w:r>
    </w:p>
    <w:p w14:paraId="1AA7F5C8" w14:textId="77777777" w:rsidR="00D058B8" w:rsidRPr="00281BF5" w:rsidRDefault="00D058B8" w:rsidP="00D058B8">
      <w:pPr>
        <w:pStyle w:val="LineBottom"/>
      </w:pPr>
    </w:p>
    <w:p w14:paraId="388CC7BB" w14:textId="23FE75F1" w:rsidR="00435B3D" w:rsidRPr="00281BF5" w:rsidRDefault="00435B3D" w:rsidP="00435B3D">
      <w:pPr>
        <w:pStyle w:val="ATHeading1"/>
      </w:pPr>
      <w:bookmarkStart w:id="0" w:name="TANumber"/>
      <w:r w:rsidRPr="00281BF5">
        <w:t>P10_TA(2025)0</w:t>
      </w:r>
      <w:bookmarkEnd w:id="0"/>
      <w:r w:rsidR="00EB0AB9">
        <w:t>304</w:t>
      </w:r>
    </w:p>
    <w:p w14:paraId="0BD7351E" w14:textId="77777777" w:rsidR="00435B3D" w:rsidRPr="00281BF5" w:rsidRDefault="00435B3D" w:rsidP="00435B3D">
      <w:pPr>
        <w:pStyle w:val="ATHeading2"/>
      </w:pPr>
      <w:bookmarkStart w:id="1" w:name="title"/>
      <w:r w:rsidRPr="00281BF5">
        <w:t xml:space="preserve">Právní stát a situace v oblasti lidských práv v Tunisku, zejména případ </w:t>
      </w:r>
      <w:proofErr w:type="spellStart"/>
      <w:r w:rsidRPr="00281BF5">
        <w:t>Sáníji</w:t>
      </w:r>
      <w:proofErr w:type="spellEnd"/>
      <w:r w:rsidRPr="00281BF5">
        <w:t xml:space="preserve"> </w:t>
      </w:r>
      <w:proofErr w:type="spellStart"/>
      <w:r w:rsidRPr="00281BF5">
        <w:t>Dahmaniové</w:t>
      </w:r>
      <w:bookmarkEnd w:id="1"/>
      <w:proofErr w:type="spellEnd"/>
    </w:p>
    <w:p w14:paraId="5A1D6DC1" w14:textId="77777777" w:rsidR="00435B3D" w:rsidRPr="00281BF5" w:rsidRDefault="00435B3D" w:rsidP="00435B3D">
      <w:pPr>
        <w:rPr>
          <w:i/>
          <w:vanish/>
        </w:rPr>
      </w:pPr>
      <w:r w:rsidRPr="00281BF5">
        <w:rPr>
          <w:i/>
        </w:rPr>
        <w:fldChar w:fldCharType="begin"/>
      </w:r>
      <w:r w:rsidRPr="00281BF5">
        <w:rPr>
          <w:i/>
        </w:rPr>
        <w:instrText xml:space="preserve"> TC"(</w:instrText>
      </w:r>
      <w:bookmarkStart w:id="2" w:name="DocNumber"/>
      <w:r w:rsidRPr="00281BF5">
        <w:rPr>
          <w:i/>
        </w:rPr>
        <w:instrText>B10-0518, 0520, 0525, 0532 a 0538/2025</w:instrText>
      </w:r>
      <w:bookmarkEnd w:id="2"/>
      <w:r w:rsidRPr="00281BF5">
        <w:rPr>
          <w:i/>
        </w:rPr>
        <w:instrText xml:space="preserve">)"\l3 \n&gt; \* MERGEFORMAT </w:instrText>
      </w:r>
      <w:r w:rsidRPr="00281BF5">
        <w:rPr>
          <w:i/>
        </w:rPr>
        <w:fldChar w:fldCharType="end"/>
      </w:r>
    </w:p>
    <w:p w14:paraId="3608653F" w14:textId="77777777" w:rsidR="00435B3D" w:rsidRPr="00281BF5" w:rsidRDefault="00435B3D" w:rsidP="00435B3D">
      <w:pPr>
        <w:rPr>
          <w:vanish/>
        </w:rPr>
      </w:pPr>
      <w:bookmarkStart w:id="3" w:name="PE"/>
      <w:r w:rsidRPr="00281BF5">
        <w:rPr>
          <w:vanish/>
        </w:rPr>
        <w:t>PE778.991</w:t>
      </w:r>
      <w:bookmarkEnd w:id="3"/>
    </w:p>
    <w:p w14:paraId="3BA7FD45" w14:textId="1DC12D04" w:rsidR="00435B3D" w:rsidRPr="00281BF5" w:rsidRDefault="00435B3D" w:rsidP="00EE616E">
      <w:pPr>
        <w:pStyle w:val="ATHeading3"/>
      </w:pPr>
      <w:bookmarkStart w:id="4" w:name="Sujet"/>
      <w:r w:rsidRPr="00281BF5">
        <w:t>Usnesení Evropského parlamentu ze dne</w:t>
      </w:r>
      <w:r w:rsidR="00EE616E">
        <w:t xml:space="preserve"> 27. listopadu</w:t>
      </w:r>
      <w:r w:rsidRPr="00281BF5">
        <w:t xml:space="preserve"> 2025 o právním státu a situaci v oblasti lidských práv v Tunisku, zejména případu </w:t>
      </w:r>
      <w:proofErr w:type="spellStart"/>
      <w:r w:rsidRPr="00281BF5">
        <w:t>Sáníji</w:t>
      </w:r>
      <w:proofErr w:type="spellEnd"/>
      <w:r w:rsidRPr="00281BF5">
        <w:t xml:space="preserve"> </w:t>
      </w:r>
      <w:proofErr w:type="spellStart"/>
      <w:r w:rsidRPr="00281BF5">
        <w:t>Dahmaniové</w:t>
      </w:r>
      <w:bookmarkEnd w:id="4"/>
      <w:proofErr w:type="spellEnd"/>
      <w:r w:rsidRPr="00281BF5">
        <w:t xml:space="preserve"> </w:t>
      </w:r>
      <w:bookmarkStart w:id="5" w:name="References"/>
      <w:r w:rsidRPr="00281BF5">
        <w:t>(2025/2988(RSP))</w:t>
      </w:r>
      <w:bookmarkEnd w:id="5"/>
    </w:p>
    <w:p w14:paraId="5424D247" w14:textId="77777777" w:rsidR="004F0B52" w:rsidRPr="00281BF5" w:rsidRDefault="004F0B52" w:rsidP="004F0B52">
      <w:pPr>
        <w:pStyle w:val="EPComma"/>
      </w:pPr>
      <w:bookmarkStart w:id="6" w:name="TextBodyBegin"/>
      <w:bookmarkEnd w:id="6"/>
      <w:r w:rsidRPr="00281BF5">
        <w:rPr>
          <w:i/>
        </w:rPr>
        <w:t>Evropský parlament</w:t>
      </w:r>
      <w:r w:rsidRPr="00281BF5">
        <w:t>,</w:t>
      </w:r>
    </w:p>
    <w:p w14:paraId="23A3E0CF" w14:textId="77777777" w:rsidR="004F0B52" w:rsidRPr="00281BF5" w:rsidRDefault="004F0B52" w:rsidP="004F0B52">
      <w:pPr>
        <w:pStyle w:val="NormalHanging12a"/>
        <w:rPr>
          <w:rFonts w:eastAsiaTheme="minorEastAsia"/>
        </w:rPr>
      </w:pPr>
      <w:r w:rsidRPr="00281BF5">
        <w:t>–</w:t>
      </w:r>
      <w:r w:rsidRPr="00281BF5">
        <w:tab/>
        <w:t>s ohledem na svá předchozí usnesení o Tunisku,</w:t>
      </w:r>
    </w:p>
    <w:p w14:paraId="60F43811" w14:textId="77777777" w:rsidR="004F0B52" w:rsidRPr="00281BF5" w:rsidRDefault="004F0B52" w:rsidP="004F0B52">
      <w:pPr>
        <w:pStyle w:val="NormalHanging12a"/>
        <w:rPr>
          <w:rFonts w:eastAsiaTheme="minorEastAsia"/>
        </w:rPr>
      </w:pPr>
      <w:r w:rsidRPr="00281BF5">
        <w:t>–</w:t>
      </w:r>
      <w:r w:rsidRPr="00281BF5">
        <w:tab/>
        <w:t>s ohledem na dohodu o přidružení mezi EU a Tuniskem,</w:t>
      </w:r>
    </w:p>
    <w:p w14:paraId="1417E056" w14:textId="77777777" w:rsidR="004F0B52" w:rsidRPr="00281BF5" w:rsidRDefault="004F0B52" w:rsidP="004F0B52">
      <w:pPr>
        <w:pStyle w:val="NormalHanging12a"/>
        <w:rPr>
          <w:rFonts w:eastAsiaTheme="minorEastAsia"/>
        </w:rPr>
      </w:pPr>
      <w:r w:rsidRPr="00281BF5">
        <w:t>–</w:t>
      </w:r>
      <w:r w:rsidRPr="00281BF5">
        <w:tab/>
        <w:t>s ohledem na memorandum o porozumění mezi EU a Tuniskem,</w:t>
      </w:r>
    </w:p>
    <w:p w14:paraId="7305F5E4" w14:textId="77777777" w:rsidR="004F0B52" w:rsidRPr="00281BF5" w:rsidRDefault="004F0B52" w:rsidP="004F0B52">
      <w:pPr>
        <w:pStyle w:val="NormalHanging12a"/>
      </w:pPr>
      <w:r w:rsidRPr="00281BF5">
        <w:t>–</w:t>
      </w:r>
      <w:r w:rsidRPr="00281BF5">
        <w:tab/>
        <w:t>s ohledem na čl. 150 odst. 5 a čl. 136 odst. 4 jednacího řádu,</w:t>
      </w:r>
    </w:p>
    <w:p w14:paraId="46B723F0" w14:textId="77777777" w:rsidR="004F0B52" w:rsidRPr="00281BF5" w:rsidRDefault="004F0B52" w:rsidP="004F0B52">
      <w:pPr>
        <w:pStyle w:val="NormalHanging12a"/>
      </w:pPr>
      <w:r w:rsidRPr="00281BF5">
        <w:t>A.</w:t>
      </w:r>
      <w:r w:rsidRPr="00281BF5">
        <w:tab/>
        <w:t xml:space="preserve">vzhledem k tomu, že právnička a novinářka </w:t>
      </w:r>
      <w:proofErr w:type="spellStart"/>
      <w:r w:rsidRPr="00281BF5">
        <w:t>Sáníja</w:t>
      </w:r>
      <w:proofErr w:type="spellEnd"/>
      <w:r w:rsidRPr="00281BF5">
        <w:t xml:space="preserve"> </w:t>
      </w:r>
      <w:proofErr w:type="spellStart"/>
      <w:r w:rsidRPr="00281BF5">
        <w:t>Dahmaniová</w:t>
      </w:r>
      <w:proofErr w:type="spellEnd"/>
      <w:r w:rsidRPr="00281BF5">
        <w:t xml:space="preserve"> byla v květnu 2024 zatčena v kanceláři Tuniské advokátní komory poté, co vystoupila na televizním kanálu </w:t>
      </w:r>
      <w:proofErr w:type="spellStart"/>
      <w:r w:rsidRPr="00281BF5">
        <w:t>Carthage</w:t>
      </w:r>
      <w:proofErr w:type="spellEnd"/>
      <w:r w:rsidRPr="00281BF5">
        <w:t>+; vzhledem k tomu, že od svého zatčení čelila pěti různým soudním řízením a byla třikrát odsouzena; vzhledem k tomu, že další soudní řízení se plánují a její celkový trest by mohl dosáhnout až 24 let;</w:t>
      </w:r>
    </w:p>
    <w:p w14:paraId="7AEA8E9E" w14:textId="77777777" w:rsidR="004F0B52" w:rsidRPr="00281BF5" w:rsidRDefault="004F0B52" w:rsidP="004F0B52">
      <w:pPr>
        <w:pStyle w:val="NormalHanging12a"/>
      </w:pPr>
      <w:r w:rsidRPr="00281BF5">
        <w:t>B.</w:t>
      </w:r>
      <w:r w:rsidRPr="00281BF5">
        <w:tab/>
        <w:t xml:space="preserve">vzhledem k tomu, že </w:t>
      </w:r>
      <w:proofErr w:type="spellStart"/>
      <w:r w:rsidRPr="00281BF5">
        <w:t>Sáníja</w:t>
      </w:r>
      <w:proofErr w:type="spellEnd"/>
      <w:r w:rsidRPr="00281BF5">
        <w:t xml:space="preserve"> </w:t>
      </w:r>
      <w:proofErr w:type="spellStart"/>
      <w:r w:rsidRPr="00281BF5">
        <w:t>Dahmaniová</w:t>
      </w:r>
      <w:proofErr w:type="spellEnd"/>
      <w:r w:rsidRPr="00281BF5">
        <w:t xml:space="preserve"> je zadržována v nelidských a ponižujících podmínkách a nemá přístup k lékařské péči;</w:t>
      </w:r>
    </w:p>
    <w:p w14:paraId="136E3AD6" w14:textId="77777777" w:rsidR="004F0B52" w:rsidRPr="00281BF5" w:rsidRDefault="004F0B52" w:rsidP="004F0B52">
      <w:pPr>
        <w:pStyle w:val="NormalHanging12a"/>
      </w:pPr>
      <w:r w:rsidRPr="00281BF5">
        <w:t>C.</w:t>
      </w:r>
      <w:r w:rsidRPr="00281BF5">
        <w:tab/>
        <w:t xml:space="preserve">vzhledem k tomu, že její sestra </w:t>
      </w:r>
      <w:proofErr w:type="spellStart"/>
      <w:r w:rsidRPr="00281BF5">
        <w:t>Ramla</w:t>
      </w:r>
      <w:proofErr w:type="spellEnd"/>
      <w:r w:rsidRPr="00281BF5">
        <w:t xml:space="preserve"> </w:t>
      </w:r>
      <w:proofErr w:type="spellStart"/>
      <w:r w:rsidRPr="00281BF5">
        <w:t>Dahmaniová</w:t>
      </w:r>
      <w:proofErr w:type="spellEnd"/>
      <w:r w:rsidRPr="00281BF5">
        <w:t xml:space="preserve"> byla v červenci 2025 odsouzena v nepřítomnosti na základě obvinění z šíření falešných zpráv;</w:t>
      </w:r>
    </w:p>
    <w:p w14:paraId="06D3EBE7" w14:textId="77777777" w:rsidR="004F0B52" w:rsidRPr="00281BF5" w:rsidRDefault="004F0B52" w:rsidP="004F0B52">
      <w:pPr>
        <w:pStyle w:val="NormalHanging12a"/>
      </w:pPr>
      <w:r w:rsidRPr="00281BF5">
        <w:t>1.</w:t>
      </w:r>
      <w:r w:rsidRPr="00281BF5">
        <w:tab/>
        <w:t xml:space="preserve">odsuzuje svévolné zadržování, soudní šikanu a odsouzení právničky a komentátorky </w:t>
      </w:r>
      <w:proofErr w:type="spellStart"/>
      <w:r w:rsidRPr="00281BF5">
        <w:t>Sáníji</w:t>
      </w:r>
      <w:proofErr w:type="spellEnd"/>
      <w:r w:rsidRPr="00281BF5">
        <w:t xml:space="preserve"> </w:t>
      </w:r>
      <w:proofErr w:type="spellStart"/>
      <w:r w:rsidRPr="00281BF5">
        <w:t>Dahmaniové</w:t>
      </w:r>
      <w:proofErr w:type="spellEnd"/>
      <w:r w:rsidRPr="00281BF5">
        <w:t>;</w:t>
      </w:r>
    </w:p>
    <w:p w14:paraId="0B0DAD53" w14:textId="77777777" w:rsidR="004F0B52" w:rsidRPr="00281BF5" w:rsidRDefault="004F0B52" w:rsidP="004F0B52">
      <w:pPr>
        <w:pStyle w:val="NormalHanging12a"/>
      </w:pPr>
      <w:r w:rsidRPr="00281BF5">
        <w:t>2.</w:t>
      </w:r>
      <w:r w:rsidRPr="00281BF5">
        <w:tab/>
        <w:t xml:space="preserve">požaduje okamžité a bezpodmínečné propuštění </w:t>
      </w:r>
      <w:proofErr w:type="spellStart"/>
      <w:r w:rsidRPr="00281BF5">
        <w:t>Sáníji</w:t>
      </w:r>
      <w:proofErr w:type="spellEnd"/>
      <w:r w:rsidRPr="00281BF5">
        <w:t xml:space="preserve"> </w:t>
      </w:r>
      <w:proofErr w:type="spellStart"/>
      <w:r w:rsidRPr="00281BF5">
        <w:t>Dahmaniové</w:t>
      </w:r>
      <w:proofErr w:type="spellEnd"/>
      <w:r w:rsidRPr="00281BF5">
        <w:t xml:space="preserve"> a všech osob zadržovaných za uplatňování práva na svobodu projevu, včetně politických vězňů a obránců lidských práv; naléhavě vyzývá tuniské orgány, aby stáhly veškerá obvinění vznesená proti </w:t>
      </w:r>
      <w:proofErr w:type="spellStart"/>
      <w:r w:rsidRPr="00281BF5">
        <w:t>Sáníji</w:t>
      </w:r>
      <w:proofErr w:type="spellEnd"/>
      <w:r w:rsidRPr="00281BF5">
        <w:t xml:space="preserve"> </w:t>
      </w:r>
      <w:proofErr w:type="spellStart"/>
      <w:r w:rsidRPr="00281BF5">
        <w:t>Dahmaniové</w:t>
      </w:r>
      <w:proofErr w:type="spellEnd"/>
      <w:r w:rsidRPr="00281BF5">
        <w:t xml:space="preserve"> a její sestře a přestaly pronásledovat jejich rodinu;</w:t>
      </w:r>
    </w:p>
    <w:p w14:paraId="26BF09AB" w14:textId="77777777" w:rsidR="004F0B52" w:rsidRPr="00281BF5" w:rsidRDefault="004F0B52" w:rsidP="004F0B52">
      <w:pPr>
        <w:pStyle w:val="NormalHanging12a"/>
      </w:pPr>
      <w:r w:rsidRPr="00281BF5">
        <w:t>3.</w:t>
      </w:r>
      <w:r w:rsidRPr="00281BF5">
        <w:tab/>
      </w:r>
      <w:bookmarkStart w:id="7" w:name="_Hlk214916283"/>
      <w:r w:rsidRPr="00281BF5">
        <w:t xml:space="preserve">odsuzuje podmínky, v nichž je </w:t>
      </w:r>
      <w:proofErr w:type="spellStart"/>
      <w:r w:rsidRPr="00281BF5">
        <w:t>Sáníja</w:t>
      </w:r>
      <w:proofErr w:type="spellEnd"/>
      <w:r w:rsidRPr="00281BF5">
        <w:t xml:space="preserve"> </w:t>
      </w:r>
      <w:proofErr w:type="spellStart"/>
      <w:r w:rsidRPr="00281BF5">
        <w:t>Dahmaniová</w:t>
      </w:r>
      <w:proofErr w:type="spellEnd"/>
      <w:r w:rsidRPr="00281BF5">
        <w:t xml:space="preserve"> zadržována, včetně nedostatečné </w:t>
      </w:r>
      <w:r w:rsidRPr="00281BF5">
        <w:lastRenderedPageBreak/>
        <w:t>lékařské péče, omezené komunikace s rodinou a právním zástupcem a odkládaných slyšení, ale i četná soudní řízení, jejichž cílem je prodloužit jí vazbu;</w:t>
      </w:r>
      <w:bookmarkEnd w:id="7"/>
    </w:p>
    <w:p w14:paraId="09E2A7A9" w14:textId="77777777" w:rsidR="004F0B52" w:rsidRPr="00281BF5" w:rsidRDefault="004F0B52" w:rsidP="004F0B52">
      <w:pPr>
        <w:pStyle w:val="NormalHanging12a"/>
      </w:pPr>
      <w:r w:rsidRPr="00281BF5">
        <w:t>4.</w:t>
      </w:r>
      <w:r w:rsidRPr="00281BF5">
        <w:tab/>
        <w:t>trvá na tom, aby tuniské orgány chránily svobodu shromažďování a projevu, zaručily nezávislost soudnictví, zabránily zásahům výkonné moci do soudních funkcí a dodržovaly práva a svobody zaručené tuniskou ústavou; odsuzuje nárůst případů svévolného zadržování, politicky motivovaného pronásledování a omezování svobod;</w:t>
      </w:r>
    </w:p>
    <w:p w14:paraId="5746BD42" w14:textId="77777777" w:rsidR="004F0B52" w:rsidRPr="00281BF5" w:rsidRDefault="004F0B52" w:rsidP="004F0B52">
      <w:pPr>
        <w:pStyle w:val="NormalHanging12a"/>
      </w:pPr>
      <w:r w:rsidRPr="00281BF5">
        <w:t>5.</w:t>
      </w:r>
      <w:r w:rsidRPr="00281BF5">
        <w:tab/>
        <w:t>vyzývá k úplnému zrušení legislativního nařízení č. 54, na jehož základě jsou vedena trestní stíhání za vyjádření názoru, a všech nekorektních právních předpisů, které jsou používány k omezování svobod;</w:t>
      </w:r>
    </w:p>
    <w:p w14:paraId="4FD77606" w14:textId="77777777" w:rsidR="004F0B52" w:rsidRPr="00281BF5" w:rsidRDefault="004F0B52" w:rsidP="004F0B52">
      <w:pPr>
        <w:pStyle w:val="NormalHanging12a"/>
      </w:pPr>
      <w:r w:rsidRPr="00281BF5">
        <w:t>6.</w:t>
      </w:r>
      <w:r w:rsidRPr="00281BF5">
        <w:tab/>
        <w:t>vyzývá orgány EU, aby vyjádřily hluboké znepokojení nad zhoršováním situace v oblasti lidských práv v Tunisku a aby podnikly koordinované diplomatické kroky s cílem usnadnit propuštění politických vězňů;</w:t>
      </w:r>
    </w:p>
    <w:p w14:paraId="17D7B759" w14:textId="77777777" w:rsidR="004F0B52" w:rsidRPr="00281BF5" w:rsidRDefault="004F0B52" w:rsidP="004F0B52">
      <w:pPr>
        <w:pStyle w:val="NormalHanging12a"/>
      </w:pPr>
      <w:r w:rsidRPr="00281BF5">
        <w:t>7.</w:t>
      </w:r>
      <w:r w:rsidRPr="00281BF5">
        <w:tab/>
        <w:t>vyzývá tuniské orgány, aby dodržovaly své závazky plynoucí z mezinárodního práva v oblasti lidských práv a z dohody o přidružení mezi EU a Tuniskem; bere na vědomí nedávné odložení zasedání Rady přidružení EU–Tunisko a žádá Komisi, aby se situace v oblasti lidských práv v Tunisku stala ústředním bodem jakéhokoli politického dialogu, finanční pomoci, bezpečnostní spolupráce a dohod s touto zemí;</w:t>
      </w:r>
    </w:p>
    <w:p w14:paraId="49A18BC7" w14:textId="77777777" w:rsidR="004F0B52" w:rsidRPr="00281BF5" w:rsidRDefault="004F0B52" w:rsidP="004F0B52">
      <w:pPr>
        <w:pStyle w:val="NormalHanging12a"/>
      </w:pPr>
      <w:r w:rsidRPr="00281BF5">
        <w:t>8.</w:t>
      </w:r>
      <w:r w:rsidRPr="00281BF5">
        <w:tab/>
        <w:t>vyjadřuje neochvějnou solidaritu s tuniskou občanskou společností, obránci lidských práv, nezávislými sdělovacími prostředky a novináři i sdruženími právníků; vyzývá Komisi, aby reagovala na rozhodnutí tuniské vlády zablokovat bankovní účty organizací občanské společnosti; upozorňuje na zásadní úlohu právníků při ochraně právního státu a integrity soudního systému;</w:t>
      </w:r>
    </w:p>
    <w:p w14:paraId="557C1ED8" w14:textId="77777777" w:rsidR="004F0B52" w:rsidRPr="00281BF5" w:rsidRDefault="004F0B52" w:rsidP="004F0B52">
      <w:pPr>
        <w:pStyle w:val="NormalHanging12a"/>
      </w:pPr>
      <w:r w:rsidRPr="00281BF5">
        <w:t>9.</w:t>
      </w:r>
      <w:r w:rsidRPr="00281BF5">
        <w:tab/>
        <w:t>vybízí Tunisko, aby se v zájmu řešení četných problémů v regionu ujalo úlohy při prosazování lidských práv a demokracie;</w:t>
      </w:r>
    </w:p>
    <w:p w14:paraId="15B81E3C" w14:textId="2627BD1D" w:rsidR="00281BF5" w:rsidRPr="00281BF5" w:rsidRDefault="004F0B52" w:rsidP="00281BF5">
      <w:pPr>
        <w:pStyle w:val="NormalHanging12a"/>
      </w:pPr>
      <w:r w:rsidRPr="00281BF5">
        <w:t>10.</w:t>
      </w:r>
      <w:r w:rsidRPr="00281BF5">
        <w:tab/>
        <w:t>pověřuje svou předsedkyni, aby předala toto usnesení Radě, Komisi, vysoké představitelce, místopředsedkyni Komise, vládám a parlamentům členských států a tuniským orgánům.</w:t>
      </w:r>
    </w:p>
    <w:p w14:paraId="00A78AC5" w14:textId="5FEE1092" w:rsidR="00E365E1" w:rsidRPr="00281BF5" w:rsidRDefault="00E365E1" w:rsidP="00435B3D"/>
    <w:sectPr w:rsidR="00E365E1" w:rsidRPr="00281BF5" w:rsidSect="00281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40E81" w14:textId="77777777" w:rsidR="00435B3D" w:rsidRPr="00281BF5" w:rsidRDefault="00435B3D">
      <w:r w:rsidRPr="00281BF5">
        <w:separator/>
      </w:r>
    </w:p>
  </w:endnote>
  <w:endnote w:type="continuationSeparator" w:id="0">
    <w:p w14:paraId="064BA89F" w14:textId="77777777" w:rsidR="00435B3D" w:rsidRPr="00281BF5" w:rsidRDefault="00435B3D">
      <w:r w:rsidRPr="00281B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FFB5" w14:textId="77777777" w:rsidR="00064002" w:rsidRPr="00281B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6B1A3" w14:textId="77777777" w:rsidR="00064002" w:rsidRPr="00281B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2019" w14:textId="77777777" w:rsidR="00064002" w:rsidRPr="00281B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F0ACD" w14:textId="77777777" w:rsidR="00435B3D" w:rsidRPr="00281BF5" w:rsidRDefault="00435B3D">
      <w:r w:rsidRPr="00281BF5">
        <w:separator/>
      </w:r>
    </w:p>
  </w:footnote>
  <w:footnote w:type="continuationSeparator" w:id="0">
    <w:p w14:paraId="60ACFB20" w14:textId="77777777" w:rsidR="00435B3D" w:rsidRPr="00281BF5" w:rsidRDefault="00435B3D">
      <w:r w:rsidRPr="00281B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F85B" w14:textId="77777777" w:rsidR="00064002" w:rsidRPr="00281B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1776" w14:textId="77777777" w:rsidR="00064002" w:rsidRPr="00281B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A469" w14:textId="77777777" w:rsidR="00064002" w:rsidRPr="00281B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4861399">
    <w:abstractNumId w:val="9"/>
  </w:num>
  <w:num w:numId="2" w16cid:durableId="188643415">
    <w:abstractNumId w:val="9"/>
  </w:num>
  <w:num w:numId="3" w16cid:durableId="1919709837">
    <w:abstractNumId w:val="7"/>
  </w:num>
  <w:num w:numId="4" w16cid:durableId="40254925">
    <w:abstractNumId w:val="7"/>
  </w:num>
  <w:num w:numId="5" w16cid:durableId="449668226">
    <w:abstractNumId w:val="6"/>
  </w:num>
  <w:num w:numId="6" w16cid:durableId="1296523181">
    <w:abstractNumId w:val="6"/>
  </w:num>
  <w:num w:numId="7" w16cid:durableId="1529417184">
    <w:abstractNumId w:val="5"/>
  </w:num>
  <w:num w:numId="8" w16cid:durableId="1950624003">
    <w:abstractNumId w:val="5"/>
  </w:num>
  <w:num w:numId="9" w16cid:durableId="1926453617">
    <w:abstractNumId w:val="4"/>
  </w:num>
  <w:num w:numId="10" w16cid:durableId="281349095">
    <w:abstractNumId w:val="4"/>
  </w:num>
  <w:num w:numId="11" w16cid:durableId="2105414547">
    <w:abstractNumId w:val="8"/>
  </w:num>
  <w:num w:numId="12" w16cid:durableId="1743944938">
    <w:abstractNumId w:val="8"/>
  </w:num>
  <w:num w:numId="13" w16cid:durableId="757484447">
    <w:abstractNumId w:val="3"/>
  </w:num>
  <w:num w:numId="14" w16cid:durableId="1860658462">
    <w:abstractNumId w:val="3"/>
  </w:num>
  <w:num w:numId="15" w16cid:durableId="1684823064">
    <w:abstractNumId w:val="2"/>
  </w:num>
  <w:num w:numId="16" w16cid:durableId="1917007698">
    <w:abstractNumId w:val="2"/>
  </w:num>
  <w:num w:numId="17" w16cid:durableId="1657997511">
    <w:abstractNumId w:val="1"/>
  </w:num>
  <w:num w:numId="18" w16cid:durableId="1182160636">
    <w:abstractNumId w:val="1"/>
  </w:num>
  <w:num w:numId="19" w16cid:durableId="1331829320">
    <w:abstractNumId w:val="0"/>
  </w:num>
  <w:num w:numId="20" w16cid:durableId="1117409176">
    <w:abstractNumId w:val="0"/>
  </w:num>
  <w:num w:numId="21" w16cid:durableId="1750811934">
    <w:abstractNumId w:val="9"/>
  </w:num>
  <w:num w:numId="22" w16cid:durableId="553540678">
    <w:abstractNumId w:val="7"/>
  </w:num>
  <w:num w:numId="23" w16cid:durableId="253788106">
    <w:abstractNumId w:val="6"/>
  </w:num>
  <w:num w:numId="24" w16cid:durableId="1503858359">
    <w:abstractNumId w:val="5"/>
  </w:num>
  <w:num w:numId="25" w16cid:durableId="329869672">
    <w:abstractNumId w:val="4"/>
  </w:num>
  <w:num w:numId="26" w16cid:durableId="678779172">
    <w:abstractNumId w:val="8"/>
  </w:num>
  <w:num w:numId="27" w16cid:durableId="422262351">
    <w:abstractNumId w:val="3"/>
  </w:num>
  <w:num w:numId="28" w16cid:durableId="571353346">
    <w:abstractNumId w:val="2"/>
  </w:num>
  <w:num w:numId="29" w16cid:durableId="1508326467">
    <w:abstractNumId w:val="1"/>
  </w:num>
  <w:num w:numId="30" w16cid:durableId="1085958329">
    <w:abstractNumId w:val="0"/>
  </w:num>
  <w:num w:numId="31" w16cid:durableId="1196191015">
    <w:abstractNumId w:val="9"/>
  </w:num>
  <w:num w:numId="32" w16cid:durableId="412051899">
    <w:abstractNumId w:val="7"/>
  </w:num>
  <w:num w:numId="33" w16cid:durableId="425611030">
    <w:abstractNumId w:val="6"/>
  </w:num>
  <w:num w:numId="34" w16cid:durableId="1578437455">
    <w:abstractNumId w:val="5"/>
  </w:num>
  <w:num w:numId="35" w16cid:durableId="58133193">
    <w:abstractNumId w:val="4"/>
  </w:num>
  <w:num w:numId="36" w16cid:durableId="161314105">
    <w:abstractNumId w:val="8"/>
  </w:num>
  <w:num w:numId="37" w16cid:durableId="337462884">
    <w:abstractNumId w:val="3"/>
  </w:num>
  <w:num w:numId="38" w16cid:durableId="1037047731">
    <w:abstractNumId w:val="2"/>
  </w:num>
  <w:num w:numId="39" w16cid:durableId="1693804759">
    <w:abstractNumId w:val="1"/>
  </w:num>
  <w:num w:numId="40" w16cid:durableId="601960746">
    <w:abstractNumId w:val="0"/>
  </w:num>
  <w:num w:numId="41" w16cid:durableId="512652144">
    <w:abstractNumId w:val="10"/>
  </w:num>
  <w:num w:numId="42" w16cid:durableId="1033313036">
    <w:abstractNumId w:val="10"/>
  </w:num>
  <w:num w:numId="43" w16cid:durableId="78405991">
    <w:abstractNumId w:val="10"/>
  </w:num>
  <w:num w:numId="44" w16cid:durableId="21107336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a 0538/2025"/>
    <w:docVar w:name="dvlangue" w:val="CS"/>
    <w:docVar w:name="dvnumam" w:val="0"/>
    <w:docVar w:name="dvpe" w:val="778.991"/>
    <w:docVar w:name="dvtitre" w:val="Usnesení Evropského parlamentu ze dne.... 2025 o právním státu a situaci v oblasti lidských práv v Tunisku, zejména případu Sáníji Dahmaniové(2025/2988(RSP))"/>
  </w:docVars>
  <w:rsids>
    <w:rsidRoot w:val="00435B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B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B3D"/>
    <w:rsid w:val="00471C19"/>
    <w:rsid w:val="004867E3"/>
    <w:rsid w:val="00494A28"/>
    <w:rsid w:val="004C0004"/>
    <w:rsid w:val="004C5D52"/>
    <w:rsid w:val="004F0B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A3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AB9"/>
    <w:rsid w:val="00EB4772"/>
    <w:rsid w:val="00ED169E"/>
    <w:rsid w:val="00ED4235"/>
    <w:rsid w:val="00EE616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2810F"/>
  <w15:chartTrackingRefBased/>
  <w15:docId w15:val="{0E73FCBC-1D2F-42AC-8069-8F159F88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F0B52"/>
    <w:pPr>
      <w:spacing w:after="240"/>
      <w:ind w:left="567" w:hanging="567"/>
    </w:pPr>
  </w:style>
  <w:style w:type="paragraph" w:customStyle="1" w:styleId="EPComma">
    <w:name w:val="EPComma"/>
    <w:basedOn w:val="Normal"/>
    <w:rsid w:val="004F0B5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F0B5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2025-11-27T11:27:00Z</dcterms:created>
  <dcterms:modified xsi:type="dcterms:W3CDTF">2025-11-27T11:27:00Z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B10-0518, 0520, 0525, 0532 a 0538/2025</vt:lpwstr>
  </property>
  <property fmtid="{D5CDD505-2E9C-101B-9397-08002B2CF9AE}" pid="4" name="&lt;Type&gt;">
    <vt:lpwstr>RR</vt:lpwstr>
  </property>
</Properties>
</file>