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26D4" w14:paraId="225D79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E762C2" w14:textId="77777777" w:rsidR="00751A4A" w:rsidRPr="00D026D4" w:rsidRDefault="00515A48" w:rsidP="0010095E">
            <w:pPr>
              <w:pStyle w:val="EPName"/>
            </w:pPr>
            <w:r w:rsidRPr="00D026D4">
              <w:t>Europa-Parlamentet</w:t>
            </w:r>
          </w:p>
          <w:p w14:paraId="1FC471CA" w14:textId="77777777" w:rsidR="00751A4A" w:rsidRPr="00D026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26D4">
              <w:t>2024</w:t>
            </w:r>
            <w:r w:rsidR="00817416" w:rsidRPr="00D026D4">
              <w:t>-202</w:t>
            </w:r>
            <w:r w:rsidRPr="00D026D4">
              <w:t>9</w:t>
            </w:r>
          </w:p>
        </w:tc>
        <w:tc>
          <w:tcPr>
            <w:tcW w:w="2268" w:type="dxa"/>
            <w:shd w:val="clear" w:color="auto" w:fill="auto"/>
          </w:tcPr>
          <w:p w14:paraId="4E4E0688" w14:textId="77777777" w:rsidR="00751A4A" w:rsidRPr="00D026D4" w:rsidRDefault="00187494" w:rsidP="0010095E">
            <w:pPr>
              <w:pStyle w:val="EPLogo"/>
            </w:pPr>
            <w:r w:rsidRPr="00D026D4">
              <w:rPr>
                <w:noProof/>
                <w:lang w:eastAsia="ja-JP"/>
              </w:rPr>
              <w:drawing>
                <wp:inline distT="0" distB="0" distL="0" distR="0" wp14:anchorId="4CD6E8F5" wp14:editId="6BB3E6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084B9F" w14:textId="77777777" w:rsidR="00D058B8" w:rsidRPr="00D026D4" w:rsidRDefault="00D058B8" w:rsidP="004C5D52">
      <w:pPr>
        <w:pStyle w:val="LineTop"/>
      </w:pPr>
    </w:p>
    <w:p w14:paraId="144A0ABA" w14:textId="77777777" w:rsidR="00680577" w:rsidRPr="00D026D4" w:rsidRDefault="00515A48" w:rsidP="00680577">
      <w:pPr>
        <w:pStyle w:val="EPBodyTA1"/>
      </w:pPr>
      <w:r w:rsidRPr="00D026D4">
        <w:t>VEDTAGNE TEKSTER</w:t>
      </w:r>
    </w:p>
    <w:p w14:paraId="778A2DB3" w14:textId="77777777" w:rsidR="00D058B8" w:rsidRPr="00D026D4" w:rsidRDefault="00D058B8" w:rsidP="00D058B8">
      <w:pPr>
        <w:pStyle w:val="LineBottom"/>
      </w:pPr>
    </w:p>
    <w:p w14:paraId="0B082BB5" w14:textId="591ED11D" w:rsidR="00515A48" w:rsidRPr="00D026D4" w:rsidRDefault="00515A48" w:rsidP="00515A48">
      <w:pPr>
        <w:pStyle w:val="ATHeading1"/>
      </w:pPr>
      <w:bookmarkStart w:id="0" w:name="TANumber"/>
      <w:r w:rsidRPr="00D026D4">
        <w:t>P10_TA(2025)0</w:t>
      </w:r>
      <w:bookmarkEnd w:id="0"/>
      <w:r w:rsidR="00415B51">
        <w:t>304</w:t>
      </w:r>
    </w:p>
    <w:p w14:paraId="53818603" w14:textId="0CB5A2E9" w:rsidR="00515A48" w:rsidRPr="00D435FA" w:rsidRDefault="00D435FA" w:rsidP="00515A48">
      <w:pPr>
        <w:pStyle w:val="ATHeading2"/>
      </w:pPr>
      <w:r w:rsidRPr="00D76DC4">
        <w:rPr>
          <w:bCs/>
        </w:rPr>
        <w:t xml:space="preserve">Retsstats- og menneskerettighedssituationen i Tunesien, navnlig sagen om Sonia </w:t>
      </w:r>
      <w:proofErr w:type="spellStart"/>
      <w:r w:rsidRPr="00D76DC4">
        <w:rPr>
          <w:bCs/>
        </w:rPr>
        <w:t>Dahmani</w:t>
      </w:r>
      <w:proofErr w:type="spellEnd"/>
    </w:p>
    <w:p w14:paraId="2AFEF0F7" w14:textId="4BF4D76A" w:rsidR="00515A48" w:rsidRPr="00D026D4" w:rsidRDefault="00515A48" w:rsidP="00515A48">
      <w:pPr>
        <w:rPr>
          <w:i/>
          <w:vanish/>
        </w:rPr>
      </w:pPr>
      <w:r w:rsidRPr="00D026D4">
        <w:rPr>
          <w:i/>
        </w:rPr>
        <w:fldChar w:fldCharType="begin"/>
      </w:r>
      <w:r w:rsidRPr="00D026D4">
        <w:rPr>
          <w:i/>
        </w:rPr>
        <w:instrText xml:space="preserve"> TC"(</w:instrText>
      </w:r>
      <w:bookmarkStart w:id="1" w:name="DocNumber"/>
      <w:r w:rsidRPr="00D026D4">
        <w:rPr>
          <w:i/>
        </w:rPr>
        <w:instrText>B10-</w:instrText>
      </w:r>
      <w:r w:rsidR="0003012A" w:rsidRPr="00805065">
        <w:rPr>
          <w:i/>
        </w:rPr>
        <w:instrText>0518</w:instrText>
      </w:r>
      <w:r w:rsidR="0003012A">
        <w:rPr>
          <w:i/>
        </w:rPr>
        <w:instrText>, 0520, 0525, 0532 og 0538</w:instrText>
      </w:r>
      <w:r w:rsidRPr="00D026D4">
        <w:rPr>
          <w:i/>
        </w:rPr>
        <w:instrText>/2025</w:instrText>
      </w:r>
      <w:bookmarkEnd w:id="1"/>
      <w:r w:rsidRPr="00D026D4">
        <w:rPr>
          <w:i/>
        </w:rPr>
        <w:instrText xml:space="preserve">)"\l3 \n&gt; \* MERGEFORMAT </w:instrText>
      </w:r>
      <w:r w:rsidRPr="00D026D4">
        <w:rPr>
          <w:i/>
        </w:rPr>
        <w:fldChar w:fldCharType="end"/>
      </w:r>
    </w:p>
    <w:p w14:paraId="116EFF56" w14:textId="77777777" w:rsidR="00515A48" w:rsidRPr="00D026D4" w:rsidRDefault="00515A48" w:rsidP="00515A48">
      <w:pPr>
        <w:rPr>
          <w:vanish/>
        </w:rPr>
      </w:pPr>
      <w:bookmarkStart w:id="2" w:name="PE"/>
      <w:r w:rsidRPr="00D026D4">
        <w:rPr>
          <w:vanish/>
        </w:rPr>
        <w:t>PE778.991</w:t>
      </w:r>
      <w:bookmarkEnd w:id="2"/>
    </w:p>
    <w:p w14:paraId="6A464448" w14:textId="76C05CAD" w:rsidR="00515A48" w:rsidRPr="00D026D4" w:rsidRDefault="00515A48" w:rsidP="00515A48">
      <w:pPr>
        <w:pStyle w:val="ATHeading3"/>
      </w:pPr>
      <w:bookmarkStart w:id="3" w:name="Sujet"/>
      <w:r w:rsidRPr="00D026D4">
        <w:t xml:space="preserve">Europa-Parlamentets beslutning af </w:t>
      </w:r>
      <w:r w:rsidR="00D435FA">
        <w:t>27. november</w:t>
      </w:r>
      <w:r w:rsidRPr="00D026D4">
        <w:t xml:space="preserve"> 2025 om retsstats- og menneskerettighedssituationen i Tunesien, navnlig sagen om Sonia </w:t>
      </w:r>
      <w:proofErr w:type="spellStart"/>
      <w:r w:rsidRPr="00D026D4">
        <w:t>Dahmani</w:t>
      </w:r>
      <w:bookmarkEnd w:id="3"/>
      <w:proofErr w:type="spellEnd"/>
      <w:r w:rsidRPr="00D026D4">
        <w:t xml:space="preserve"> </w:t>
      </w:r>
      <w:bookmarkStart w:id="4" w:name="References"/>
      <w:r w:rsidRPr="00D026D4">
        <w:t>(2025/2988(RSP))</w:t>
      </w:r>
      <w:bookmarkEnd w:id="4"/>
    </w:p>
    <w:p w14:paraId="10CDF110" w14:textId="77777777" w:rsidR="00970A47" w:rsidRPr="00D026D4" w:rsidRDefault="00970A47" w:rsidP="00970A47">
      <w:pPr>
        <w:pStyle w:val="EPComma"/>
      </w:pPr>
      <w:bookmarkStart w:id="5" w:name="TextBodyBegin"/>
      <w:bookmarkEnd w:id="5"/>
      <w:r w:rsidRPr="00D026D4">
        <w:rPr>
          <w:i/>
        </w:rPr>
        <w:t>Europa-Parlamentet</w:t>
      </w:r>
      <w:r w:rsidRPr="00D026D4">
        <w:t>,</w:t>
      </w:r>
    </w:p>
    <w:p w14:paraId="47A59A13" w14:textId="77777777" w:rsidR="00970A47" w:rsidRPr="00D026D4" w:rsidRDefault="00970A47" w:rsidP="00970A47">
      <w:pPr>
        <w:pStyle w:val="NormalHanging12a"/>
        <w:rPr>
          <w:rFonts w:eastAsiaTheme="minorEastAsia"/>
        </w:rPr>
      </w:pPr>
      <w:r w:rsidRPr="00D026D4">
        <w:t>–</w:t>
      </w:r>
      <w:r w:rsidRPr="00D026D4">
        <w:tab/>
        <w:t>der henviser til sine tidligere beslutninger om Tunesien,</w:t>
      </w:r>
    </w:p>
    <w:p w14:paraId="3714ABA3" w14:textId="77777777" w:rsidR="00970A47" w:rsidRPr="00D026D4" w:rsidRDefault="00970A47" w:rsidP="00970A47">
      <w:pPr>
        <w:pStyle w:val="NormalHanging12a"/>
        <w:rPr>
          <w:rFonts w:eastAsiaTheme="minorEastAsia"/>
        </w:rPr>
      </w:pPr>
      <w:r w:rsidRPr="00D026D4">
        <w:t>–</w:t>
      </w:r>
      <w:r w:rsidRPr="00D026D4">
        <w:tab/>
        <w:t>der henviser til associeringsaftalen mellem EU og Tunesien,</w:t>
      </w:r>
    </w:p>
    <w:p w14:paraId="2F0952CC" w14:textId="77777777" w:rsidR="00970A47" w:rsidRPr="00D026D4" w:rsidRDefault="00970A47" w:rsidP="00970A47">
      <w:pPr>
        <w:pStyle w:val="NormalHanging12a"/>
        <w:rPr>
          <w:rFonts w:eastAsiaTheme="minorEastAsia"/>
        </w:rPr>
      </w:pPr>
      <w:r w:rsidRPr="00D026D4">
        <w:t>–</w:t>
      </w:r>
      <w:r w:rsidRPr="00D026D4">
        <w:tab/>
        <w:t>der henviser til aftalememorandummet mellem EU og Tunesien,</w:t>
      </w:r>
    </w:p>
    <w:p w14:paraId="13BA39FF" w14:textId="77777777" w:rsidR="00970A47" w:rsidRPr="00D026D4" w:rsidRDefault="00970A47" w:rsidP="00970A47">
      <w:pPr>
        <w:pStyle w:val="NormalHanging12a"/>
      </w:pPr>
      <w:r w:rsidRPr="00D026D4">
        <w:t>–</w:t>
      </w:r>
      <w:r w:rsidRPr="00D026D4">
        <w:tab/>
        <w:t>der henviser til forretningsordenens artikel 150, stk. 5, og artikel 136, stk. 4,</w:t>
      </w:r>
    </w:p>
    <w:p w14:paraId="6A4FB5F7" w14:textId="77777777" w:rsidR="00970A47" w:rsidRPr="00D026D4" w:rsidRDefault="00970A47" w:rsidP="00970A47">
      <w:pPr>
        <w:pStyle w:val="NormalHanging12a"/>
      </w:pPr>
      <w:r w:rsidRPr="00D026D4">
        <w:t>A.</w:t>
      </w:r>
      <w:r w:rsidRPr="00D026D4">
        <w:tab/>
        <w:t xml:space="preserve">der henviser til, at advokat og journalist Sonia </w:t>
      </w:r>
      <w:proofErr w:type="spellStart"/>
      <w:r w:rsidRPr="00D026D4">
        <w:t>Dahmani</w:t>
      </w:r>
      <w:proofErr w:type="spellEnd"/>
      <w:r w:rsidRPr="00D026D4">
        <w:t xml:space="preserve"> blev arresteret i maj 2024 på det tunesiske advokatsamfunds kontor, efter at hun var dukket op på </w:t>
      </w:r>
      <w:proofErr w:type="spellStart"/>
      <w:r w:rsidRPr="00D026D4">
        <w:t>TV-kanalen</w:t>
      </w:r>
      <w:proofErr w:type="spellEnd"/>
      <w:r w:rsidRPr="00D026D4">
        <w:t xml:space="preserve"> </w:t>
      </w:r>
      <w:proofErr w:type="spellStart"/>
      <w:r w:rsidRPr="00D026D4">
        <w:t>Carthage</w:t>
      </w:r>
      <w:proofErr w:type="spellEnd"/>
      <w:r w:rsidRPr="00D026D4">
        <w:t>+; der henviser til, at hun siden sin anholdelse har været genstand for fem særskilte retssager og er blevet dømt tre gange; der henviser til, at der er planlagt yderligere retssager, og at hendes samlede straf kan nå op på 24 år;</w:t>
      </w:r>
    </w:p>
    <w:p w14:paraId="0F04A5C4" w14:textId="77777777" w:rsidR="00970A47" w:rsidRPr="00D026D4" w:rsidRDefault="00970A47" w:rsidP="00970A47">
      <w:pPr>
        <w:pStyle w:val="NormalHanging12a"/>
      </w:pPr>
      <w:r w:rsidRPr="00D026D4">
        <w:t>B.</w:t>
      </w:r>
      <w:r w:rsidRPr="00D026D4">
        <w:tab/>
        <w:t xml:space="preserve">der henviser til, at Sonia </w:t>
      </w:r>
      <w:proofErr w:type="spellStart"/>
      <w:r w:rsidRPr="00D026D4">
        <w:t>Dahmani</w:t>
      </w:r>
      <w:proofErr w:type="spellEnd"/>
      <w:r w:rsidRPr="00D026D4">
        <w:t xml:space="preserve"> udsættes for umenneskelige og nedværdigende fængselsforhold uden adgang til lægebehandling;</w:t>
      </w:r>
    </w:p>
    <w:p w14:paraId="40580C4C" w14:textId="77777777" w:rsidR="00970A47" w:rsidRPr="00D026D4" w:rsidRDefault="00970A47" w:rsidP="00970A47">
      <w:pPr>
        <w:pStyle w:val="NormalHanging12a"/>
      </w:pPr>
      <w:r w:rsidRPr="00D026D4">
        <w:t>C.</w:t>
      </w:r>
      <w:r w:rsidRPr="00D026D4">
        <w:tab/>
        <w:t xml:space="preserve">der henviser til, at hendes søster Ramla </w:t>
      </w:r>
      <w:proofErr w:type="spellStart"/>
      <w:r w:rsidRPr="00D026D4">
        <w:t>Dahmani</w:t>
      </w:r>
      <w:proofErr w:type="spellEnd"/>
      <w:r w:rsidRPr="00D026D4">
        <w:t xml:space="preserve"> blev dømt in absentia i juli 2025 på grundlag af anklager om at sprede falske nyheder;</w:t>
      </w:r>
    </w:p>
    <w:p w14:paraId="0CDC8D04" w14:textId="77777777" w:rsidR="00970A47" w:rsidRPr="00D026D4" w:rsidRDefault="00970A47" w:rsidP="00970A47">
      <w:pPr>
        <w:pStyle w:val="NormalHanging12a"/>
      </w:pPr>
      <w:r w:rsidRPr="00D026D4">
        <w:t>1.</w:t>
      </w:r>
      <w:r w:rsidRPr="00D026D4">
        <w:tab/>
        <w:t xml:space="preserve">fordømmer den vilkårlige tilbageholdelse, retslige chikane og domfældelse af advokat og mediekommentator Sonia </w:t>
      </w:r>
      <w:proofErr w:type="spellStart"/>
      <w:r w:rsidRPr="00D026D4">
        <w:t>Dahmani</w:t>
      </w:r>
      <w:proofErr w:type="spellEnd"/>
      <w:r w:rsidRPr="00D026D4">
        <w:t>;</w:t>
      </w:r>
    </w:p>
    <w:p w14:paraId="041A77EC" w14:textId="77777777" w:rsidR="00970A47" w:rsidRPr="00D026D4" w:rsidRDefault="00970A47" w:rsidP="00970A47">
      <w:pPr>
        <w:pStyle w:val="NormalHanging12a"/>
      </w:pPr>
      <w:r w:rsidRPr="00D026D4">
        <w:t>2.</w:t>
      </w:r>
      <w:r w:rsidRPr="00D026D4">
        <w:tab/>
        <w:t xml:space="preserve">kræver øjeblikkelig og betingelsesløs løsladelse af Sonia </w:t>
      </w:r>
      <w:proofErr w:type="spellStart"/>
      <w:r w:rsidRPr="00D026D4">
        <w:t>Dahmani</w:t>
      </w:r>
      <w:proofErr w:type="spellEnd"/>
      <w:r w:rsidRPr="00D026D4">
        <w:t xml:space="preserve"> og alle dem, der tilbageholdes for at udøve deres ret til ytringsfrihed, herunder politiske fanger og menneskerettighedsforkæmpere; opfordrer indtrængende de tunesiske myndigheder til at frafalde alle anklager mod Sonia </w:t>
      </w:r>
      <w:proofErr w:type="spellStart"/>
      <w:r w:rsidRPr="00D026D4">
        <w:t>Dahmani</w:t>
      </w:r>
      <w:proofErr w:type="spellEnd"/>
      <w:r w:rsidRPr="00D026D4">
        <w:t xml:space="preserve"> og hendes søster og til at afstå fra at chikanere deres familie;</w:t>
      </w:r>
    </w:p>
    <w:p w14:paraId="06774552" w14:textId="77777777" w:rsidR="00970A47" w:rsidRPr="00D026D4" w:rsidRDefault="00970A47" w:rsidP="00970A47">
      <w:pPr>
        <w:pStyle w:val="NormalHanging12a"/>
      </w:pPr>
      <w:r w:rsidRPr="00D026D4">
        <w:lastRenderedPageBreak/>
        <w:t>3.</w:t>
      </w:r>
      <w:r w:rsidRPr="00D026D4">
        <w:tab/>
      </w:r>
      <w:bookmarkStart w:id="6" w:name="_Hlk214916283"/>
      <w:r w:rsidRPr="00D026D4">
        <w:t xml:space="preserve">fordømmer de forhold, hvorunder Sonia </w:t>
      </w:r>
      <w:proofErr w:type="spellStart"/>
      <w:r w:rsidRPr="00D026D4">
        <w:t>Dahmani</w:t>
      </w:r>
      <w:proofErr w:type="spellEnd"/>
      <w:r w:rsidRPr="00D026D4">
        <w:t xml:space="preserve"> tilbageholdes, herunder utilstrækkelig lægebehandling, begrænset kommunikation med hendes familie og advokat og forsinkede retsmøder sammen med flere sager, der har til formål at forlænge hendes tilbageholdelse</w:t>
      </w:r>
      <w:bookmarkEnd w:id="6"/>
      <w:r w:rsidRPr="00D026D4">
        <w:t>;</w:t>
      </w:r>
    </w:p>
    <w:p w14:paraId="28AB1130" w14:textId="77777777" w:rsidR="00970A47" w:rsidRPr="00D026D4" w:rsidRDefault="00970A47" w:rsidP="00970A47">
      <w:pPr>
        <w:pStyle w:val="NormalHanging12a"/>
      </w:pPr>
      <w:r w:rsidRPr="00D026D4">
        <w:t>4.</w:t>
      </w:r>
      <w:r w:rsidRPr="00D026D4">
        <w:tab/>
        <w:t>insisterer på, at de tunesiske myndigheder beskytter forsamlings- og ytringsfriheden, garanterer retsvæsenets uafhængighed, forhindrer indblanding fra den udøvende magts side i retslige funktioner og værner om de rettigheder og friheder, der er garanteret i den tunesiske forfatning; fordømmer de eskalerende vilkårlige tilbageholdelser, politisk motiverede forfølgelser og begrænsninger af frihedsrettighederne;</w:t>
      </w:r>
    </w:p>
    <w:p w14:paraId="45BF3355" w14:textId="77777777" w:rsidR="00970A47" w:rsidRPr="00D026D4" w:rsidRDefault="00970A47" w:rsidP="00970A47">
      <w:pPr>
        <w:pStyle w:val="NormalHanging12a"/>
      </w:pPr>
      <w:r w:rsidRPr="00D026D4">
        <w:t>5.</w:t>
      </w:r>
      <w:r w:rsidRPr="00D026D4">
        <w:tab/>
        <w:t>opfordrer til en fuldstændig ophævelse af lovdekret 54, som har ført til retsforfølgelse for meningstilkendegivelser, og af al urimelig lovgivning, der anvendes til at begrænse frihedsrettighederne;</w:t>
      </w:r>
    </w:p>
    <w:p w14:paraId="53211600" w14:textId="77777777" w:rsidR="00970A47" w:rsidRPr="00D026D4" w:rsidRDefault="00970A47" w:rsidP="00970A47">
      <w:pPr>
        <w:pStyle w:val="NormalHanging12a"/>
      </w:pPr>
      <w:r w:rsidRPr="00D026D4">
        <w:t>6.</w:t>
      </w:r>
      <w:r w:rsidRPr="00D026D4">
        <w:tab/>
        <w:t>opfordrer EU-institutionerne til at give udtryk for dyb bekymring over forværringen af menneskerettighederne i Tunesien og til at fortsætte en koordineret diplomatisk indsats med henblik på at lette løsladelsen af politiske fanger;</w:t>
      </w:r>
    </w:p>
    <w:p w14:paraId="3755DAD6" w14:textId="77777777" w:rsidR="00970A47" w:rsidRPr="00D026D4" w:rsidRDefault="00970A47" w:rsidP="00970A47">
      <w:pPr>
        <w:pStyle w:val="NormalHanging12a"/>
      </w:pPr>
      <w:r w:rsidRPr="00D026D4">
        <w:t>7.</w:t>
      </w:r>
      <w:r w:rsidRPr="00D026D4">
        <w:tab/>
        <w:t>opfordrer de tunesiske myndigheder til at overholde deres forpligtelser i henhold til den internationale menneskerettighedslovgivning og associeringsaftalen mellem EU og Tunesien; noterer sig den nylige udsættelse af Associeringsrådet EU-Tunesien og anmoder Kommissionen om at sætte menneskerettighedssituationen i centrum for enhver politisk dialog og finansiel bistand, ethvert sikkerhedssamarbejde og alle aftaler med Tunesien;</w:t>
      </w:r>
    </w:p>
    <w:p w14:paraId="73B91F9A" w14:textId="77777777" w:rsidR="00970A47" w:rsidRPr="00D026D4" w:rsidRDefault="00970A47" w:rsidP="00970A47">
      <w:pPr>
        <w:pStyle w:val="NormalHanging12a"/>
      </w:pPr>
      <w:r w:rsidRPr="00D026D4">
        <w:t>8.</w:t>
      </w:r>
      <w:r w:rsidRPr="00D026D4">
        <w:tab/>
        <w:t>udtrykker urokkelig solidaritet med Tunesiens civilsamfund, menneskerettighedsforkæmpere, uafhængige medier og journalister samt advokatsammenslutninger; opfordrer Kommissionen til at reagere på den tunesiske regerings beslutning om at spærre civilsamfundsorganisationers bankkonti; understreger den afgørende rolle, som retsvæsenets aktører spiller med hensyn til at beskytte retsstatsprincippet og retssystemets integritet;</w:t>
      </w:r>
    </w:p>
    <w:p w14:paraId="1FFE4B50" w14:textId="77777777" w:rsidR="00970A47" w:rsidRPr="00D026D4" w:rsidRDefault="00970A47" w:rsidP="00970A47">
      <w:pPr>
        <w:pStyle w:val="NormalHanging12a"/>
      </w:pPr>
      <w:r w:rsidRPr="00D026D4">
        <w:t>9.</w:t>
      </w:r>
      <w:r w:rsidRPr="00D026D4">
        <w:tab/>
        <w:t>opfordrer Tunesien til at tackle de mange udfordringer i hele regionen ved at påtage sig en rolle i opretholdelsen af menneskerettigheder og demokrati;</w:t>
      </w:r>
    </w:p>
    <w:p w14:paraId="4A5448C9" w14:textId="26E6EEFA" w:rsidR="00E365E1" w:rsidRPr="00D026D4" w:rsidRDefault="00970A47" w:rsidP="003C493D">
      <w:pPr>
        <w:pStyle w:val="NormalHanging12a"/>
      </w:pPr>
      <w:r w:rsidRPr="00D026D4">
        <w:t>10.</w:t>
      </w:r>
      <w:r w:rsidRPr="00D026D4">
        <w:tab/>
        <w:t>pålægger sin formand at sende denne beslutning til Rådet, Kommissionen, næstformanden/den højtstående repræsentant, medlemsstaternes regeringer og parlamenter og de tunesiske myndigheder.</w:t>
      </w:r>
    </w:p>
    <w:sectPr w:rsidR="00E365E1" w:rsidRPr="00D026D4" w:rsidSect="00D026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4A109" w14:textId="77777777" w:rsidR="00515A48" w:rsidRPr="00D026D4" w:rsidRDefault="00515A48">
      <w:r w:rsidRPr="00D026D4">
        <w:separator/>
      </w:r>
    </w:p>
  </w:endnote>
  <w:endnote w:type="continuationSeparator" w:id="0">
    <w:p w14:paraId="2D326F31" w14:textId="77777777" w:rsidR="00515A48" w:rsidRPr="00D026D4" w:rsidRDefault="00515A48">
      <w:r w:rsidRPr="00D026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172E" w14:textId="77777777" w:rsidR="00064002" w:rsidRPr="00D026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03377" w14:textId="77777777" w:rsidR="00064002" w:rsidRPr="00D026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73D6" w14:textId="77777777" w:rsidR="00064002" w:rsidRPr="00D026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EE701" w14:textId="77777777" w:rsidR="00515A48" w:rsidRPr="00D026D4" w:rsidRDefault="00515A48">
      <w:r w:rsidRPr="00D026D4">
        <w:separator/>
      </w:r>
    </w:p>
  </w:footnote>
  <w:footnote w:type="continuationSeparator" w:id="0">
    <w:p w14:paraId="4D3FDE98" w14:textId="77777777" w:rsidR="00515A48" w:rsidRPr="00D026D4" w:rsidRDefault="00515A48">
      <w:r w:rsidRPr="00D026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932F" w14:textId="77777777" w:rsidR="00064002" w:rsidRPr="00D026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FAEF8" w14:textId="77777777" w:rsidR="00064002" w:rsidRPr="00D026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6363" w14:textId="77777777" w:rsidR="00064002" w:rsidRPr="00D026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6244812">
    <w:abstractNumId w:val="9"/>
  </w:num>
  <w:num w:numId="2" w16cid:durableId="671104984">
    <w:abstractNumId w:val="9"/>
  </w:num>
  <w:num w:numId="3" w16cid:durableId="555046470">
    <w:abstractNumId w:val="7"/>
  </w:num>
  <w:num w:numId="4" w16cid:durableId="114831466">
    <w:abstractNumId w:val="7"/>
  </w:num>
  <w:num w:numId="5" w16cid:durableId="105127793">
    <w:abstractNumId w:val="6"/>
  </w:num>
  <w:num w:numId="6" w16cid:durableId="1152677779">
    <w:abstractNumId w:val="6"/>
  </w:num>
  <w:num w:numId="7" w16cid:durableId="103351497">
    <w:abstractNumId w:val="5"/>
  </w:num>
  <w:num w:numId="8" w16cid:durableId="430323745">
    <w:abstractNumId w:val="5"/>
  </w:num>
  <w:num w:numId="9" w16cid:durableId="710497417">
    <w:abstractNumId w:val="4"/>
  </w:num>
  <w:num w:numId="10" w16cid:durableId="1501774216">
    <w:abstractNumId w:val="4"/>
  </w:num>
  <w:num w:numId="11" w16cid:durableId="1996906846">
    <w:abstractNumId w:val="8"/>
  </w:num>
  <w:num w:numId="12" w16cid:durableId="1696736122">
    <w:abstractNumId w:val="8"/>
  </w:num>
  <w:num w:numId="13" w16cid:durableId="1740975327">
    <w:abstractNumId w:val="3"/>
  </w:num>
  <w:num w:numId="14" w16cid:durableId="342510969">
    <w:abstractNumId w:val="3"/>
  </w:num>
  <w:num w:numId="15" w16cid:durableId="201141115">
    <w:abstractNumId w:val="2"/>
  </w:num>
  <w:num w:numId="16" w16cid:durableId="718551081">
    <w:abstractNumId w:val="2"/>
  </w:num>
  <w:num w:numId="17" w16cid:durableId="907544284">
    <w:abstractNumId w:val="1"/>
  </w:num>
  <w:num w:numId="18" w16cid:durableId="191262195">
    <w:abstractNumId w:val="1"/>
  </w:num>
  <w:num w:numId="19" w16cid:durableId="1224103224">
    <w:abstractNumId w:val="0"/>
  </w:num>
  <w:num w:numId="20" w16cid:durableId="2075200749">
    <w:abstractNumId w:val="0"/>
  </w:num>
  <w:num w:numId="21" w16cid:durableId="85157611">
    <w:abstractNumId w:val="9"/>
  </w:num>
  <w:num w:numId="22" w16cid:durableId="623117925">
    <w:abstractNumId w:val="7"/>
  </w:num>
  <w:num w:numId="23" w16cid:durableId="1505392108">
    <w:abstractNumId w:val="6"/>
  </w:num>
  <w:num w:numId="24" w16cid:durableId="1617517167">
    <w:abstractNumId w:val="5"/>
  </w:num>
  <w:num w:numId="25" w16cid:durableId="1061906401">
    <w:abstractNumId w:val="4"/>
  </w:num>
  <w:num w:numId="26" w16cid:durableId="1978220157">
    <w:abstractNumId w:val="8"/>
  </w:num>
  <w:num w:numId="27" w16cid:durableId="247276867">
    <w:abstractNumId w:val="3"/>
  </w:num>
  <w:num w:numId="28" w16cid:durableId="1328635392">
    <w:abstractNumId w:val="2"/>
  </w:num>
  <w:num w:numId="29" w16cid:durableId="1304507878">
    <w:abstractNumId w:val="1"/>
  </w:num>
  <w:num w:numId="30" w16cid:durableId="2041588741">
    <w:abstractNumId w:val="0"/>
  </w:num>
  <w:num w:numId="31" w16cid:durableId="1807818977">
    <w:abstractNumId w:val="9"/>
  </w:num>
  <w:num w:numId="32" w16cid:durableId="542211285">
    <w:abstractNumId w:val="7"/>
  </w:num>
  <w:num w:numId="33" w16cid:durableId="1159467285">
    <w:abstractNumId w:val="6"/>
  </w:num>
  <w:num w:numId="34" w16cid:durableId="238105071">
    <w:abstractNumId w:val="5"/>
  </w:num>
  <w:num w:numId="35" w16cid:durableId="840195225">
    <w:abstractNumId w:val="4"/>
  </w:num>
  <w:num w:numId="36" w16cid:durableId="1713530087">
    <w:abstractNumId w:val="8"/>
  </w:num>
  <w:num w:numId="37" w16cid:durableId="1233732850">
    <w:abstractNumId w:val="3"/>
  </w:num>
  <w:num w:numId="38" w16cid:durableId="679431949">
    <w:abstractNumId w:val="2"/>
  </w:num>
  <w:num w:numId="39" w16cid:durableId="259526387">
    <w:abstractNumId w:val="1"/>
  </w:num>
  <w:num w:numId="40" w16cid:durableId="938945275">
    <w:abstractNumId w:val="0"/>
  </w:num>
  <w:num w:numId="41" w16cid:durableId="1912736297">
    <w:abstractNumId w:val="10"/>
  </w:num>
  <w:num w:numId="42" w16cid:durableId="889220968">
    <w:abstractNumId w:val="10"/>
  </w:num>
  <w:num w:numId="43" w16cid:durableId="6059866">
    <w:abstractNumId w:val="10"/>
  </w:num>
  <w:num w:numId="44" w16cid:durableId="1941601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DA"/>
    <w:docVar w:name="dvnumam" w:val="0"/>
    <w:docVar w:name="dvpe" w:val="778.991"/>
    <w:docVar w:name="dvtitre" w:val="Europa-Parlamentets beslutning af xx.xx 2025 om retsstats- og menneskerettighedssituationen i Tunesien, navnlig sagen om Sonia Dahmani(2025/2988(RSP))"/>
  </w:docVars>
  <w:rsids>
    <w:rsidRoot w:val="00515A48"/>
    <w:rsid w:val="00002272"/>
    <w:rsid w:val="0003012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423A"/>
    <w:rsid w:val="00395FA1"/>
    <w:rsid w:val="003C493D"/>
    <w:rsid w:val="003E15D4"/>
    <w:rsid w:val="00411CCE"/>
    <w:rsid w:val="00415B5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A4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A4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6D4"/>
    <w:rsid w:val="00D058B8"/>
    <w:rsid w:val="00D435FA"/>
    <w:rsid w:val="00D56C11"/>
    <w:rsid w:val="00D76DC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2CE8D"/>
  <w15:chartTrackingRefBased/>
  <w15:docId w15:val="{19B1AD96-FF5F-4F09-950E-BE875A68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70A47"/>
    <w:pPr>
      <w:spacing w:after="240"/>
      <w:ind w:left="567" w:hanging="567"/>
    </w:pPr>
  </w:style>
  <w:style w:type="paragraph" w:customStyle="1" w:styleId="EPComma">
    <w:name w:val="EPComma"/>
    <w:basedOn w:val="Normal"/>
    <w:rsid w:val="00970A4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70A47"/>
    <w:rPr>
      <w:sz w:val="24"/>
      <w:lang w:val="da-DK"/>
    </w:rPr>
  </w:style>
  <w:style w:type="paragraph" w:styleId="Revision">
    <w:name w:val="Revision"/>
    <w:hidden/>
    <w:uiPriority w:val="99"/>
    <w:semiHidden/>
    <w:rsid w:val="00D435FA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2025-11-27T07:26:00Z</dcterms:created>
  <dcterms:modified xsi:type="dcterms:W3CDTF">2025-11-27T11:18:00Z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