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05065" w14:paraId="29896323" w14:textId="77777777" w:rsidTr="0010095E">
        <w:trPr>
          <w:trHeight w:hRule="exact" w:val="1418"/>
        </w:trPr>
        <w:tc>
          <w:tcPr>
            <w:tcW w:w="6804" w:type="dxa"/>
            <w:shd w:val="clear" w:color="auto" w:fill="auto"/>
            <w:vAlign w:val="center"/>
          </w:tcPr>
          <w:p w14:paraId="59462E47" w14:textId="77777777" w:rsidR="00751A4A" w:rsidRPr="00805065" w:rsidRDefault="00053A60" w:rsidP="0010095E">
            <w:pPr>
              <w:pStyle w:val="EPName"/>
            </w:pPr>
            <w:r w:rsidRPr="00805065">
              <w:t>European Parliament</w:t>
            </w:r>
          </w:p>
          <w:p w14:paraId="746A4157" w14:textId="77777777" w:rsidR="00751A4A" w:rsidRPr="00805065" w:rsidRDefault="005F1B17" w:rsidP="005F1B17">
            <w:pPr>
              <w:pStyle w:val="EPTerm"/>
              <w:rPr>
                <w:rStyle w:val="HideTWBExt"/>
                <w:noProof w:val="0"/>
                <w:vanish w:val="0"/>
                <w:color w:val="auto"/>
              </w:rPr>
            </w:pPr>
            <w:r w:rsidRPr="00805065">
              <w:t>2024</w:t>
            </w:r>
            <w:r w:rsidR="00817416" w:rsidRPr="00805065">
              <w:t>-202</w:t>
            </w:r>
            <w:r w:rsidRPr="00805065">
              <w:t>9</w:t>
            </w:r>
          </w:p>
        </w:tc>
        <w:tc>
          <w:tcPr>
            <w:tcW w:w="2268" w:type="dxa"/>
            <w:shd w:val="clear" w:color="auto" w:fill="auto"/>
          </w:tcPr>
          <w:p w14:paraId="2B59A7DC" w14:textId="77777777" w:rsidR="00751A4A" w:rsidRPr="00805065" w:rsidRDefault="00187494" w:rsidP="0010095E">
            <w:pPr>
              <w:pStyle w:val="EPLogo"/>
            </w:pPr>
            <w:r w:rsidRPr="00805065">
              <w:rPr>
                <w:noProof/>
                <w:lang w:eastAsia="ja-JP"/>
              </w:rPr>
              <w:drawing>
                <wp:inline distT="0" distB="0" distL="0" distR="0" wp14:anchorId="3596F6B1" wp14:editId="7B82B72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6AD02BE" w14:textId="77777777" w:rsidR="00D058B8" w:rsidRPr="00805065" w:rsidRDefault="00D058B8" w:rsidP="004C5D52">
      <w:pPr>
        <w:pStyle w:val="LineTop"/>
      </w:pPr>
    </w:p>
    <w:p w14:paraId="064F0260" w14:textId="77777777" w:rsidR="00680577" w:rsidRPr="00805065" w:rsidRDefault="00053A60" w:rsidP="00680577">
      <w:pPr>
        <w:pStyle w:val="EPBodyTA1"/>
      </w:pPr>
      <w:r w:rsidRPr="00805065">
        <w:t>TEXTS ADOPTED</w:t>
      </w:r>
    </w:p>
    <w:p w14:paraId="201ADE11" w14:textId="77777777" w:rsidR="00D058B8" w:rsidRPr="00805065" w:rsidRDefault="00D058B8" w:rsidP="00D058B8">
      <w:pPr>
        <w:pStyle w:val="LineBottom"/>
      </w:pPr>
    </w:p>
    <w:p w14:paraId="41C5E6B3" w14:textId="639DB574" w:rsidR="00053A60" w:rsidRPr="00805065" w:rsidRDefault="00053A60" w:rsidP="00053A60">
      <w:pPr>
        <w:pStyle w:val="ATHeading1"/>
      </w:pPr>
      <w:bookmarkStart w:id="0" w:name="TANumber"/>
      <w:r w:rsidRPr="00805065">
        <w:t>P10_TA(2025)</w:t>
      </w:r>
      <w:bookmarkEnd w:id="0"/>
      <w:r w:rsidR="0037724F">
        <w:t>0304</w:t>
      </w:r>
    </w:p>
    <w:p w14:paraId="60304787" w14:textId="77777777" w:rsidR="00053A60" w:rsidRPr="00805065" w:rsidRDefault="00053A60" w:rsidP="00053A60">
      <w:pPr>
        <w:pStyle w:val="ATHeading2"/>
      </w:pPr>
      <w:bookmarkStart w:id="1" w:name="title"/>
      <w:r w:rsidRPr="00805065">
        <w:t xml:space="preserve">Rule of law and human rights situation in Tunisia, particularly the case of Sonia </w:t>
      </w:r>
      <w:proofErr w:type="spellStart"/>
      <w:r w:rsidRPr="00805065">
        <w:t>Dahmani</w:t>
      </w:r>
      <w:bookmarkEnd w:id="1"/>
      <w:proofErr w:type="spellEnd"/>
    </w:p>
    <w:p w14:paraId="3734F277" w14:textId="3A91957B" w:rsidR="00053A60" w:rsidRPr="00805065" w:rsidRDefault="00053A60" w:rsidP="00053A60">
      <w:pPr>
        <w:rPr>
          <w:i/>
          <w:vanish/>
        </w:rPr>
      </w:pPr>
      <w:r w:rsidRPr="00805065">
        <w:rPr>
          <w:i/>
        </w:rPr>
        <w:fldChar w:fldCharType="begin"/>
      </w:r>
      <w:r w:rsidRPr="00805065">
        <w:rPr>
          <w:i/>
        </w:rPr>
        <w:instrText xml:space="preserve"> TC"(</w:instrText>
      </w:r>
      <w:bookmarkStart w:id="2" w:name="DocNumber"/>
      <w:r w:rsidRPr="00805065">
        <w:rPr>
          <w:i/>
        </w:rPr>
        <w:instrText>B10-0518</w:instrText>
      </w:r>
      <w:r w:rsidR="00AA47FB">
        <w:rPr>
          <w:i/>
        </w:rPr>
        <w:instrText>, 0520, 0525, 0532 and 0538</w:instrText>
      </w:r>
      <w:r w:rsidRPr="00805065">
        <w:rPr>
          <w:i/>
        </w:rPr>
        <w:instrText>/2025</w:instrText>
      </w:r>
      <w:bookmarkEnd w:id="2"/>
      <w:r w:rsidRPr="00805065">
        <w:rPr>
          <w:i/>
        </w:rPr>
        <w:instrText xml:space="preserve">)"\l3 \n&gt; \* MERGEFORMAT </w:instrText>
      </w:r>
      <w:r w:rsidRPr="00805065">
        <w:rPr>
          <w:i/>
        </w:rPr>
        <w:fldChar w:fldCharType="end"/>
      </w:r>
    </w:p>
    <w:p w14:paraId="054692B4" w14:textId="77777777" w:rsidR="00053A60" w:rsidRPr="00805065" w:rsidRDefault="00053A60" w:rsidP="00053A60">
      <w:pPr>
        <w:rPr>
          <w:vanish/>
        </w:rPr>
      </w:pPr>
      <w:bookmarkStart w:id="3" w:name="PE"/>
      <w:r w:rsidRPr="00805065">
        <w:rPr>
          <w:vanish/>
        </w:rPr>
        <w:t>PE778.991</w:t>
      </w:r>
      <w:bookmarkEnd w:id="3"/>
    </w:p>
    <w:p w14:paraId="7F76C433" w14:textId="77777777" w:rsidR="00053A60" w:rsidRPr="00805065" w:rsidRDefault="00053A60" w:rsidP="00053A60">
      <w:pPr>
        <w:pStyle w:val="ATHeading3"/>
      </w:pPr>
      <w:bookmarkStart w:id="4" w:name="Sujet"/>
      <w:r w:rsidRPr="00805065">
        <w:t xml:space="preserve">European Parliament resolution of 27 November 2025 on the rule of law and human rights situation in Tunisia, particularly the case of Sonia </w:t>
      </w:r>
      <w:proofErr w:type="spellStart"/>
      <w:r w:rsidRPr="00805065">
        <w:t>Dahmani</w:t>
      </w:r>
      <w:bookmarkEnd w:id="4"/>
      <w:proofErr w:type="spellEnd"/>
      <w:r w:rsidRPr="00805065">
        <w:t xml:space="preserve"> </w:t>
      </w:r>
      <w:bookmarkStart w:id="5" w:name="References"/>
      <w:r w:rsidRPr="00805065">
        <w:t>(2025/2988(RSP))</w:t>
      </w:r>
      <w:bookmarkEnd w:id="5"/>
    </w:p>
    <w:p w14:paraId="527AE798" w14:textId="77777777" w:rsidR="00303F33" w:rsidRPr="00805065" w:rsidRDefault="00303F33" w:rsidP="00303F33">
      <w:pPr>
        <w:pStyle w:val="EPComma"/>
      </w:pPr>
      <w:bookmarkStart w:id="6" w:name="TextBodyBegin"/>
      <w:bookmarkEnd w:id="6"/>
      <w:r w:rsidRPr="00805065">
        <w:rPr>
          <w:i/>
        </w:rPr>
        <w:t>The European Parliament</w:t>
      </w:r>
      <w:r w:rsidRPr="00805065">
        <w:t>,</w:t>
      </w:r>
    </w:p>
    <w:p w14:paraId="501396FF" w14:textId="77777777" w:rsidR="00303F33" w:rsidRPr="00805065" w:rsidRDefault="00303F33" w:rsidP="00AA47FB">
      <w:pPr>
        <w:pStyle w:val="NormalHanging12a"/>
        <w:widowControl/>
        <w:rPr>
          <w:rFonts w:eastAsiaTheme="minorEastAsia"/>
        </w:rPr>
      </w:pPr>
      <w:r w:rsidRPr="00805065">
        <w:rPr>
          <w:rFonts w:eastAsiaTheme="minorEastAsia"/>
        </w:rPr>
        <w:t>–</w:t>
      </w:r>
      <w:r w:rsidRPr="00805065">
        <w:rPr>
          <w:rFonts w:eastAsiaTheme="minorEastAsia"/>
        </w:rPr>
        <w:tab/>
        <w:t>having regard to its previous resolutions on Tunisia,</w:t>
      </w:r>
    </w:p>
    <w:p w14:paraId="1A949A3E" w14:textId="77777777" w:rsidR="00303F33" w:rsidRPr="00805065" w:rsidRDefault="00303F33" w:rsidP="00AA47FB">
      <w:pPr>
        <w:pStyle w:val="NormalHanging12a"/>
        <w:widowControl/>
        <w:rPr>
          <w:rFonts w:eastAsiaTheme="minorEastAsia"/>
        </w:rPr>
      </w:pPr>
      <w:r w:rsidRPr="00805065">
        <w:rPr>
          <w:rFonts w:eastAsiaTheme="minorEastAsia"/>
        </w:rPr>
        <w:t>–</w:t>
      </w:r>
      <w:r w:rsidRPr="00805065">
        <w:rPr>
          <w:rFonts w:eastAsiaTheme="minorEastAsia"/>
        </w:rPr>
        <w:tab/>
        <w:t>having regard to the EU-Tunisia Association Agreement,</w:t>
      </w:r>
    </w:p>
    <w:p w14:paraId="51EDFBB0" w14:textId="77777777" w:rsidR="00303F33" w:rsidRPr="00805065" w:rsidRDefault="00303F33" w:rsidP="00AA47FB">
      <w:pPr>
        <w:pStyle w:val="NormalHanging12a"/>
        <w:widowControl/>
        <w:rPr>
          <w:rFonts w:eastAsiaTheme="minorEastAsia"/>
        </w:rPr>
      </w:pPr>
      <w:r w:rsidRPr="00805065">
        <w:rPr>
          <w:rFonts w:eastAsiaTheme="minorEastAsia"/>
        </w:rPr>
        <w:t>–</w:t>
      </w:r>
      <w:r w:rsidRPr="00805065">
        <w:rPr>
          <w:rFonts w:eastAsiaTheme="minorEastAsia"/>
        </w:rPr>
        <w:tab/>
        <w:t>having regard to the EU-Tunisia Memorandum of Understanding,</w:t>
      </w:r>
    </w:p>
    <w:p w14:paraId="31DD6D80" w14:textId="77777777" w:rsidR="00303F33" w:rsidRPr="00805065" w:rsidRDefault="00303F33" w:rsidP="00AA47FB">
      <w:pPr>
        <w:pStyle w:val="NormalHanging12a"/>
        <w:widowControl/>
      </w:pPr>
      <w:r w:rsidRPr="00805065">
        <w:rPr>
          <w:rFonts w:eastAsiaTheme="minorEastAsia"/>
        </w:rPr>
        <w:t>–</w:t>
      </w:r>
      <w:r w:rsidRPr="00805065">
        <w:tab/>
        <w:t>having regard to Rules 150(5) and 136(4) of its Rules of Procedure,</w:t>
      </w:r>
    </w:p>
    <w:p w14:paraId="16BE83D2" w14:textId="77777777" w:rsidR="00303F33" w:rsidRPr="00805065" w:rsidRDefault="00303F33" w:rsidP="00AA47FB">
      <w:pPr>
        <w:pStyle w:val="NormalHanging12a"/>
        <w:widowControl/>
      </w:pPr>
      <w:r w:rsidRPr="00805065">
        <w:t>A.</w:t>
      </w:r>
      <w:r w:rsidRPr="00805065">
        <w:tab/>
        <w:t xml:space="preserve">whereas lawyer and journalist Sonia </w:t>
      </w:r>
      <w:proofErr w:type="spellStart"/>
      <w:r w:rsidRPr="00805065">
        <w:t>Dahmani</w:t>
      </w:r>
      <w:proofErr w:type="spellEnd"/>
      <w:r w:rsidRPr="00805065">
        <w:t xml:space="preserve"> was arrested in May 2024 at the Tunisian Bar Association’s office following her appearance on the TV channel Carthage+; whereas since her arrest she has faced five separate court proceedings and has been convicted three times; whereas further trials are </w:t>
      </w:r>
      <w:proofErr w:type="gramStart"/>
      <w:r w:rsidRPr="00805065">
        <w:t>planned</w:t>
      </w:r>
      <w:proofErr w:type="gramEnd"/>
      <w:r w:rsidRPr="00805065">
        <w:t xml:space="preserve"> and her total sentence could reach up to 24 years;</w:t>
      </w:r>
    </w:p>
    <w:p w14:paraId="25D3CB3C" w14:textId="77777777" w:rsidR="00303F33" w:rsidRPr="00805065" w:rsidRDefault="00303F33" w:rsidP="00AA47FB">
      <w:pPr>
        <w:pStyle w:val="NormalHanging12a"/>
        <w:widowControl/>
      </w:pPr>
      <w:r w:rsidRPr="00805065">
        <w:t>B.</w:t>
      </w:r>
      <w:r w:rsidRPr="00805065">
        <w:tab/>
        <w:t xml:space="preserve">whereas Sonia </w:t>
      </w:r>
      <w:proofErr w:type="spellStart"/>
      <w:r w:rsidRPr="00805065">
        <w:t>Dahmani</w:t>
      </w:r>
      <w:proofErr w:type="spellEnd"/>
      <w:r w:rsidRPr="00805065">
        <w:t xml:space="preserve"> is subjected to inhuman and degrading detention conditions, without access to medical </w:t>
      </w:r>
      <w:proofErr w:type="gramStart"/>
      <w:r w:rsidRPr="00805065">
        <w:t>care;</w:t>
      </w:r>
      <w:proofErr w:type="gramEnd"/>
    </w:p>
    <w:p w14:paraId="49287C43" w14:textId="77777777" w:rsidR="00303F33" w:rsidRPr="00805065" w:rsidRDefault="00303F33" w:rsidP="00AA47FB">
      <w:pPr>
        <w:pStyle w:val="NormalHanging12a"/>
        <w:widowControl/>
      </w:pPr>
      <w:r w:rsidRPr="00805065">
        <w:t>C.</w:t>
      </w:r>
      <w:r w:rsidRPr="00805065">
        <w:tab/>
        <w:t xml:space="preserve">whereas her sister </w:t>
      </w:r>
      <w:proofErr w:type="spellStart"/>
      <w:r w:rsidRPr="00805065">
        <w:t>Ramla</w:t>
      </w:r>
      <w:proofErr w:type="spellEnd"/>
      <w:r w:rsidRPr="00805065">
        <w:t xml:space="preserve"> </w:t>
      </w:r>
      <w:proofErr w:type="spellStart"/>
      <w:r w:rsidRPr="00805065">
        <w:t>Dahmani</w:t>
      </w:r>
      <w:proofErr w:type="spellEnd"/>
      <w:r w:rsidRPr="00805065">
        <w:t xml:space="preserve"> was sentenced in absentia in July 2025 on charges of spreading false </w:t>
      </w:r>
      <w:proofErr w:type="gramStart"/>
      <w:r w:rsidRPr="00805065">
        <w:t>news;</w:t>
      </w:r>
      <w:proofErr w:type="gramEnd"/>
    </w:p>
    <w:p w14:paraId="3133EA69" w14:textId="77777777" w:rsidR="00303F33" w:rsidRPr="00805065" w:rsidRDefault="00303F33" w:rsidP="00AA47FB">
      <w:pPr>
        <w:pStyle w:val="NormalHanging12a"/>
        <w:widowControl/>
      </w:pPr>
      <w:r w:rsidRPr="00805065">
        <w:t>1.</w:t>
      </w:r>
      <w:r w:rsidRPr="00805065">
        <w:tab/>
        <w:t xml:space="preserve">Condemns the arbitrary detention, judicial harassment and sentencing of lawyer and media commentator Sonia </w:t>
      </w:r>
      <w:proofErr w:type="spellStart"/>
      <w:proofErr w:type="gramStart"/>
      <w:r w:rsidRPr="00805065">
        <w:t>Dahmani</w:t>
      </w:r>
      <w:proofErr w:type="spellEnd"/>
      <w:r w:rsidRPr="00805065">
        <w:t>;</w:t>
      </w:r>
      <w:proofErr w:type="gramEnd"/>
    </w:p>
    <w:p w14:paraId="2FB49058" w14:textId="77777777" w:rsidR="00303F33" w:rsidRPr="00805065" w:rsidRDefault="00303F33" w:rsidP="00AA47FB">
      <w:pPr>
        <w:pStyle w:val="NormalHanging12a"/>
        <w:widowControl/>
      </w:pPr>
      <w:r w:rsidRPr="00805065">
        <w:t>2.</w:t>
      </w:r>
      <w:r w:rsidRPr="00805065">
        <w:tab/>
        <w:t xml:space="preserve">Demands the immediate and unconditional release of Sonia </w:t>
      </w:r>
      <w:proofErr w:type="spellStart"/>
      <w:r w:rsidRPr="00805065">
        <w:t>Dahmani</w:t>
      </w:r>
      <w:proofErr w:type="spellEnd"/>
      <w:r w:rsidRPr="00805065">
        <w:t xml:space="preserve"> and all those detained for exercising their right to freedom of expression, including political prisoners and human rights defenders; urges the Tunisian authorities to drop all charges against Sonia </w:t>
      </w:r>
      <w:proofErr w:type="spellStart"/>
      <w:r w:rsidRPr="00805065">
        <w:t>Dahmani</w:t>
      </w:r>
      <w:proofErr w:type="spellEnd"/>
      <w:r w:rsidRPr="00805065">
        <w:t xml:space="preserve"> and her sister and to refrain from harassing their </w:t>
      </w:r>
      <w:proofErr w:type="gramStart"/>
      <w:r w:rsidRPr="00805065">
        <w:t>family;</w:t>
      </w:r>
      <w:proofErr w:type="gramEnd"/>
    </w:p>
    <w:p w14:paraId="3D123D69" w14:textId="77777777" w:rsidR="00303F33" w:rsidRPr="00805065" w:rsidRDefault="00303F33" w:rsidP="00AA47FB">
      <w:pPr>
        <w:pStyle w:val="NormalHanging12a"/>
        <w:widowControl/>
      </w:pPr>
      <w:r w:rsidRPr="00805065">
        <w:lastRenderedPageBreak/>
        <w:t>3.</w:t>
      </w:r>
      <w:r w:rsidRPr="00805065">
        <w:tab/>
      </w:r>
      <w:bookmarkStart w:id="7" w:name="_Hlk214916283"/>
      <w:r w:rsidRPr="00805065">
        <w:t xml:space="preserve">Denounces the conditions under which Sonia </w:t>
      </w:r>
      <w:proofErr w:type="spellStart"/>
      <w:r w:rsidRPr="00805065">
        <w:t>Dahmani</w:t>
      </w:r>
      <w:proofErr w:type="spellEnd"/>
      <w:r w:rsidRPr="00805065">
        <w:t xml:space="preserve"> is being held, including inadequate medical care, limited communication with her family and legal counsel, and delayed hearings, alongside multiple cases aimed at extending her </w:t>
      </w:r>
      <w:proofErr w:type="gramStart"/>
      <w:r w:rsidRPr="00805065">
        <w:t>detention</w:t>
      </w:r>
      <w:bookmarkEnd w:id="7"/>
      <w:r w:rsidRPr="00805065">
        <w:t>;</w:t>
      </w:r>
      <w:proofErr w:type="gramEnd"/>
    </w:p>
    <w:p w14:paraId="7FCABCE2" w14:textId="77777777" w:rsidR="00303F33" w:rsidRPr="00805065" w:rsidRDefault="00303F33" w:rsidP="00AA47FB">
      <w:pPr>
        <w:pStyle w:val="NormalHanging12a"/>
        <w:widowControl/>
      </w:pPr>
      <w:r w:rsidRPr="00805065">
        <w:t>4.</w:t>
      </w:r>
      <w:r w:rsidRPr="00805065">
        <w:tab/>
        <w:t xml:space="preserve">Insists that the Tunisian authorities protect freedom of assembly and expression, guarantee judicial independence, prevent executive interference in judicial functions and uphold the rights and freedoms guaranteed by the Tunisian Constitution; condemns the escalating arbitrary detentions, politically motivated persecutions and restrictions on </w:t>
      </w:r>
      <w:proofErr w:type="gramStart"/>
      <w:r w:rsidRPr="00805065">
        <w:t>freedoms;</w:t>
      </w:r>
      <w:proofErr w:type="gramEnd"/>
    </w:p>
    <w:p w14:paraId="1FBD1ED8" w14:textId="77777777" w:rsidR="00303F33" w:rsidRPr="00805065" w:rsidRDefault="00303F33" w:rsidP="00AA47FB">
      <w:pPr>
        <w:pStyle w:val="NormalHanging12a"/>
        <w:widowControl/>
      </w:pPr>
      <w:r w:rsidRPr="00805065">
        <w:t>5.</w:t>
      </w:r>
      <w:r w:rsidRPr="00805065">
        <w:tab/>
        <w:t xml:space="preserve">Calls for the full repeal of Decree-Law 54, which has led to prosecutions for expressions of opinion, and of all abusive legislation used to limit </w:t>
      </w:r>
      <w:proofErr w:type="gramStart"/>
      <w:r w:rsidRPr="00805065">
        <w:t>freedoms;</w:t>
      </w:r>
      <w:proofErr w:type="gramEnd"/>
    </w:p>
    <w:p w14:paraId="3554F7F2" w14:textId="77777777" w:rsidR="00303F33" w:rsidRPr="00805065" w:rsidRDefault="00303F33" w:rsidP="00AA47FB">
      <w:pPr>
        <w:pStyle w:val="NormalHanging12a"/>
        <w:widowControl/>
      </w:pPr>
      <w:r w:rsidRPr="00805065">
        <w:t>6.</w:t>
      </w:r>
      <w:r w:rsidRPr="00805065">
        <w:tab/>
        <w:t xml:space="preserve">Calls for the EU institutions to express deep concern regarding the deterioration of human rights in Tunisia and to pursue coordinated diplomatic action aimed at facilitating the release of political </w:t>
      </w:r>
      <w:proofErr w:type="gramStart"/>
      <w:r w:rsidRPr="00805065">
        <w:t>detainees;</w:t>
      </w:r>
      <w:proofErr w:type="gramEnd"/>
    </w:p>
    <w:p w14:paraId="17B8D097" w14:textId="77777777" w:rsidR="00303F33" w:rsidRPr="00805065" w:rsidRDefault="00303F33" w:rsidP="00AA47FB">
      <w:pPr>
        <w:pStyle w:val="NormalHanging12a"/>
        <w:widowControl/>
      </w:pPr>
      <w:r w:rsidRPr="00805065">
        <w:t>7.</w:t>
      </w:r>
      <w:r w:rsidRPr="00805065">
        <w:tab/>
        <w:t xml:space="preserve">Calls on the Tunisian authorities to comply with their obligations under international human rights law and the EU-Tunisia Association Agreement; takes note of the recent postponement of the EU-Tunisia Association Council and asks the Commission to make the human rights situation the centre of any political dialogue, financial assistance, security cooperation and agreements with </w:t>
      </w:r>
      <w:proofErr w:type="gramStart"/>
      <w:r w:rsidRPr="00805065">
        <w:t>Tunisia;</w:t>
      </w:r>
      <w:proofErr w:type="gramEnd"/>
    </w:p>
    <w:p w14:paraId="2826E3E2" w14:textId="77777777" w:rsidR="00303F33" w:rsidRPr="00805065" w:rsidRDefault="00303F33" w:rsidP="00AA47FB">
      <w:pPr>
        <w:pStyle w:val="NormalHanging12a"/>
        <w:widowControl/>
      </w:pPr>
      <w:r w:rsidRPr="00805065">
        <w:t>8.</w:t>
      </w:r>
      <w:r w:rsidRPr="00805065">
        <w:tab/>
        <w:t xml:space="preserve">Expresses unwavering solidarity with Tunisia’s civil society, human rights defenders, independent media and journalists, and lawyers’ associations; calls on the Commission to respond to the Tunisian Government’s decision to block civil society organisations’ bank accounts; underlines the critical role that legal professionals play in safeguarding the rule of law and the integrity of the judicial </w:t>
      </w:r>
      <w:proofErr w:type="gramStart"/>
      <w:r w:rsidRPr="00805065">
        <w:t>system;</w:t>
      </w:r>
      <w:proofErr w:type="gramEnd"/>
    </w:p>
    <w:p w14:paraId="77012353" w14:textId="77777777" w:rsidR="00303F33" w:rsidRPr="00805065" w:rsidRDefault="00303F33" w:rsidP="00AA47FB">
      <w:pPr>
        <w:pStyle w:val="NormalHanging12a"/>
        <w:widowControl/>
      </w:pPr>
      <w:r w:rsidRPr="00805065">
        <w:t>9.</w:t>
      </w:r>
      <w:r w:rsidRPr="00805065">
        <w:tab/>
        <w:t xml:space="preserve">Encourages Tunisia to tackle the multiple challenges across the region by assuming a role in upholding human rights and </w:t>
      </w:r>
      <w:proofErr w:type="gramStart"/>
      <w:r w:rsidRPr="00805065">
        <w:t>democracy;</w:t>
      </w:r>
      <w:proofErr w:type="gramEnd"/>
    </w:p>
    <w:p w14:paraId="01B51946" w14:textId="0828BD2D" w:rsidR="00805065" w:rsidRPr="00805065" w:rsidRDefault="00303F33" w:rsidP="00AA47FB">
      <w:pPr>
        <w:pStyle w:val="NormalHanging12a"/>
        <w:widowControl/>
      </w:pPr>
      <w:r w:rsidRPr="00805065">
        <w:t>10.</w:t>
      </w:r>
      <w:r w:rsidRPr="00805065">
        <w:tab/>
        <w:t>Instructs its President to forward this resolution to the Council, the Commission, the VP/HR, the governments and parliaments of the Member States, and the Tunisian authorities.</w:t>
      </w:r>
    </w:p>
    <w:p w14:paraId="7E660206" w14:textId="30EC939A" w:rsidR="00E365E1" w:rsidRPr="00805065" w:rsidRDefault="00E365E1" w:rsidP="00AA47FB">
      <w:pPr>
        <w:widowControl/>
        <w:spacing w:after="240"/>
        <w:ind w:left="567" w:hanging="567"/>
      </w:pPr>
    </w:p>
    <w:sectPr w:rsidR="00E365E1" w:rsidRPr="00805065" w:rsidSect="0080506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FE2C4" w14:textId="77777777" w:rsidR="00053A60" w:rsidRPr="00805065" w:rsidRDefault="00053A60">
      <w:r w:rsidRPr="00805065">
        <w:separator/>
      </w:r>
    </w:p>
  </w:endnote>
  <w:endnote w:type="continuationSeparator" w:id="0">
    <w:p w14:paraId="038BFE06" w14:textId="77777777" w:rsidR="00053A60" w:rsidRPr="00805065" w:rsidRDefault="00053A60">
      <w:r w:rsidRPr="008050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CC312" w14:textId="77777777" w:rsidR="00064002" w:rsidRPr="00805065"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53B35" w14:textId="77777777" w:rsidR="00064002" w:rsidRPr="00805065"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09F19" w14:textId="77777777" w:rsidR="00064002" w:rsidRPr="0080506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F362" w14:textId="77777777" w:rsidR="00053A60" w:rsidRPr="00805065" w:rsidRDefault="00053A60">
      <w:r w:rsidRPr="00805065">
        <w:separator/>
      </w:r>
    </w:p>
  </w:footnote>
  <w:footnote w:type="continuationSeparator" w:id="0">
    <w:p w14:paraId="4CEA32A9" w14:textId="77777777" w:rsidR="00053A60" w:rsidRPr="00805065" w:rsidRDefault="00053A60">
      <w:r w:rsidRPr="0080506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503D5" w14:textId="77777777" w:rsidR="00064002" w:rsidRPr="00805065"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D38B8" w14:textId="77777777" w:rsidR="00064002" w:rsidRPr="00805065"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27A44" w14:textId="77777777" w:rsidR="00064002" w:rsidRPr="0080506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83270535">
    <w:abstractNumId w:val="9"/>
  </w:num>
  <w:num w:numId="2" w16cid:durableId="1622955448">
    <w:abstractNumId w:val="9"/>
  </w:num>
  <w:num w:numId="3" w16cid:durableId="1008484770">
    <w:abstractNumId w:val="7"/>
  </w:num>
  <w:num w:numId="4" w16cid:durableId="831408663">
    <w:abstractNumId w:val="7"/>
  </w:num>
  <w:num w:numId="5" w16cid:durableId="544486678">
    <w:abstractNumId w:val="6"/>
  </w:num>
  <w:num w:numId="6" w16cid:durableId="394820208">
    <w:abstractNumId w:val="6"/>
  </w:num>
  <w:num w:numId="7" w16cid:durableId="167449799">
    <w:abstractNumId w:val="5"/>
  </w:num>
  <w:num w:numId="8" w16cid:durableId="757794418">
    <w:abstractNumId w:val="5"/>
  </w:num>
  <w:num w:numId="9" w16cid:durableId="855458574">
    <w:abstractNumId w:val="4"/>
  </w:num>
  <w:num w:numId="10" w16cid:durableId="611130254">
    <w:abstractNumId w:val="4"/>
  </w:num>
  <w:num w:numId="11" w16cid:durableId="1101414841">
    <w:abstractNumId w:val="8"/>
  </w:num>
  <w:num w:numId="12" w16cid:durableId="544872787">
    <w:abstractNumId w:val="8"/>
  </w:num>
  <w:num w:numId="13" w16cid:durableId="1740208123">
    <w:abstractNumId w:val="3"/>
  </w:num>
  <w:num w:numId="14" w16cid:durableId="496847432">
    <w:abstractNumId w:val="3"/>
  </w:num>
  <w:num w:numId="15" w16cid:durableId="686519156">
    <w:abstractNumId w:val="2"/>
  </w:num>
  <w:num w:numId="16" w16cid:durableId="529151931">
    <w:abstractNumId w:val="2"/>
  </w:num>
  <w:num w:numId="17" w16cid:durableId="681661937">
    <w:abstractNumId w:val="1"/>
  </w:num>
  <w:num w:numId="18" w16cid:durableId="1842046692">
    <w:abstractNumId w:val="1"/>
  </w:num>
  <w:num w:numId="19" w16cid:durableId="1361711506">
    <w:abstractNumId w:val="0"/>
  </w:num>
  <w:num w:numId="20" w16cid:durableId="885023623">
    <w:abstractNumId w:val="0"/>
  </w:num>
  <w:num w:numId="21" w16cid:durableId="844511230">
    <w:abstractNumId w:val="9"/>
  </w:num>
  <w:num w:numId="22" w16cid:durableId="1584533911">
    <w:abstractNumId w:val="7"/>
  </w:num>
  <w:num w:numId="23" w16cid:durableId="2087918226">
    <w:abstractNumId w:val="6"/>
  </w:num>
  <w:num w:numId="24" w16cid:durableId="2131241447">
    <w:abstractNumId w:val="5"/>
  </w:num>
  <w:num w:numId="25" w16cid:durableId="1154570640">
    <w:abstractNumId w:val="4"/>
  </w:num>
  <w:num w:numId="26" w16cid:durableId="2137526139">
    <w:abstractNumId w:val="8"/>
  </w:num>
  <w:num w:numId="27" w16cid:durableId="1698772777">
    <w:abstractNumId w:val="3"/>
  </w:num>
  <w:num w:numId="28" w16cid:durableId="1199394710">
    <w:abstractNumId w:val="2"/>
  </w:num>
  <w:num w:numId="29" w16cid:durableId="1541431500">
    <w:abstractNumId w:val="1"/>
  </w:num>
  <w:num w:numId="30" w16cid:durableId="1065034122">
    <w:abstractNumId w:val="0"/>
  </w:num>
  <w:num w:numId="31" w16cid:durableId="746534370">
    <w:abstractNumId w:val="9"/>
  </w:num>
  <w:num w:numId="32" w16cid:durableId="1680811937">
    <w:abstractNumId w:val="7"/>
  </w:num>
  <w:num w:numId="33" w16cid:durableId="1140070781">
    <w:abstractNumId w:val="6"/>
  </w:num>
  <w:num w:numId="34" w16cid:durableId="761755002">
    <w:abstractNumId w:val="5"/>
  </w:num>
  <w:num w:numId="35" w16cid:durableId="179047450">
    <w:abstractNumId w:val="4"/>
  </w:num>
  <w:num w:numId="36" w16cid:durableId="734814177">
    <w:abstractNumId w:val="8"/>
  </w:num>
  <w:num w:numId="37" w16cid:durableId="1800611833">
    <w:abstractNumId w:val="3"/>
  </w:num>
  <w:num w:numId="38" w16cid:durableId="1299265301">
    <w:abstractNumId w:val="2"/>
  </w:num>
  <w:num w:numId="39" w16cid:durableId="895897445">
    <w:abstractNumId w:val="1"/>
  </w:num>
  <w:num w:numId="40" w16cid:durableId="1498569830">
    <w:abstractNumId w:val="0"/>
  </w:num>
  <w:num w:numId="41" w16cid:durableId="1226137749">
    <w:abstractNumId w:val="10"/>
  </w:num>
  <w:num w:numId="42" w16cid:durableId="911429656">
    <w:abstractNumId w:val="10"/>
  </w:num>
  <w:num w:numId="43" w16cid:durableId="717556160">
    <w:abstractNumId w:val="10"/>
  </w:num>
  <w:num w:numId="44" w16cid:durableId="13680229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518/2025"/>
    <w:docVar w:name="dvlangue" w:val="EN"/>
    <w:docVar w:name="dvnumam" w:val="0"/>
    <w:docVar w:name="dvpe" w:val="778.991"/>
    <w:docVar w:name="dvtitre" w:val="European Parliament resolution of 27 November 2025 on the rule of law and human rights situation in Tunisia, particularly the case of Sonia Dahmani(2025/2988(RSP))"/>
  </w:docVars>
  <w:rsids>
    <w:rsidRoot w:val="00053A60"/>
    <w:rsid w:val="00002272"/>
    <w:rsid w:val="00053A60"/>
    <w:rsid w:val="00064002"/>
    <w:rsid w:val="000677B9"/>
    <w:rsid w:val="000831BA"/>
    <w:rsid w:val="000A42CC"/>
    <w:rsid w:val="000E7DD9"/>
    <w:rsid w:val="0010095E"/>
    <w:rsid w:val="00125B37"/>
    <w:rsid w:val="00187494"/>
    <w:rsid w:val="001F32AE"/>
    <w:rsid w:val="002767FF"/>
    <w:rsid w:val="002B18FE"/>
    <w:rsid w:val="002B5493"/>
    <w:rsid w:val="00303F33"/>
    <w:rsid w:val="00343214"/>
    <w:rsid w:val="00361C00"/>
    <w:rsid w:val="0037724F"/>
    <w:rsid w:val="00395FA1"/>
    <w:rsid w:val="003E15D4"/>
    <w:rsid w:val="00411CCE"/>
    <w:rsid w:val="0041666E"/>
    <w:rsid w:val="00421060"/>
    <w:rsid w:val="00471C19"/>
    <w:rsid w:val="004867E3"/>
    <w:rsid w:val="00494A28"/>
    <w:rsid w:val="004B3115"/>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05065"/>
    <w:rsid w:val="00817416"/>
    <w:rsid w:val="00842779"/>
    <w:rsid w:val="00865F67"/>
    <w:rsid w:val="00881A7B"/>
    <w:rsid w:val="008840E5"/>
    <w:rsid w:val="00887B3E"/>
    <w:rsid w:val="008B0D34"/>
    <w:rsid w:val="008C2AC6"/>
    <w:rsid w:val="00930C23"/>
    <w:rsid w:val="0093193B"/>
    <w:rsid w:val="009509D8"/>
    <w:rsid w:val="00950B64"/>
    <w:rsid w:val="00981893"/>
    <w:rsid w:val="00A1687D"/>
    <w:rsid w:val="00A43E52"/>
    <w:rsid w:val="00A4678D"/>
    <w:rsid w:val="00A778C7"/>
    <w:rsid w:val="00AA47FB"/>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BCAC77"/>
  <w15:chartTrackingRefBased/>
  <w15:docId w15:val="{D0C1C591-1502-4FC9-A58F-0BD69EE14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link w:val="NormalHanging12aChar"/>
    <w:rsid w:val="00303F33"/>
    <w:pPr>
      <w:spacing w:after="240"/>
      <w:ind w:left="567" w:hanging="567"/>
    </w:pPr>
  </w:style>
  <w:style w:type="paragraph" w:customStyle="1" w:styleId="EPComma">
    <w:name w:val="EPComma"/>
    <w:basedOn w:val="Normal"/>
    <w:rsid w:val="00303F33"/>
    <w:pPr>
      <w:spacing w:before="480" w:after="240"/>
    </w:pPr>
  </w:style>
  <w:style w:type="character" w:customStyle="1" w:styleId="NormalHanging12aChar">
    <w:name w:val="NormalHanging12a Char"/>
    <w:basedOn w:val="DefaultParagraphFont"/>
    <w:link w:val="NormalHanging12a"/>
    <w:locked/>
    <w:rsid w:val="00303F3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3269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2025-11-27T11:19:00Z</dcterms:created>
  <dcterms:modified xsi:type="dcterms:W3CDTF">2025-11-27T11:19:00Z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B10-0518/2025</vt:lpwstr>
  </property>
  <property fmtid="{D5CDD505-2E9C-101B-9397-08002B2CF9AE}" pid="4" name="&lt;Type&gt;">
    <vt:lpwstr>RR</vt:lpwstr>
  </property>
</Properties>
</file>