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B1028" w14:paraId="35670CE6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BF165E8" w14:textId="77777777" w:rsidR="00751A4A" w:rsidRPr="002B1028" w:rsidRDefault="00E3470F" w:rsidP="0010095E">
            <w:pPr>
              <w:pStyle w:val="EPName"/>
            </w:pPr>
            <w:r w:rsidRPr="002B1028">
              <w:t>Parlamento Europeo</w:t>
            </w:r>
          </w:p>
          <w:p w14:paraId="66DF4B39" w14:textId="77777777" w:rsidR="00751A4A" w:rsidRPr="002B1028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B1028">
              <w:t>2024</w:t>
            </w:r>
            <w:r w:rsidR="00817416" w:rsidRPr="002B1028">
              <w:t>-202</w:t>
            </w:r>
            <w:r w:rsidRPr="002B1028">
              <w:t>9</w:t>
            </w:r>
          </w:p>
        </w:tc>
        <w:tc>
          <w:tcPr>
            <w:tcW w:w="2268" w:type="dxa"/>
            <w:shd w:val="clear" w:color="auto" w:fill="auto"/>
          </w:tcPr>
          <w:p w14:paraId="1F55B0A9" w14:textId="77777777" w:rsidR="00751A4A" w:rsidRPr="002B1028" w:rsidRDefault="00187494" w:rsidP="0010095E">
            <w:pPr>
              <w:pStyle w:val="EPLogo"/>
            </w:pPr>
            <w:r w:rsidRPr="002B1028">
              <w:rPr>
                <w:noProof/>
                <w:lang w:eastAsia="ja-JP"/>
              </w:rPr>
              <w:drawing>
                <wp:inline distT="0" distB="0" distL="0" distR="0" wp14:anchorId="2C91608B" wp14:editId="603178F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D66B4A9" w14:textId="77777777" w:rsidR="00D058B8" w:rsidRPr="002B1028" w:rsidRDefault="00D058B8" w:rsidP="004C5D52">
      <w:pPr>
        <w:pStyle w:val="LineTop"/>
      </w:pPr>
    </w:p>
    <w:p w14:paraId="782DA0D1" w14:textId="77777777" w:rsidR="00680577" w:rsidRPr="002B1028" w:rsidRDefault="00E3470F" w:rsidP="00680577">
      <w:pPr>
        <w:pStyle w:val="EPBodyTA1"/>
      </w:pPr>
      <w:r w:rsidRPr="002B1028">
        <w:t>TEXTOS APROBADOS</w:t>
      </w:r>
    </w:p>
    <w:p w14:paraId="097F6193" w14:textId="77777777" w:rsidR="00D058B8" w:rsidRPr="002B1028" w:rsidRDefault="00D058B8" w:rsidP="00D058B8">
      <w:pPr>
        <w:pStyle w:val="LineBottom"/>
      </w:pPr>
    </w:p>
    <w:p w14:paraId="76CEEA63" w14:textId="56960A75" w:rsidR="00E3470F" w:rsidRPr="00A1041D" w:rsidRDefault="00E3470F" w:rsidP="00E3470F">
      <w:pPr>
        <w:pStyle w:val="ATHeading1"/>
      </w:pPr>
      <w:bookmarkStart w:id="0" w:name="TANumber"/>
      <w:r w:rsidRPr="00A1041D">
        <w:t>P10_</w:t>
      </w:r>
      <w:proofErr w:type="gramStart"/>
      <w:r w:rsidRPr="00A1041D">
        <w:t>TA(</w:t>
      </w:r>
      <w:proofErr w:type="gramEnd"/>
      <w:r w:rsidRPr="00A1041D">
        <w:t>2025)</w:t>
      </w:r>
      <w:bookmarkEnd w:id="0"/>
      <w:r w:rsidR="00344758">
        <w:t>0304</w:t>
      </w:r>
    </w:p>
    <w:p w14:paraId="7B02DBAF" w14:textId="77777777" w:rsidR="00E3470F" w:rsidRPr="00A1041D" w:rsidRDefault="00E3470F" w:rsidP="00E3470F">
      <w:pPr>
        <w:pStyle w:val="ATHeading2"/>
      </w:pPr>
      <w:bookmarkStart w:id="1" w:name="title"/>
      <w:r w:rsidRPr="00A1041D">
        <w:t xml:space="preserve">Situación del Estado de Derecho y los derechos humanos en Túnez, en particular el caso de Sonia </w:t>
      </w:r>
      <w:proofErr w:type="spellStart"/>
      <w:r w:rsidRPr="00A1041D">
        <w:t>Dahmani</w:t>
      </w:r>
      <w:bookmarkEnd w:id="1"/>
      <w:proofErr w:type="spellEnd"/>
    </w:p>
    <w:p w14:paraId="37B2D55E" w14:textId="77777777" w:rsidR="00E3470F" w:rsidRPr="002B1028" w:rsidRDefault="00E3470F" w:rsidP="00E3470F">
      <w:pPr>
        <w:rPr>
          <w:i/>
          <w:vanish/>
        </w:rPr>
      </w:pPr>
      <w:r w:rsidRPr="002B1028">
        <w:rPr>
          <w:i/>
        </w:rPr>
        <w:fldChar w:fldCharType="begin"/>
      </w:r>
      <w:r w:rsidRPr="002B1028">
        <w:rPr>
          <w:i/>
        </w:rPr>
        <w:instrText xml:space="preserve"> TC"(</w:instrText>
      </w:r>
      <w:bookmarkStart w:id="2" w:name="DocNumber"/>
      <w:r w:rsidRPr="002B1028">
        <w:rPr>
          <w:i/>
        </w:rPr>
        <w:instrText>B10-0518, 0520, 0525, 0532 y 0538/2025</w:instrText>
      </w:r>
      <w:bookmarkEnd w:id="2"/>
      <w:r w:rsidRPr="002B1028">
        <w:rPr>
          <w:i/>
        </w:rPr>
        <w:instrText xml:space="preserve">)"\l3 \n&gt; \* MERGEFORMAT </w:instrText>
      </w:r>
      <w:r w:rsidRPr="002B1028">
        <w:rPr>
          <w:i/>
        </w:rPr>
        <w:fldChar w:fldCharType="end"/>
      </w:r>
    </w:p>
    <w:p w14:paraId="62B03650" w14:textId="77777777" w:rsidR="00E3470F" w:rsidRPr="002B1028" w:rsidRDefault="00E3470F" w:rsidP="00E3470F">
      <w:pPr>
        <w:rPr>
          <w:vanish/>
        </w:rPr>
      </w:pPr>
      <w:bookmarkStart w:id="3" w:name="PE"/>
      <w:r w:rsidRPr="002B1028">
        <w:rPr>
          <w:vanish/>
        </w:rPr>
        <w:t>PE778.991</w:t>
      </w:r>
      <w:bookmarkEnd w:id="3"/>
    </w:p>
    <w:p w14:paraId="1D2079A0" w14:textId="0367054A" w:rsidR="00E3470F" w:rsidRPr="00A1041D" w:rsidRDefault="00E3470F" w:rsidP="00E3470F">
      <w:pPr>
        <w:pStyle w:val="ATHeading3"/>
      </w:pPr>
      <w:bookmarkStart w:id="4" w:name="Sujet"/>
      <w:r w:rsidRPr="00A1041D">
        <w:t>Resolución del Parlamento Europeo, de 27 de noviembre de 2025, sobre la situación del Estado de Derecho y los derechos humanos en Túnez, en particular</w:t>
      </w:r>
      <w:r w:rsidR="00126179">
        <w:t xml:space="preserve"> </w:t>
      </w:r>
      <w:r w:rsidRPr="00A1041D">
        <w:t xml:space="preserve">el caso de Sonia </w:t>
      </w:r>
      <w:proofErr w:type="spellStart"/>
      <w:r w:rsidRPr="00A1041D">
        <w:t>Dahmani</w:t>
      </w:r>
      <w:bookmarkEnd w:id="4"/>
      <w:proofErr w:type="spellEnd"/>
      <w:r w:rsidRPr="00A1041D">
        <w:t xml:space="preserve"> </w:t>
      </w:r>
      <w:bookmarkStart w:id="5" w:name="References"/>
      <w:r w:rsidRPr="00A1041D">
        <w:t>(2025/2988(RSP))</w:t>
      </w:r>
      <w:bookmarkEnd w:id="5"/>
    </w:p>
    <w:p w14:paraId="285E3D7F" w14:textId="77777777" w:rsidR="00573304" w:rsidRPr="002B1028" w:rsidRDefault="00573304" w:rsidP="00573304">
      <w:pPr>
        <w:pStyle w:val="EPComma"/>
        <w:widowControl/>
      </w:pPr>
      <w:bookmarkStart w:id="6" w:name="TextBodyBegin"/>
      <w:bookmarkEnd w:id="6"/>
      <w:r w:rsidRPr="002B1028">
        <w:rPr>
          <w:i/>
        </w:rPr>
        <w:t>El Parlamento Europeo</w:t>
      </w:r>
      <w:r w:rsidRPr="002B1028">
        <w:t>,</w:t>
      </w:r>
    </w:p>
    <w:p w14:paraId="4269F3E6" w14:textId="77777777" w:rsidR="00573304" w:rsidRPr="002B1028" w:rsidRDefault="00573304" w:rsidP="00573304">
      <w:pPr>
        <w:pStyle w:val="NormalHanging12a"/>
        <w:widowControl/>
        <w:rPr>
          <w:rFonts w:eastAsiaTheme="minorEastAsia"/>
        </w:rPr>
      </w:pPr>
      <w:r w:rsidRPr="002B1028">
        <w:t>–</w:t>
      </w:r>
      <w:r w:rsidRPr="002B1028">
        <w:tab/>
        <w:t>Vistas sus anteriores Resoluciones sobre Túnez,</w:t>
      </w:r>
    </w:p>
    <w:p w14:paraId="75BE9252" w14:textId="77777777" w:rsidR="00573304" w:rsidRPr="002B1028" w:rsidRDefault="00573304" w:rsidP="00573304">
      <w:pPr>
        <w:pStyle w:val="NormalHanging12a"/>
        <w:widowControl/>
        <w:rPr>
          <w:rFonts w:eastAsiaTheme="minorEastAsia"/>
        </w:rPr>
      </w:pPr>
      <w:r w:rsidRPr="002B1028">
        <w:t>–</w:t>
      </w:r>
      <w:r w:rsidRPr="002B1028">
        <w:tab/>
        <w:t>Visto el Acuerdo de Asociación UE-Túnez,</w:t>
      </w:r>
    </w:p>
    <w:p w14:paraId="2B0056D7" w14:textId="77777777" w:rsidR="00573304" w:rsidRPr="002B1028" w:rsidRDefault="00573304" w:rsidP="00573304">
      <w:pPr>
        <w:pStyle w:val="NormalHanging12a"/>
        <w:widowControl/>
        <w:rPr>
          <w:rFonts w:eastAsiaTheme="minorEastAsia"/>
        </w:rPr>
      </w:pPr>
      <w:r w:rsidRPr="002B1028">
        <w:t>–</w:t>
      </w:r>
      <w:r w:rsidRPr="002B1028">
        <w:tab/>
        <w:t>Visto el Memorando de Entendimiento UE-Túnez,</w:t>
      </w:r>
    </w:p>
    <w:p w14:paraId="4710441B" w14:textId="77777777" w:rsidR="00573304" w:rsidRPr="002B1028" w:rsidRDefault="00573304" w:rsidP="00573304">
      <w:pPr>
        <w:pStyle w:val="NormalHanging12a"/>
        <w:widowControl/>
      </w:pPr>
      <w:r w:rsidRPr="002B1028">
        <w:t>–</w:t>
      </w:r>
      <w:r w:rsidRPr="002B1028">
        <w:tab/>
        <w:t>Vistos el artículo 150, apartado 5, y el artículo 136, apartado 4, de su Reglamento interno,</w:t>
      </w:r>
    </w:p>
    <w:p w14:paraId="56119D05" w14:textId="77777777" w:rsidR="00573304" w:rsidRPr="002B1028" w:rsidRDefault="00573304" w:rsidP="00573304">
      <w:pPr>
        <w:pStyle w:val="NormalHanging12a"/>
        <w:widowControl/>
      </w:pPr>
      <w:r w:rsidRPr="002B1028">
        <w:t>A.</w:t>
      </w:r>
      <w:r w:rsidRPr="002B1028">
        <w:tab/>
        <w:t xml:space="preserve">Considerando que la abogada y periodista Sonia </w:t>
      </w:r>
      <w:proofErr w:type="spellStart"/>
      <w:r w:rsidRPr="002B1028">
        <w:t>Dahmani</w:t>
      </w:r>
      <w:proofErr w:type="spellEnd"/>
      <w:r w:rsidRPr="002B1028">
        <w:t xml:space="preserve"> fue detenida en mayo de 2024 en la sede del Colegio de Abogados de Túnez tras su aparición en el canal de televisión </w:t>
      </w:r>
      <w:proofErr w:type="spellStart"/>
      <w:r w:rsidRPr="002B1028">
        <w:t>Carthage</w:t>
      </w:r>
      <w:proofErr w:type="spellEnd"/>
      <w:r w:rsidRPr="002B1028">
        <w:t>+; que desde su detención se ha enfrentado a cinco procedimientos judiciales distintos y ha sido condenada en tres ocasiones; que están previstos nuevos juicios y que su condena total podría alcanzar los 24 años;</w:t>
      </w:r>
    </w:p>
    <w:p w14:paraId="7CC1A127" w14:textId="77777777" w:rsidR="00573304" w:rsidRPr="002B1028" w:rsidRDefault="00573304" w:rsidP="00573304">
      <w:pPr>
        <w:pStyle w:val="NormalHanging12a"/>
        <w:widowControl/>
      </w:pPr>
      <w:r w:rsidRPr="002B1028">
        <w:t>B.</w:t>
      </w:r>
      <w:r w:rsidRPr="002B1028">
        <w:tab/>
        <w:t xml:space="preserve">Considerando que Sonia </w:t>
      </w:r>
      <w:proofErr w:type="spellStart"/>
      <w:r w:rsidRPr="002B1028">
        <w:t>Dahmani</w:t>
      </w:r>
      <w:proofErr w:type="spellEnd"/>
      <w:r w:rsidRPr="002B1028">
        <w:t xml:space="preserve"> está sometida a condiciones de reclusión inhumanas y degradantes, sin acceso a atención médica;</w:t>
      </w:r>
    </w:p>
    <w:p w14:paraId="2B505B4B" w14:textId="77777777" w:rsidR="00573304" w:rsidRPr="002B1028" w:rsidRDefault="00573304" w:rsidP="00573304">
      <w:pPr>
        <w:pStyle w:val="NormalHanging12a"/>
        <w:widowControl/>
      </w:pPr>
      <w:r w:rsidRPr="002B1028">
        <w:t>C.</w:t>
      </w:r>
      <w:r w:rsidRPr="002B1028">
        <w:tab/>
        <w:t xml:space="preserve">Considerando que su hermana Ramla </w:t>
      </w:r>
      <w:proofErr w:type="spellStart"/>
      <w:r w:rsidRPr="002B1028">
        <w:t>Dahmani</w:t>
      </w:r>
      <w:proofErr w:type="spellEnd"/>
      <w:r w:rsidRPr="002B1028">
        <w:t xml:space="preserve"> fue condenada en rebeldía en julio de 2025, acusada de haber difundido noticias falsas;</w:t>
      </w:r>
    </w:p>
    <w:p w14:paraId="44CB051E" w14:textId="77777777" w:rsidR="00573304" w:rsidRPr="002B1028" w:rsidRDefault="00573304" w:rsidP="00573304">
      <w:pPr>
        <w:pStyle w:val="NormalHanging12a"/>
        <w:widowControl/>
      </w:pPr>
      <w:r w:rsidRPr="002B1028">
        <w:t>1.</w:t>
      </w:r>
      <w:r w:rsidRPr="002B1028">
        <w:tab/>
        <w:t xml:space="preserve">Condena la detención arbitraria, el acoso judicial y la condena de Sonia </w:t>
      </w:r>
      <w:proofErr w:type="spellStart"/>
      <w:r w:rsidRPr="002B1028">
        <w:t>Dahmani</w:t>
      </w:r>
      <w:proofErr w:type="spellEnd"/>
      <w:r w:rsidRPr="002B1028">
        <w:t>, abogada y comentarista de los medios de comunicación;</w:t>
      </w:r>
    </w:p>
    <w:p w14:paraId="3B902491" w14:textId="77777777" w:rsidR="00573304" w:rsidRPr="002B1028" w:rsidRDefault="00573304" w:rsidP="00573304">
      <w:pPr>
        <w:pStyle w:val="NormalHanging12a"/>
        <w:widowControl/>
      </w:pPr>
      <w:r w:rsidRPr="002B1028">
        <w:t>2.</w:t>
      </w:r>
      <w:r w:rsidRPr="002B1028">
        <w:tab/>
        <w:t xml:space="preserve">Exige la liberación inmediata e incondicional de Sonia </w:t>
      </w:r>
      <w:proofErr w:type="spellStart"/>
      <w:r w:rsidRPr="002B1028">
        <w:t>Dahmani</w:t>
      </w:r>
      <w:proofErr w:type="spellEnd"/>
      <w:r w:rsidRPr="002B1028">
        <w:t xml:space="preserve"> y de todas las personas encarceladas por ejercer su derecho a la libertad de expresión, incluidos los presos políticos y los defensores de los derechos humanos; insta a las autoridades tunecinas a que retiren todos los cargos contra Sonia </w:t>
      </w:r>
      <w:proofErr w:type="spellStart"/>
      <w:r w:rsidRPr="002B1028">
        <w:t>Dahmani</w:t>
      </w:r>
      <w:proofErr w:type="spellEnd"/>
      <w:r w:rsidRPr="002B1028">
        <w:t xml:space="preserve"> y su hermana y se abstengan de acosar a su familia;</w:t>
      </w:r>
    </w:p>
    <w:p w14:paraId="23D7B242" w14:textId="77777777" w:rsidR="00573304" w:rsidRPr="002B1028" w:rsidRDefault="00573304" w:rsidP="00573304">
      <w:pPr>
        <w:pStyle w:val="NormalHanging12a"/>
        <w:widowControl/>
      </w:pPr>
      <w:r w:rsidRPr="002B1028">
        <w:lastRenderedPageBreak/>
        <w:t>3.</w:t>
      </w:r>
      <w:r w:rsidRPr="002B1028">
        <w:tab/>
      </w:r>
      <w:bookmarkStart w:id="7" w:name="_Hlk214916283"/>
      <w:r w:rsidRPr="002B1028">
        <w:t xml:space="preserve">Denuncia las condiciones de detención de Sonia </w:t>
      </w:r>
      <w:proofErr w:type="spellStart"/>
      <w:r w:rsidRPr="002B1028">
        <w:t>Dahmani</w:t>
      </w:r>
      <w:proofErr w:type="spellEnd"/>
      <w:r w:rsidRPr="002B1028">
        <w:t>, que incluyen una atención médica insuficiente, una comunicación limitada con su familia y su abogado y el retraso de las vistas judiciales, junto con múltiples asuntos destinados a prolongar su reclusión</w:t>
      </w:r>
      <w:bookmarkEnd w:id="7"/>
      <w:r w:rsidRPr="002B1028">
        <w:t>;</w:t>
      </w:r>
    </w:p>
    <w:p w14:paraId="24DE50D1" w14:textId="77777777" w:rsidR="00573304" w:rsidRPr="002B1028" w:rsidRDefault="00573304" w:rsidP="00573304">
      <w:pPr>
        <w:pStyle w:val="NormalHanging12a"/>
        <w:widowControl/>
      </w:pPr>
      <w:r w:rsidRPr="002B1028">
        <w:t>4.</w:t>
      </w:r>
      <w:r w:rsidRPr="002B1028">
        <w:tab/>
        <w:t>Insiste en que las autoridades tunecinas protejan la libertad de reunión y de expresión, garanticen la independencia judicial, eviten la injerencia del ejecutivo en las funciones judiciales y defiendan los derechos y libertades garantizados por la Constitución tunecina; condena la escalada de las detenciones arbitrarias, las persecuciones por motivos políticos y las restricciones a las libertades;</w:t>
      </w:r>
    </w:p>
    <w:p w14:paraId="7FCF164C" w14:textId="77777777" w:rsidR="00573304" w:rsidRPr="002B1028" w:rsidRDefault="00573304" w:rsidP="00573304">
      <w:pPr>
        <w:pStyle w:val="NormalHanging12a"/>
        <w:widowControl/>
      </w:pPr>
      <w:r w:rsidRPr="002B1028">
        <w:t>5.</w:t>
      </w:r>
      <w:r w:rsidRPr="002B1028">
        <w:tab/>
        <w:t>Pide la derogación total del Decreto-Ley n.º 54, que ha dado lugar a enjuiciamientos por expresiones de opinión, así como de toda la legislación abusiva utilizada para restringir las libertades;</w:t>
      </w:r>
    </w:p>
    <w:p w14:paraId="4697608A" w14:textId="77777777" w:rsidR="00573304" w:rsidRPr="002B1028" w:rsidRDefault="00573304" w:rsidP="00573304">
      <w:pPr>
        <w:pStyle w:val="NormalHanging12a"/>
        <w:widowControl/>
      </w:pPr>
      <w:r w:rsidRPr="002B1028">
        <w:t>6.</w:t>
      </w:r>
      <w:r w:rsidRPr="002B1028">
        <w:tab/>
        <w:t>Pide a las instituciones de la Unión que expresen su grave preocupación por el deterioro de los derechos humanos en Túnez y que emprendan una acción diplomática coordinada para facilitar la liberación de los presos políticos;</w:t>
      </w:r>
    </w:p>
    <w:p w14:paraId="385F5C95" w14:textId="77777777" w:rsidR="00573304" w:rsidRPr="002B1028" w:rsidRDefault="00573304" w:rsidP="00573304">
      <w:pPr>
        <w:pStyle w:val="NormalHanging12a"/>
        <w:widowControl/>
      </w:pPr>
      <w:r w:rsidRPr="002B1028">
        <w:t>7.</w:t>
      </w:r>
      <w:r w:rsidRPr="002B1028">
        <w:tab/>
        <w:t>Pide a las autoridades tunecinas que cumplan sus obligaciones derivadas del Derecho internacional en materia de derechos humanos y del Acuerdo de Asociación UE-Túnez; toma nota del reciente aplazamiento del Consejo de Asociación UE-Túnez y pide a la Comisión que haga de la situación de los derechos humanos el centro de cualquier diálogo político, ayuda financiera, cooperación en materia de seguridad y acuerdos con Túnez;</w:t>
      </w:r>
    </w:p>
    <w:p w14:paraId="3D6FA0C9" w14:textId="77777777" w:rsidR="00573304" w:rsidRPr="002B1028" w:rsidRDefault="00573304" w:rsidP="00573304">
      <w:pPr>
        <w:pStyle w:val="NormalHanging12a"/>
        <w:widowControl/>
      </w:pPr>
      <w:r w:rsidRPr="002B1028">
        <w:t>8.</w:t>
      </w:r>
      <w:r w:rsidRPr="002B1028">
        <w:tab/>
        <w:t>Expresa su solidaridad inquebrantable con la sociedad civil tunecina, los defensores de los derechos humanos, los medios de comunicación y periodistas independientes y las asociaciones de abogados; pide a la Comisión que responda a la decisión del Gobierno tunecino de bloquear las cuentas bancarias de las organizaciones de la sociedad civil; subraya el papel fundamental que desempeñan los profesionales del Derecho en la salvaguardia del Estado de Derecho y la integridad del sistema judicial;</w:t>
      </w:r>
    </w:p>
    <w:p w14:paraId="7E7824FE" w14:textId="77777777" w:rsidR="00573304" w:rsidRPr="002B1028" w:rsidRDefault="00573304" w:rsidP="00573304">
      <w:pPr>
        <w:pStyle w:val="NormalHanging12a"/>
        <w:widowControl/>
      </w:pPr>
      <w:r w:rsidRPr="002B1028">
        <w:t>9.</w:t>
      </w:r>
      <w:r w:rsidRPr="002B1028">
        <w:tab/>
        <w:t>Anima a Túnez a abordar los diversos retos a los que se enfrenta el conjunto de la región asumiendo un papel en la defensa de los derechos humanos y de la democracia;</w:t>
      </w:r>
    </w:p>
    <w:p w14:paraId="4150B8E4" w14:textId="4EF888F6" w:rsidR="00E365E1" w:rsidRPr="002B1028" w:rsidRDefault="00573304" w:rsidP="002B1028">
      <w:pPr>
        <w:pStyle w:val="NormalHanging12a"/>
        <w:widowControl/>
      </w:pPr>
      <w:r w:rsidRPr="002B1028">
        <w:t>10.</w:t>
      </w:r>
      <w:r w:rsidRPr="002B1028">
        <w:tab/>
        <w:t>Encarga a su presidenta que transmita la presente Resolución al Consejo, a la Comisión, a la AR/VP, a los Gobiernos y Parlamentos de los Estados miembros y a las autoridades tunecinas.</w:t>
      </w:r>
    </w:p>
    <w:sectPr w:rsidR="00E365E1" w:rsidRPr="002B1028" w:rsidSect="00706695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E3E2A0" w14:textId="77777777" w:rsidR="00E3470F" w:rsidRPr="00706695" w:rsidRDefault="00E3470F">
      <w:r w:rsidRPr="00706695">
        <w:separator/>
      </w:r>
    </w:p>
  </w:endnote>
  <w:endnote w:type="continuationSeparator" w:id="0">
    <w:p w14:paraId="03C80422" w14:textId="77777777" w:rsidR="00E3470F" w:rsidRPr="00706695" w:rsidRDefault="00E3470F">
      <w:r w:rsidRPr="0070669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9670A9" w14:textId="77777777" w:rsidR="00064002" w:rsidRPr="00706695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D7684E" w14:textId="77777777" w:rsidR="00064002" w:rsidRPr="00706695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5397DD" w14:textId="77777777" w:rsidR="00064002" w:rsidRPr="00706695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98E990" w14:textId="77777777" w:rsidR="00E3470F" w:rsidRPr="00706695" w:rsidRDefault="00E3470F">
      <w:r w:rsidRPr="00706695">
        <w:separator/>
      </w:r>
    </w:p>
  </w:footnote>
  <w:footnote w:type="continuationSeparator" w:id="0">
    <w:p w14:paraId="3DBE58BF" w14:textId="77777777" w:rsidR="00E3470F" w:rsidRPr="00706695" w:rsidRDefault="00E3470F">
      <w:r w:rsidRPr="0070669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8375C" w14:textId="77777777" w:rsidR="00064002" w:rsidRPr="00706695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C4BE63" w14:textId="77777777" w:rsidR="00064002" w:rsidRPr="00706695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DB971F" w14:textId="77777777" w:rsidR="00064002" w:rsidRPr="00706695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727341249">
    <w:abstractNumId w:val="9"/>
  </w:num>
  <w:num w:numId="2" w16cid:durableId="575940639">
    <w:abstractNumId w:val="9"/>
  </w:num>
  <w:num w:numId="3" w16cid:durableId="1242370818">
    <w:abstractNumId w:val="7"/>
  </w:num>
  <w:num w:numId="4" w16cid:durableId="188109276">
    <w:abstractNumId w:val="7"/>
  </w:num>
  <w:num w:numId="5" w16cid:durableId="558368825">
    <w:abstractNumId w:val="6"/>
  </w:num>
  <w:num w:numId="6" w16cid:durableId="1340545572">
    <w:abstractNumId w:val="6"/>
  </w:num>
  <w:num w:numId="7" w16cid:durableId="1685864674">
    <w:abstractNumId w:val="5"/>
  </w:num>
  <w:num w:numId="8" w16cid:durableId="857960548">
    <w:abstractNumId w:val="5"/>
  </w:num>
  <w:num w:numId="9" w16cid:durableId="1925340990">
    <w:abstractNumId w:val="4"/>
  </w:num>
  <w:num w:numId="10" w16cid:durableId="825129374">
    <w:abstractNumId w:val="4"/>
  </w:num>
  <w:num w:numId="11" w16cid:durableId="488375087">
    <w:abstractNumId w:val="8"/>
  </w:num>
  <w:num w:numId="12" w16cid:durableId="1401362228">
    <w:abstractNumId w:val="8"/>
  </w:num>
  <w:num w:numId="13" w16cid:durableId="588928730">
    <w:abstractNumId w:val="3"/>
  </w:num>
  <w:num w:numId="14" w16cid:durableId="917981080">
    <w:abstractNumId w:val="3"/>
  </w:num>
  <w:num w:numId="15" w16cid:durableId="477111642">
    <w:abstractNumId w:val="2"/>
  </w:num>
  <w:num w:numId="16" w16cid:durableId="1159076061">
    <w:abstractNumId w:val="2"/>
  </w:num>
  <w:num w:numId="17" w16cid:durableId="395398829">
    <w:abstractNumId w:val="1"/>
  </w:num>
  <w:num w:numId="18" w16cid:durableId="379790871">
    <w:abstractNumId w:val="1"/>
  </w:num>
  <w:num w:numId="19" w16cid:durableId="17508438">
    <w:abstractNumId w:val="0"/>
  </w:num>
  <w:num w:numId="20" w16cid:durableId="1413310385">
    <w:abstractNumId w:val="0"/>
  </w:num>
  <w:num w:numId="21" w16cid:durableId="677002042">
    <w:abstractNumId w:val="9"/>
  </w:num>
  <w:num w:numId="22" w16cid:durableId="872578160">
    <w:abstractNumId w:val="7"/>
  </w:num>
  <w:num w:numId="23" w16cid:durableId="1215851284">
    <w:abstractNumId w:val="6"/>
  </w:num>
  <w:num w:numId="24" w16cid:durableId="1832598973">
    <w:abstractNumId w:val="5"/>
  </w:num>
  <w:num w:numId="25" w16cid:durableId="1031295752">
    <w:abstractNumId w:val="4"/>
  </w:num>
  <w:num w:numId="26" w16cid:durableId="1927037070">
    <w:abstractNumId w:val="8"/>
  </w:num>
  <w:num w:numId="27" w16cid:durableId="1903828679">
    <w:abstractNumId w:val="3"/>
  </w:num>
  <w:num w:numId="28" w16cid:durableId="25957708">
    <w:abstractNumId w:val="2"/>
  </w:num>
  <w:num w:numId="29" w16cid:durableId="364209057">
    <w:abstractNumId w:val="1"/>
  </w:num>
  <w:num w:numId="30" w16cid:durableId="443235118">
    <w:abstractNumId w:val="0"/>
  </w:num>
  <w:num w:numId="31" w16cid:durableId="329020637">
    <w:abstractNumId w:val="9"/>
  </w:num>
  <w:num w:numId="32" w16cid:durableId="1569149970">
    <w:abstractNumId w:val="7"/>
  </w:num>
  <w:num w:numId="33" w16cid:durableId="654065769">
    <w:abstractNumId w:val="6"/>
  </w:num>
  <w:num w:numId="34" w16cid:durableId="313994187">
    <w:abstractNumId w:val="5"/>
  </w:num>
  <w:num w:numId="35" w16cid:durableId="1793135937">
    <w:abstractNumId w:val="4"/>
  </w:num>
  <w:num w:numId="36" w16cid:durableId="2094617747">
    <w:abstractNumId w:val="8"/>
  </w:num>
  <w:num w:numId="37" w16cid:durableId="836116656">
    <w:abstractNumId w:val="3"/>
  </w:num>
  <w:num w:numId="38" w16cid:durableId="951283886">
    <w:abstractNumId w:val="2"/>
  </w:num>
  <w:num w:numId="39" w16cid:durableId="190190092">
    <w:abstractNumId w:val="1"/>
  </w:num>
  <w:num w:numId="40" w16cid:durableId="1333752025">
    <w:abstractNumId w:val="0"/>
  </w:num>
  <w:num w:numId="41" w16cid:durableId="1828786560">
    <w:abstractNumId w:val="10"/>
  </w:num>
  <w:num w:numId="42" w16cid:durableId="1447119892">
    <w:abstractNumId w:val="10"/>
  </w:num>
  <w:num w:numId="43" w16cid:durableId="1917588094">
    <w:abstractNumId w:val="10"/>
  </w:num>
  <w:num w:numId="44" w16cid:durableId="8822572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18, 0520, 0525, 0532 y 0538/2025"/>
    <w:docVar w:name="dvlangue" w:val="ES"/>
    <w:docVar w:name="dvnumam" w:val="0"/>
    <w:docVar w:name="dvpe" w:val="778.991"/>
    <w:docVar w:name="dvtitre" w:val="Resolución del Parlamento Europeo, de 27 de noviembre de 2025, sobre la situación del Estado de Derecho y los derechos humanos en Túnez, en particular el caso de Sonia Dahmani(2025/2988(RSP))"/>
  </w:docVars>
  <w:rsids>
    <w:rsidRoot w:val="00E3470F"/>
    <w:rsid w:val="00002272"/>
    <w:rsid w:val="00064002"/>
    <w:rsid w:val="000677B9"/>
    <w:rsid w:val="000831BA"/>
    <w:rsid w:val="000A42CC"/>
    <w:rsid w:val="000E7DD9"/>
    <w:rsid w:val="0010095E"/>
    <w:rsid w:val="00125B37"/>
    <w:rsid w:val="00126179"/>
    <w:rsid w:val="00187494"/>
    <w:rsid w:val="001F32AE"/>
    <w:rsid w:val="002767FF"/>
    <w:rsid w:val="002B1028"/>
    <w:rsid w:val="002B18FE"/>
    <w:rsid w:val="002B5493"/>
    <w:rsid w:val="00343214"/>
    <w:rsid w:val="00344758"/>
    <w:rsid w:val="00361C00"/>
    <w:rsid w:val="00377EF7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3304"/>
    <w:rsid w:val="005C2568"/>
    <w:rsid w:val="005F1B17"/>
    <w:rsid w:val="006037C0"/>
    <w:rsid w:val="00643016"/>
    <w:rsid w:val="006631B6"/>
    <w:rsid w:val="00680577"/>
    <w:rsid w:val="006F74FA"/>
    <w:rsid w:val="00706695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041D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470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89EAE7D"/>
  <w15:chartTrackingRefBased/>
  <w15:docId w15:val="{5A0873FC-F7E6-4C34-BD6A-EF82E08B5D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s-ES_tradn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73304"/>
    <w:pPr>
      <w:spacing w:after="240"/>
      <w:ind w:left="567" w:hanging="567"/>
    </w:pPr>
  </w:style>
  <w:style w:type="paragraph" w:customStyle="1" w:styleId="EPComma">
    <w:name w:val="EPComma"/>
    <w:basedOn w:val="Normal"/>
    <w:rsid w:val="0057330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573304"/>
    <w:rPr>
      <w:sz w:val="24"/>
      <w:lang w:val="es-ES_tradnl"/>
    </w:rPr>
  </w:style>
  <w:style w:type="paragraph" w:styleId="Revision">
    <w:name w:val="Revision"/>
    <w:hidden/>
    <w:uiPriority w:val="99"/>
    <w:semiHidden/>
    <w:rsid w:val="002B1028"/>
    <w:rPr>
      <w:sz w:val="24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653</Words>
  <Characters>3597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César Castelló Relfinale</dc:creator>
  <cp:keywords/>
  <cp:lastModifiedBy>CASTELLO MORENO Cesar Augusto</cp:lastModifiedBy>
  <cp:revision>2</cp:revision>
  <cp:lastPrinted>2004-11-19T15:42:00Z</cp:lastPrinted>
  <dcterms:created xsi:type="dcterms:W3CDTF">2025-11-27T12:26:00Z</dcterms:created>
  <dcterms:modified xsi:type="dcterms:W3CDTF">2025-11-27T12:26:00Z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ES</vt:lpwstr>
  </property>
  <property fmtid="{D5CDD505-2E9C-101B-9397-08002B2CF9AE}" pid="3" name="&lt;FdR&gt;">
    <vt:lpwstr>B10-0518, 0520, 0525, 0532 y 0538/2025</vt:lpwstr>
  </property>
  <property fmtid="{D5CDD505-2E9C-101B-9397-08002B2CF9AE}" pid="4" name="&lt;Type&gt;">
    <vt:lpwstr>RR</vt:lpwstr>
  </property>
</Properties>
</file>