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B045F" w14:paraId="6BF6040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956417" w14:textId="77777777" w:rsidR="00751A4A" w:rsidRPr="003B045F" w:rsidRDefault="003F4844" w:rsidP="0010095E">
            <w:pPr>
              <w:pStyle w:val="EPName"/>
            </w:pPr>
            <w:r w:rsidRPr="003B045F">
              <w:t>Euroopa Parlament</w:t>
            </w:r>
          </w:p>
          <w:p w14:paraId="652D88F7" w14:textId="77777777" w:rsidR="00751A4A" w:rsidRPr="003B04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B045F">
              <w:t>2024</w:t>
            </w:r>
            <w:r w:rsidR="00817416" w:rsidRPr="003B045F">
              <w:t>-202</w:t>
            </w:r>
            <w:r w:rsidRPr="003B045F">
              <w:t>9</w:t>
            </w:r>
          </w:p>
        </w:tc>
        <w:tc>
          <w:tcPr>
            <w:tcW w:w="2268" w:type="dxa"/>
            <w:shd w:val="clear" w:color="auto" w:fill="auto"/>
          </w:tcPr>
          <w:p w14:paraId="1EEC57EE" w14:textId="77777777" w:rsidR="00751A4A" w:rsidRPr="003B045F" w:rsidRDefault="00187494" w:rsidP="0010095E">
            <w:pPr>
              <w:pStyle w:val="EPLogo"/>
            </w:pPr>
            <w:r w:rsidRPr="003B045F">
              <w:rPr>
                <w:noProof/>
                <w:lang w:eastAsia="ja-JP"/>
              </w:rPr>
              <w:drawing>
                <wp:inline distT="0" distB="0" distL="0" distR="0" wp14:anchorId="62EE18C5" wp14:editId="6339395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054DB8" w14:textId="77777777" w:rsidR="00D058B8" w:rsidRPr="003B045F" w:rsidRDefault="00D058B8" w:rsidP="004C5D52">
      <w:pPr>
        <w:pStyle w:val="LineTop"/>
      </w:pPr>
    </w:p>
    <w:p w14:paraId="5E836947" w14:textId="77777777" w:rsidR="00680577" w:rsidRPr="003B045F" w:rsidRDefault="003F4844" w:rsidP="00680577">
      <w:pPr>
        <w:pStyle w:val="EPBodyTA1"/>
      </w:pPr>
      <w:r w:rsidRPr="003B045F">
        <w:t>VASTUVÕETUD TEKSTID</w:t>
      </w:r>
    </w:p>
    <w:p w14:paraId="726AB609" w14:textId="77777777" w:rsidR="00D058B8" w:rsidRPr="003B045F" w:rsidRDefault="00D058B8" w:rsidP="00D058B8">
      <w:pPr>
        <w:pStyle w:val="LineBottom"/>
      </w:pPr>
    </w:p>
    <w:p w14:paraId="02D67108" w14:textId="753A6F97" w:rsidR="003F4844" w:rsidRPr="003B045F" w:rsidRDefault="003F4844" w:rsidP="003F4844">
      <w:pPr>
        <w:pStyle w:val="ATHeading1"/>
      </w:pPr>
      <w:bookmarkStart w:id="0" w:name="TANumber"/>
      <w:r w:rsidRPr="003B045F">
        <w:t>P10_TA(2025)0</w:t>
      </w:r>
      <w:bookmarkEnd w:id="0"/>
      <w:r w:rsidR="00F64F87" w:rsidRPr="003B045F">
        <w:t>304</w:t>
      </w:r>
    </w:p>
    <w:p w14:paraId="77BAF9D3" w14:textId="77777777" w:rsidR="003F4844" w:rsidRPr="003B045F" w:rsidRDefault="003F4844" w:rsidP="003F4844">
      <w:pPr>
        <w:pStyle w:val="ATHeading2"/>
      </w:pPr>
      <w:bookmarkStart w:id="1" w:name="title"/>
      <w:r w:rsidRPr="003B045F">
        <w:t xml:space="preserve">Õigusriigi ja inimõiguste olukord Tuneesias, eelkõige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juhtum</w:t>
      </w:r>
      <w:bookmarkEnd w:id="1"/>
    </w:p>
    <w:p w14:paraId="5B0EFD27" w14:textId="5A9A84B5" w:rsidR="003F4844" w:rsidRPr="003B045F" w:rsidRDefault="003F4844" w:rsidP="003F4844">
      <w:pPr>
        <w:rPr>
          <w:i/>
          <w:vanish/>
        </w:rPr>
      </w:pPr>
      <w:r w:rsidRPr="003B045F">
        <w:rPr>
          <w:i/>
        </w:rPr>
        <w:fldChar w:fldCharType="begin"/>
      </w:r>
      <w:r w:rsidRPr="003B045F">
        <w:rPr>
          <w:i/>
        </w:rPr>
        <w:instrText xml:space="preserve"> TC"(</w:instrText>
      </w:r>
      <w:bookmarkStart w:id="2" w:name="DocNumber"/>
      <w:r w:rsidRPr="003B045F">
        <w:rPr>
          <w:i/>
        </w:rPr>
        <w:instrText>B10-0518</w:instrText>
      </w:r>
      <w:r w:rsidR="00F123F5" w:rsidRPr="003B045F">
        <w:rPr>
          <w:i/>
        </w:rPr>
        <w:instrText>, 0520, 0525, 0532 ja 0538</w:instrText>
      </w:r>
      <w:r w:rsidRPr="003B045F">
        <w:rPr>
          <w:i/>
        </w:rPr>
        <w:instrText>/2025</w:instrText>
      </w:r>
      <w:bookmarkEnd w:id="2"/>
      <w:r w:rsidRPr="003B045F">
        <w:rPr>
          <w:i/>
        </w:rPr>
        <w:instrText xml:space="preserve">)"\l3 \n&gt; \* MERGEFORMAT </w:instrText>
      </w:r>
      <w:r w:rsidRPr="003B045F">
        <w:rPr>
          <w:i/>
        </w:rPr>
        <w:fldChar w:fldCharType="end"/>
      </w:r>
    </w:p>
    <w:p w14:paraId="6912A87E" w14:textId="77777777" w:rsidR="003F4844" w:rsidRPr="003B045F" w:rsidRDefault="003F4844" w:rsidP="003F4844">
      <w:pPr>
        <w:rPr>
          <w:vanish/>
        </w:rPr>
      </w:pPr>
      <w:bookmarkStart w:id="3" w:name="PE"/>
      <w:r w:rsidRPr="003B045F">
        <w:rPr>
          <w:vanish/>
        </w:rPr>
        <w:t>PE778.991</w:t>
      </w:r>
      <w:bookmarkEnd w:id="3"/>
    </w:p>
    <w:p w14:paraId="4BE12FC3" w14:textId="0BC4C4A6" w:rsidR="003F4844" w:rsidRPr="003B045F" w:rsidRDefault="003F4844" w:rsidP="00F123F5">
      <w:pPr>
        <w:pStyle w:val="ATHeading3"/>
      </w:pPr>
      <w:bookmarkStart w:id="4" w:name="Sujet"/>
      <w:r w:rsidRPr="003B045F">
        <w:t xml:space="preserve">Euroopa Parlamendi </w:t>
      </w:r>
      <w:r w:rsidR="00F123F5" w:rsidRPr="003B045F">
        <w:t>27</w:t>
      </w:r>
      <w:r w:rsidRPr="003B045F">
        <w:t>.</w:t>
      </w:r>
      <w:r w:rsidR="00F123F5" w:rsidRPr="003B045F">
        <w:t> novembri</w:t>
      </w:r>
      <w:r w:rsidRPr="003B045F">
        <w:t xml:space="preserve"> 2025.</w:t>
      </w:r>
      <w:r w:rsidR="00F123F5" w:rsidRPr="003B045F">
        <w:t> </w:t>
      </w:r>
      <w:r w:rsidRPr="003B045F">
        <w:t xml:space="preserve">aasta resolutsioon õigusriigi ja inimõiguste olukorra kohta Tuneesias, eelkõige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juhtumi kohta</w:t>
      </w:r>
      <w:bookmarkEnd w:id="4"/>
      <w:r w:rsidRPr="003B045F">
        <w:t xml:space="preserve"> </w:t>
      </w:r>
      <w:bookmarkStart w:id="5" w:name="References"/>
      <w:r w:rsidRPr="003B045F">
        <w:t>(2025/2988(RSP))</w:t>
      </w:r>
      <w:bookmarkEnd w:id="5"/>
    </w:p>
    <w:p w14:paraId="10B1BFE6" w14:textId="77777777" w:rsidR="003B7955" w:rsidRPr="003B045F" w:rsidRDefault="003B7955" w:rsidP="003B7955">
      <w:pPr>
        <w:pStyle w:val="EPComma"/>
      </w:pPr>
      <w:bookmarkStart w:id="6" w:name="TextBodyBegin"/>
      <w:bookmarkEnd w:id="6"/>
      <w:r w:rsidRPr="003B045F">
        <w:rPr>
          <w:i/>
        </w:rPr>
        <w:t>Euroopa Parlament</w:t>
      </w:r>
      <w:r w:rsidRPr="003B045F">
        <w:t>,</w:t>
      </w:r>
    </w:p>
    <w:p w14:paraId="0E1B856B" w14:textId="77777777" w:rsidR="003B7955" w:rsidRPr="003B045F" w:rsidRDefault="003B7955" w:rsidP="003B7955">
      <w:pPr>
        <w:pStyle w:val="NormalHanging12a"/>
        <w:rPr>
          <w:rFonts w:eastAsiaTheme="minorEastAsia"/>
        </w:rPr>
      </w:pPr>
      <w:r w:rsidRPr="003B045F">
        <w:t>–</w:t>
      </w:r>
      <w:r w:rsidRPr="003B045F">
        <w:tab/>
        <w:t>võttes arvesse oma varasemaid resolutsioone Tuneesia kohta,</w:t>
      </w:r>
    </w:p>
    <w:p w14:paraId="50DA0973" w14:textId="77777777" w:rsidR="003B7955" w:rsidRPr="003B045F" w:rsidRDefault="003B7955" w:rsidP="003B7955">
      <w:pPr>
        <w:pStyle w:val="NormalHanging12a"/>
        <w:rPr>
          <w:rFonts w:eastAsiaTheme="minorEastAsia"/>
        </w:rPr>
      </w:pPr>
      <w:r w:rsidRPr="003B045F">
        <w:t>–</w:t>
      </w:r>
      <w:r w:rsidRPr="003B045F">
        <w:tab/>
        <w:t>võttes arvesse ELi-Tuneesia assotsieerimislepingut,</w:t>
      </w:r>
    </w:p>
    <w:p w14:paraId="57A967BA" w14:textId="77777777" w:rsidR="003B7955" w:rsidRPr="003B045F" w:rsidRDefault="003B7955" w:rsidP="003B7955">
      <w:pPr>
        <w:pStyle w:val="NormalHanging12a"/>
        <w:rPr>
          <w:rFonts w:eastAsiaTheme="minorEastAsia"/>
        </w:rPr>
      </w:pPr>
      <w:r w:rsidRPr="003B045F">
        <w:t>–</w:t>
      </w:r>
      <w:r w:rsidRPr="003B045F">
        <w:tab/>
        <w:t>võttes arvesse ELi-Tuneesia vastastikuse mõistmise memorandumit,</w:t>
      </w:r>
    </w:p>
    <w:p w14:paraId="18FD3A71" w14:textId="77777777" w:rsidR="003B7955" w:rsidRPr="003B045F" w:rsidRDefault="003B7955" w:rsidP="003B7955">
      <w:pPr>
        <w:pStyle w:val="NormalHanging12a"/>
      </w:pPr>
      <w:r w:rsidRPr="003B045F">
        <w:t>–</w:t>
      </w:r>
      <w:r w:rsidRPr="003B045F">
        <w:tab/>
        <w:t>võttes arvesse kodukorra artikli 150 lõiget 5 ja artikli 136 lõiget 4,</w:t>
      </w:r>
    </w:p>
    <w:p w14:paraId="45B7BBCB" w14:textId="5BA2D23C" w:rsidR="003B7955" w:rsidRPr="003B045F" w:rsidRDefault="003B7955" w:rsidP="003B7955">
      <w:pPr>
        <w:pStyle w:val="NormalHanging12a"/>
      </w:pPr>
      <w:r w:rsidRPr="003B045F">
        <w:t>A.</w:t>
      </w:r>
      <w:r w:rsidRPr="003B045F">
        <w:tab/>
        <w:t xml:space="preserve">arvestades, et jurist ja ajakirjanik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vahistati 2024. aasta mais Tuneesia advokatuuri büroos pärast tema esinemist telekanalis </w:t>
      </w:r>
      <w:proofErr w:type="spellStart"/>
      <w:r w:rsidRPr="003B045F">
        <w:t>Carthage</w:t>
      </w:r>
      <w:proofErr w:type="spellEnd"/>
      <w:r w:rsidRPr="003B045F">
        <w:t>+; arvestades, et vahistamisest alates on tema üle kohut mõistetud viies eraldi menetluses ja ta on kolm korda süüdi mõistetud; arvestades, et kavas on veel kohtuprotsesse ja tema karistuseks võib kokku kujuneda kuni 24 aastat</w:t>
      </w:r>
      <w:r w:rsidR="008B224A" w:rsidRPr="003B045F">
        <w:t xml:space="preserve"> vangistust</w:t>
      </w:r>
      <w:r w:rsidRPr="003B045F">
        <w:t>;</w:t>
      </w:r>
    </w:p>
    <w:p w14:paraId="34AC442C" w14:textId="77777777" w:rsidR="003B7955" w:rsidRPr="003B045F" w:rsidRDefault="003B7955" w:rsidP="003B7955">
      <w:pPr>
        <w:pStyle w:val="NormalHanging12a"/>
      </w:pPr>
      <w:r w:rsidRPr="003B045F">
        <w:t>B.</w:t>
      </w:r>
      <w:r w:rsidRPr="003B045F">
        <w:tab/>
        <w:t xml:space="preserve">arvestades, et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Dahmanit</w:t>
      </w:r>
      <w:proofErr w:type="spellEnd"/>
      <w:r w:rsidRPr="003B045F">
        <w:t xml:space="preserve"> peetakse kinni ebainimlikes ja alandavates tingimustes ning tal puudub võimalus saada arstiabi;</w:t>
      </w:r>
    </w:p>
    <w:p w14:paraId="4FC01543" w14:textId="77777777" w:rsidR="003B7955" w:rsidRPr="003B045F" w:rsidRDefault="003B7955" w:rsidP="003B7955">
      <w:pPr>
        <w:pStyle w:val="NormalHanging12a"/>
      </w:pPr>
      <w:r w:rsidRPr="003B045F">
        <w:t>C.</w:t>
      </w:r>
      <w:r w:rsidRPr="003B045F">
        <w:tab/>
        <w:t xml:space="preserve">arvestades, et tema õde </w:t>
      </w:r>
      <w:proofErr w:type="spellStart"/>
      <w:r w:rsidRPr="003B045F">
        <w:t>Ramla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mõisteti 2025. aasta juulis tagaselja süüdi valeuudiste levitamises;</w:t>
      </w:r>
    </w:p>
    <w:p w14:paraId="16FC9DE8" w14:textId="77777777" w:rsidR="003B7955" w:rsidRPr="003B045F" w:rsidRDefault="003B7955" w:rsidP="003B7955">
      <w:pPr>
        <w:pStyle w:val="NormalHanging12a"/>
      </w:pPr>
      <w:r w:rsidRPr="003B045F">
        <w:t>1.</w:t>
      </w:r>
      <w:r w:rsidRPr="003B045F">
        <w:tab/>
        <w:t xml:space="preserve">mõistab hukka juristi ja meediakommentaatori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meelevaldse kinnipidamise, kohtuliku ahistamise ja süüdimõistmise;</w:t>
      </w:r>
    </w:p>
    <w:p w14:paraId="74429CB4" w14:textId="77777777" w:rsidR="003B7955" w:rsidRPr="003B045F" w:rsidRDefault="003B7955" w:rsidP="003B7955">
      <w:pPr>
        <w:pStyle w:val="NormalHanging12a"/>
      </w:pPr>
      <w:r w:rsidRPr="003B045F">
        <w:t>2.</w:t>
      </w:r>
      <w:r w:rsidRPr="003B045F">
        <w:tab/>
        <w:t xml:space="preserve">nõuab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ja kõigi väljendusvabaduse õiguse kasutamise eest kinni peetud isikute, sealhulgas poliitvangide ja inimõiguste kaitsjate viivitamatut ja tingimusteta vabastamist; nõuab tungivalt, et Tuneesia ametivõimud loobuksid kõigist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</w:t>
      </w:r>
      <w:proofErr w:type="spellEnd"/>
      <w:r w:rsidRPr="003B045F">
        <w:t xml:space="preserve"> ja tema õe vastu esitatud süüdistustest ning lõpetaksid nende perekonna ahistamise;</w:t>
      </w:r>
    </w:p>
    <w:p w14:paraId="3A8293E9" w14:textId="77777777" w:rsidR="003B7955" w:rsidRPr="003B045F" w:rsidRDefault="003B7955" w:rsidP="003B7955">
      <w:pPr>
        <w:pStyle w:val="NormalHanging12a"/>
      </w:pPr>
      <w:r w:rsidRPr="003B045F">
        <w:t>3.</w:t>
      </w:r>
      <w:r w:rsidRPr="003B045F">
        <w:tab/>
      </w:r>
      <w:bookmarkStart w:id="7" w:name="_Hlk214916283"/>
      <w:r w:rsidRPr="003B045F">
        <w:t xml:space="preserve">mõistab hukka tingimused, milles </w:t>
      </w:r>
      <w:proofErr w:type="spellStart"/>
      <w:r w:rsidRPr="003B045F">
        <w:t>Sonia</w:t>
      </w:r>
      <w:proofErr w:type="spellEnd"/>
      <w:r w:rsidRPr="003B045F">
        <w:t xml:space="preserve"> </w:t>
      </w:r>
      <w:proofErr w:type="spellStart"/>
      <w:r w:rsidRPr="003B045F">
        <w:t>Dahmanit</w:t>
      </w:r>
      <w:proofErr w:type="spellEnd"/>
      <w:r w:rsidRPr="003B045F">
        <w:t xml:space="preserve"> kinni peetakse, sealhulgas ebapiisava </w:t>
      </w:r>
      <w:r w:rsidRPr="003B045F">
        <w:lastRenderedPageBreak/>
        <w:t>arstiabi, piiratud suhtluse tema perekonna ja õigusnõustajaga ning kohtuistungite edasilükkamise, samuti mitme kohtuasja algatamise, mille eesmärk on tema kinnipidamist pikendada</w:t>
      </w:r>
      <w:bookmarkEnd w:id="7"/>
      <w:r w:rsidRPr="003B045F">
        <w:t>;</w:t>
      </w:r>
    </w:p>
    <w:p w14:paraId="3E71287D" w14:textId="77777777" w:rsidR="003B7955" w:rsidRPr="003B045F" w:rsidRDefault="003B7955" w:rsidP="003B7955">
      <w:pPr>
        <w:pStyle w:val="NormalHanging12a"/>
      </w:pPr>
      <w:r w:rsidRPr="003B045F">
        <w:t>4.</w:t>
      </w:r>
      <w:r w:rsidRPr="003B045F">
        <w:tab/>
        <w:t>nõuab, et Tuneesia ametivõimud kaitseksid kogunemis- ja väljendusvabadust, tagaksid kohtusüsteemi sõltumatuse, hoiaksid ära täidesaatva võimu sekkumise kohtusüsteemi ülesannetesse ning kaitseksid Tuneesia põhiseadusega tagatud õigusi ja vabadusi; mõistab hukka sagenenud meelevaldsed kinnipidamised, poliitiliselt ajendatud tagakiusamise ja vabaduste piiramise;</w:t>
      </w:r>
    </w:p>
    <w:p w14:paraId="162B0AE5" w14:textId="77777777" w:rsidR="003B7955" w:rsidRPr="003B045F" w:rsidRDefault="003B7955" w:rsidP="003B7955">
      <w:pPr>
        <w:pStyle w:val="NormalHanging12a"/>
      </w:pPr>
      <w:r w:rsidRPr="003B045F">
        <w:t>5.</w:t>
      </w:r>
      <w:r w:rsidRPr="003B045F">
        <w:tab/>
        <w:t>nõuab, et tunnistataks täielikult kehtetuks dekreet-seadus nr 54, mille põhjal on esitatud süüdistusi arvamuste avaldamise eest, ning kõik kuritarvitamist võimaldavad õigusaktid, mida kasutatakse vabaduste piiramiseks;</w:t>
      </w:r>
    </w:p>
    <w:p w14:paraId="0C4DB19C" w14:textId="77777777" w:rsidR="003B7955" w:rsidRPr="003B045F" w:rsidRDefault="003B7955" w:rsidP="003B7955">
      <w:pPr>
        <w:pStyle w:val="NormalHanging12a"/>
      </w:pPr>
      <w:r w:rsidRPr="003B045F">
        <w:t>6.</w:t>
      </w:r>
      <w:r w:rsidRPr="003B045F">
        <w:tab/>
        <w:t>nõuab, et ELi institutsioonid väljendaksid sügavat muret inimõiguste olukorra halvenemise pärast Tuneesias ja jätkaksid koordineeritud diplomaatilist tegevust, mille eesmärk on hõlbustada poliitvangide vabastamist;</w:t>
      </w:r>
    </w:p>
    <w:p w14:paraId="1BA36CEA" w14:textId="77777777" w:rsidR="003B7955" w:rsidRPr="003B045F" w:rsidRDefault="003B7955" w:rsidP="003B7955">
      <w:pPr>
        <w:pStyle w:val="NormalHanging12a"/>
      </w:pPr>
      <w:r w:rsidRPr="003B045F">
        <w:t>7.</w:t>
      </w:r>
      <w:r w:rsidRPr="003B045F">
        <w:tab/>
        <w:t xml:space="preserve">kutsub Tuneesia ametivõime üles täitma oma kohustusi, mis tulenevad rahvusvahelisest </w:t>
      </w:r>
      <w:proofErr w:type="spellStart"/>
      <w:r w:rsidRPr="003B045F">
        <w:t>inimõigustealasest</w:t>
      </w:r>
      <w:proofErr w:type="spellEnd"/>
      <w:r w:rsidRPr="003B045F">
        <w:t xml:space="preserve"> õigusest ja ELi-Tuneesia assotsieerimislepingust; võtab teadmiseks ELi-Tuneesia assotsiatsiooninõukogu kohtumise hiljutise edasilükkamise ning palub komisjonil seada inimõiguste olukord Tuneesiaga peetava poliitilise dialoogi, talle antava rahalise abi ning temaga tehtava julgeolekualase koostöö ja sõlmitavate lepingute keskmesse;</w:t>
      </w:r>
    </w:p>
    <w:p w14:paraId="67960C2C" w14:textId="77777777" w:rsidR="003B7955" w:rsidRPr="003B045F" w:rsidRDefault="003B7955" w:rsidP="003B7955">
      <w:pPr>
        <w:pStyle w:val="NormalHanging12a"/>
      </w:pPr>
      <w:r w:rsidRPr="003B045F">
        <w:t>8.</w:t>
      </w:r>
      <w:r w:rsidRPr="003B045F">
        <w:tab/>
        <w:t>väljendab vankumatut solidaarsust Tuneesia kodanikuühiskonna, inimõiguste kaitsjate, sõltumatu meedia ja ajakirjanike ning juristide ühendustega; kutsub komisjoni üles reageerima Tuneesia valitsuse otsusele blokeerida kodanikuühiskonna organisatsioonide pangakontod; rõhutab õigusala töötajate otsustavat rolli õigusriigi ja kohtusüsteemi usaldusväärsuse kaitsmisel;</w:t>
      </w:r>
    </w:p>
    <w:p w14:paraId="025DD28C" w14:textId="77777777" w:rsidR="003B7955" w:rsidRPr="003B045F" w:rsidRDefault="003B7955" w:rsidP="003B7955">
      <w:pPr>
        <w:pStyle w:val="NormalHanging12a"/>
      </w:pPr>
      <w:r w:rsidRPr="003B045F">
        <w:t>9.</w:t>
      </w:r>
      <w:r w:rsidRPr="003B045F">
        <w:tab/>
        <w:t>ärgitab Tuneesiat tegelema arvukate probleemidega piirkonnas ning kaitsma inimõigusi ja demokraatiat;</w:t>
      </w:r>
    </w:p>
    <w:p w14:paraId="1F3A17C1" w14:textId="580C723D" w:rsidR="00E365E1" w:rsidRPr="003B045F" w:rsidRDefault="003B7955" w:rsidP="00F123F5">
      <w:pPr>
        <w:pStyle w:val="NormalHanging12a"/>
      </w:pPr>
      <w:r w:rsidRPr="003B045F">
        <w:t>10.</w:t>
      </w:r>
      <w:r w:rsidRPr="003B045F">
        <w:tab/>
        <w:t>teeb presidendile ülesandeks edastada käesolev resolutsioon nõukogule, komisjonile, komisjoni asepresidendile ning liidu välisasjade ja julgeolekupoliitika kõrgele esindajale, liikmesriikide valitsustele ja parlamentidele ning Tuneesia ametivõimudele.</w:t>
      </w:r>
    </w:p>
    <w:sectPr w:rsidR="00E365E1" w:rsidRPr="003B045F" w:rsidSect="00AA62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AD760" w14:textId="77777777" w:rsidR="003F4844" w:rsidRPr="00AA62FC" w:rsidRDefault="003F4844">
      <w:r w:rsidRPr="00AA62FC">
        <w:separator/>
      </w:r>
    </w:p>
  </w:endnote>
  <w:endnote w:type="continuationSeparator" w:id="0">
    <w:p w14:paraId="583CDF3F" w14:textId="77777777" w:rsidR="003F4844" w:rsidRPr="00AA62FC" w:rsidRDefault="003F4844">
      <w:r w:rsidRPr="00AA62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1BC18" w14:textId="77777777" w:rsidR="00064002" w:rsidRPr="00AA62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0E75C" w14:textId="77777777" w:rsidR="00064002" w:rsidRPr="00AA62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D8B81" w14:textId="77777777" w:rsidR="00064002" w:rsidRPr="00AA62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11601" w14:textId="77777777" w:rsidR="003F4844" w:rsidRPr="00AA62FC" w:rsidRDefault="003F4844">
      <w:r w:rsidRPr="00AA62FC">
        <w:separator/>
      </w:r>
    </w:p>
  </w:footnote>
  <w:footnote w:type="continuationSeparator" w:id="0">
    <w:p w14:paraId="35F85CC3" w14:textId="77777777" w:rsidR="003F4844" w:rsidRPr="00AA62FC" w:rsidRDefault="003F4844">
      <w:r w:rsidRPr="00AA62F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21C46" w14:textId="77777777" w:rsidR="00064002" w:rsidRPr="00AA62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8E621" w14:textId="77777777" w:rsidR="00064002" w:rsidRPr="00AA62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BFBD7" w14:textId="77777777" w:rsidR="00064002" w:rsidRPr="00AA62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9837130">
    <w:abstractNumId w:val="9"/>
  </w:num>
  <w:num w:numId="2" w16cid:durableId="466432900">
    <w:abstractNumId w:val="9"/>
  </w:num>
  <w:num w:numId="3" w16cid:durableId="1240016093">
    <w:abstractNumId w:val="7"/>
  </w:num>
  <w:num w:numId="4" w16cid:durableId="958797518">
    <w:abstractNumId w:val="7"/>
  </w:num>
  <w:num w:numId="5" w16cid:durableId="867641233">
    <w:abstractNumId w:val="6"/>
  </w:num>
  <w:num w:numId="6" w16cid:durableId="1441335127">
    <w:abstractNumId w:val="6"/>
  </w:num>
  <w:num w:numId="7" w16cid:durableId="1013338509">
    <w:abstractNumId w:val="5"/>
  </w:num>
  <w:num w:numId="8" w16cid:durableId="1465924544">
    <w:abstractNumId w:val="5"/>
  </w:num>
  <w:num w:numId="9" w16cid:durableId="1186597044">
    <w:abstractNumId w:val="4"/>
  </w:num>
  <w:num w:numId="10" w16cid:durableId="1827166198">
    <w:abstractNumId w:val="4"/>
  </w:num>
  <w:num w:numId="11" w16cid:durableId="173232414">
    <w:abstractNumId w:val="8"/>
  </w:num>
  <w:num w:numId="12" w16cid:durableId="679089541">
    <w:abstractNumId w:val="8"/>
  </w:num>
  <w:num w:numId="13" w16cid:durableId="825508967">
    <w:abstractNumId w:val="3"/>
  </w:num>
  <w:num w:numId="14" w16cid:durableId="1188299459">
    <w:abstractNumId w:val="3"/>
  </w:num>
  <w:num w:numId="15" w16cid:durableId="506991539">
    <w:abstractNumId w:val="2"/>
  </w:num>
  <w:num w:numId="16" w16cid:durableId="295523616">
    <w:abstractNumId w:val="2"/>
  </w:num>
  <w:num w:numId="17" w16cid:durableId="247810944">
    <w:abstractNumId w:val="1"/>
  </w:num>
  <w:num w:numId="18" w16cid:durableId="119501157">
    <w:abstractNumId w:val="1"/>
  </w:num>
  <w:num w:numId="19" w16cid:durableId="1214583702">
    <w:abstractNumId w:val="0"/>
  </w:num>
  <w:num w:numId="20" w16cid:durableId="1068455426">
    <w:abstractNumId w:val="0"/>
  </w:num>
  <w:num w:numId="21" w16cid:durableId="1588542634">
    <w:abstractNumId w:val="9"/>
  </w:num>
  <w:num w:numId="22" w16cid:durableId="1129010502">
    <w:abstractNumId w:val="7"/>
  </w:num>
  <w:num w:numId="23" w16cid:durableId="936182175">
    <w:abstractNumId w:val="6"/>
  </w:num>
  <w:num w:numId="24" w16cid:durableId="649595267">
    <w:abstractNumId w:val="5"/>
  </w:num>
  <w:num w:numId="25" w16cid:durableId="804546783">
    <w:abstractNumId w:val="4"/>
  </w:num>
  <w:num w:numId="26" w16cid:durableId="1123964624">
    <w:abstractNumId w:val="8"/>
  </w:num>
  <w:num w:numId="27" w16cid:durableId="96827902">
    <w:abstractNumId w:val="3"/>
  </w:num>
  <w:num w:numId="28" w16cid:durableId="150295649">
    <w:abstractNumId w:val="2"/>
  </w:num>
  <w:num w:numId="29" w16cid:durableId="1889535422">
    <w:abstractNumId w:val="1"/>
  </w:num>
  <w:num w:numId="30" w16cid:durableId="1697466994">
    <w:abstractNumId w:val="0"/>
  </w:num>
  <w:num w:numId="31" w16cid:durableId="2129471044">
    <w:abstractNumId w:val="9"/>
  </w:num>
  <w:num w:numId="32" w16cid:durableId="567030898">
    <w:abstractNumId w:val="7"/>
  </w:num>
  <w:num w:numId="33" w16cid:durableId="177502004">
    <w:abstractNumId w:val="6"/>
  </w:num>
  <w:num w:numId="34" w16cid:durableId="2063289514">
    <w:abstractNumId w:val="5"/>
  </w:num>
  <w:num w:numId="35" w16cid:durableId="1807971752">
    <w:abstractNumId w:val="4"/>
  </w:num>
  <w:num w:numId="36" w16cid:durableId="403375555">
    <w:abstractNumId w:val="8"/>
  </w:num>
  <w:num w:numId="37" w16cid:durableId="1175655462">
    <w:abstractNumId w:val="3"/>
  </w:num>
  <w:num w:numId="38" w16cid:durableId="2141723861">
    <w:abstractNumId w:val="2"/>
  </w:num>
  <w:num w:numId="39" w16cid:durableId="774135911">
    <w:abstractNumId w:val="1"/>
  </w:num>
  <w:num w:numId="40" w16cid:durableId="184906341">
    <w:abstractNumId w:val="0"/>
  </w:num>
  <w:num w:numId="41" w16cid:durableId="208809338">
    <w:abstractNumId w:val="10"/>
  </w:num>
  <w:num w:numId="42" w16cid:durableId="1930457407">
    <w:abstractNumId w:val="10"/>
  </w:num>
  <w:num w:numId="43" w16cid:durableId="459301253">
    <w:abstractNumId w:val="10"/>
  </w:num>
  <w:num w:numId="44" w16cid:durableId="62508608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ET"/>
    <w:docVar w:name="dvnumam" w:val="0"/>
    <w:docVar w:name="dvpe" w:val="778.991"/>
    <w:docVar w:name="dvtitre" w:val="Euroopa Parlamendi .... 2025. aasta resolutsioon õigusriigi ja inimõiguste olukorra kohta Tuneesias, eelkõige Sonia Dahmani juhtumi kohta(2025/2988(RSP))"/>
  </w:docVars>
  <w:rsids>
    <w:rsidRoot w:val="003F4844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B045F"/>
    <w:rsid w:val="003B7955"/>
    <w:rsid w:val="003E15D4"/>
    <w:rsid w:val="003F4844"/>
    <w:rsid w:val="00411CCE"/>
    <w:rsid w:val="0041666E"/>
    <w:rsid w:val="00421060"/>
    <w:rsid w:val="00471C19"/>
    <w:rsid w:val="004867E3"/>
    <w:rsid w:val="00494A28"/>
    <w:rsid w:val="004C0004"/>
    <w:rsid w:val="004C5D52"/>
    <w:rsid w:val="004F4254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224A"/>
    <w:rsid w:val="008C2AC6"/>
    <w:rsid w:val="00930C23"/>
    <w:rsid w:val="0093193B"/>
    <w:rsid w:val="009509D8"/>
    <w:rsid w:val="00950B64"/>
    <w:rsid w:val="00981893"/>
    <w:rsid w:val="00A1687D"/>
    <w:rsid w:val="00A43E52"/>
    <w:rsid w:val="00A43FB0"/>
    <w:rsid w:val="00A4678D"/>
    <w:rsid w:val="00A778C7"/>
    <w:rsid w:val="00AA62F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23F5"/>
    <w:rsid w:val="00F149E9"/>
    <w:rsid w:val="00F5134D"/>
    <w:rsid w:val="00F64F87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973F17"/>
  <w15:chartTrackingRefBased/>
  <w15:docId w15:val="{5C0D19AA-C14C-45CC-93F4-EBF18C87C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B7955"/>
    <w:pPr>
      <w:spacing w:after="240"/>
      <w:ind w:left="567" w:hanging="567"/>
    </w:pPr>
  </w:style>
  <w:style w:type="paragraph" w:customStyle="1" w:styleId="EPComma">
    <w:name w:val="EPComma"/>
    <w:basedOn w:val="Normal"/>
    <w:rsid w:val="003B7955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3B7955"/>
    <w:rPr>
      <w:sz w:val="24"/>
      <w:lang w:val="et-EE"/>
    </w:rPr>
  </w:style>
  <w:style w:type="paragraph" w:styleId="Revision">
    <w:name w:val="Revision"/>
    <w:hidden/>
    <w:uiPriority w:val="99"/>
    <w:semiHidden/>
    <w:rsid w:val="00F123F5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446</Words>
  <Characters>3566</Characters>
  <Application>Microsoft Office Word</Application>
  <DocSecurity>0</DocSecurity>
  <Lines>142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2025-11-27T13:09:00Z</dcterms:created>
  <dcterms:modified xsi:type="dcterms:W3CDTF">2025-11-27T13:09:00Z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