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330A" w14:paraId="6727DD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168BB5" w14:textId="77777777" w:rsidR="00751A4A" w:rsidRPr="007D330A" w:rsidRDefault="00B3236F" w:rsidP="0010095E">
            <w:pPr>
              <w:pStyle w:val="EPName"/>
            </w:pPr>
            <w:r w:rsidRPr="007D330A">
              <w:t>Euroopan parlamentti</w:t>
            </w:r>
          </w:p>
          <w:p w14:paraId="25FA59E0" w14:textId="77777777" w:rsidR="00751A4A" w:rsidRPr="007D33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7D330A">
              <w:t>2024</w:t>
            </w:r>
            <w:r w:rsidR="00817416" w:rsidRPr="007D330A">
              <w:t>-202</w:t>
            </w:r>
            <w:r w:rsidRPr="007D330A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1056A5EB" w14:textId="77777777" w:rsidR="00751A4A" w:rsidRPr="007D330A" w:rsidRDefault="00187494" w:rsidP="0010095E">
            <w:pPr>
              <w:pStyle w:val="EPLogo"/>
            </w:pPr>
            <w:r w:rsidRPr="007D330A">
              <w:rPr>
                <w:noProof/>
                <w:lang w:eastAsia="ja-JP"/>
              </w:rPr>
              <w:drawing>
                <wp:inline distT="0" distB="0" distL="0" distR="0" wp14:anchorId="32D5807E" wp14:editId="43AF25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57E36E" w14:textId="77777777" w:rsidR="00D058B8" w:rsidRPr="007D330A" w:rsidRDefault="00D058B8" w:rsidP="004C5D52">
      <w:pPr>
        <w:pStyle w:val="LineTop"/>
      </w:pPr>
    </w:p>
    <w:p w14:paraId="69BCFD80" w14:textId="77777777" w:rsidR="00680577" w:rsidRPr="007D330A" w:rsidRDefault="00B3236F" w:rsidP="00680577">
      <w:pPr>
        <w:pStyle w:val="EPBodyTA1"/>
      </w:pPr>
      <w:r w:rsidRPr="007D330A">
        <w:t>HYVÄKSYTYT TEKSTIT</w:t>
      </w:r>
    </w:p>
    <w:p w14:paraId="12561229" w14:textId="77777777" w:rsidR="00D058B8" w:rsidRPr="007D330A" w:rsidRDefault="00D058B8" w:rsidP="00D058B8">
      <w:pPr>
        <w:pStyle w:val="LineBottom"/>
      </w:pPr>
    </w:p>
    <w:p w14:paraId="0B036FA3" w14:textId="786BCEB4" w:rsidR="00B3236F" w:rsidRPr="007D330A" w:rsidRDefault="00B3236F" w:rsidP="00B3236F">
      <w:pPr>
        <w:pStyle w:val="ATHeading1"/>
      </w:pPr>
      <w:bookmarkStart w:id="0" w:name="TANumber"/>
      <w:r w:rsidRPr="007D330A">
        <w:t>P10_</w:t>
      </w:r>
      <w:proofErr w:type="gramStart"/>
      <w:r w:rsidRPr="007D330A">
        <w:t>TA(</w:t>
      </w:r>
      <w:proofErr w:type="gramEnd"/>
      <w:r w:rsidRPr="007D330A">
        <w:t>2025)0</w:t>
      </w:r>
      <w:r w:rsidR="000F03AA">
        <w:t>304</w:t>
      </w:r>
      <w:bookmarkEnd w:id="0"/>
    </w:p>
    <w:p w14:paraId="1DDE714C" w14:textId="77777777" w:rsidR="00B3236F" w:rsidRPr="007D330A" w:rsidRDefault="00B3236F" w:rsidP="00B3236F">
      <w:pPr>
        <w:pStyle w:val="ATHeading2"/>
      </w:pPr>
      <w:bookmarkStart w:id="1" w:name="title"/>
      <w:r w:rsidRPr="007D330A">
        <w:t xml:space="preserve">Oikeusvaltio- ja ihmisoikeustilanne Tunisiassa ja erityisesti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Dahmanin</w:t>
      </w:r>
      <w:proofErr w:type="spellEnd"/>
      <w:r w:rsidRPr="007D330A">
        <w:t xml:space="preserve"> tapaus</w:t>
      </w:r>
      <w:bookmarkEnd w:id="1"/>
    </w:p>
    <w:p w14:paraId="79AD231C" w14:textId="73784A93" w:rsidR="00B3236F" w:rsidRPr="007D330A" w:rsidRDefault="00B3236F" w:rsidP="00B3236F">
      <w:pPr>
        <w:rPr>
          <w:i/>
          <w:vanish/>
        </w:rPr>
      </w:pPr>
      <w:r w:rsidRPr="007D330A">
        <w:rPr>
          <w:i/>
        </w:rPr>
        <w:fldChar w:fldCharType="begin"/>
      </w:r>
      <w:r w:rsidRPr="007D330A">
        <w:rPr>
          <w:i/>
        </w:rPr>
        <w:instrText xml:space="preserve"> TC"(</w:instrText>
      </w:r>
      <w:bookmarkStart w:id="2" w:name="DocNumber"/>
      <w:r w:rsidRPr="007D330A">
        <w:rPr>
          <w:i/>
        </w:rPr>
        <w:instrText>B10-0518</w:instrText>
      </w:r>
      <w:r w:rsidR="00AE386F">
        <w:rPr>
          <w:i/>
        </w:rPr>
        <w:instrText>, 0520, 0525, 0532 ja 0538</w:instrText>
      </w:r>
      <w:r w:rsidRPr="007D330A">
        <w:rPr>
          <w:i/>
        </w:rPr>
        <w:instrText>/2025</w:instrText>
      </w:r>
      <w:bookmarkEnd w:id="2"/>
      <w:r w:rsidRPr="007D330A">
        <w:rPr>
          <w:i/>
        </w:rPr>
        <w:instrText xml:space="preserve">)"\l3 \n&gt; \* MERGEFORMAT </w:instrText>
      </w:r>
      <w:r w:rsidRPr="007D330A">
        <w:rPr>
          <w:i/>
        </w:rPr>
        <w:fldChar w:fldCharType="end"/>
      </w:r>
    </w:p>
    <w:p w14:paraId="0228D359" w14:textId="77777777" w:rsidR="00B3236F" w:rsidRPr="007D330A" w:rsidRDefault="00B3236F" w:rsidP="00B3236F">
      <w:pPr>
        <w:rPr>
          <w:vanish/>
        </w:rPr>
      </w:pPr>
      <w:bookmarkStart w:id="3" w:name="PE"/>
      <w:r w:rsidRPr="007D330A">
        <w:rPr>
          <w:vanish/>
        </w:rPr>
        <w:t>PE778.991</w:t>
      </w:r>
      <w:bookmarkEnd w:id="3"/>
    </w:p>
    <w:p w14:paraId="7340BFA4" w14:textId="77777777" w:rsidR="00B3236F" w:rsidRPr="007D330A" w:rsidRDefault="00B3236F" w:rsidP="00B3236F">
      <w:pPr>
        <w:pStyle w:val="ATHeading3"/>
      </w:pPr>
      <w:bookmarkStart w:id="4" w:name="Sujet"/>
      <w:r w:rsidRPr="007D330A">
        <w:t xml:space="preserve">Euroopan parlamentin päätöslauselma 27. marraskuuta 2025 oikeusvaltio- ja ihmisoikeustilanteesta Tunisiassa ja erityisesti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Dahmanin</w:t>
      </w:r>
      <w:proofErr w:type="spellEnd"/>
      <w:r w:rsidRPr="007D330A">
        <w:t xml:space="preserve"> tapauksesta</w:t>
      </w:r>
      <w:bookmarkEnd w:id="4"/>
      <w:r w:rsidRPr="007D330A">
        <w:t xml:space="preserve"> </w:t>
      </w:r>
      <w:bookmarkStart w:id="5" w:name="References"/>
      <w:r w:rsidRPr="007D330A">
        <w:t>(2025/2988(RSP))</w:t>
      </w:r>
      <w:bookmarkEnd w:id="5"/>
    </w:p>
    <w:p w14:paraId="312BCE28" w14:textId="77777777" w:rsidR="009560A0" w:rsidRPr="007D330A" w:rsidRDefault="009560A0" w:rsidP="009560A0">
      <w:pPr>
        <w:pStyle w:val="EPComma"/>
        <w:widowControl/>
      </w:pPr>
      <w:bookmarkStart w:id="6" w:name="TextBodyBegin"/>
      <w:bookmarkEnd w:id="6"/>
      <w:r w:rsidRPr="007D330A">
        <w:rPr>
          <w:i/>
        </w:rPr>
        <w:t>Euroopan parlamentti</w:t>
      </w:r>
      <w:r w:rsidRPr="007D330A">
        <w:t>, joka</w:t>
      </w:r>
    </w:p>
    <w:p w14:paraId="7890B077" w14:textId="77777777" w:rsidR="009560A0" w:rsidRPr="007D330A" w:rsidRDefault="009560A0" w:rsidP="00AE386F">
      <w:pPr>
        <w:pStyle w:val="NormalHanging12a"/>
        <w:widowControl/>
        <w:rPr>
          <w:rFonts w:eastAsiaTheme="minorEastAsia"/>
        </w:rPr>
      </w:pPr>
      <w:r w:rsidRPr="007D330A">
        <w:t>–</w:t>
      </w:r>
      <w:r w:rsidRPr="007D330A">
        <w:tab/>
        <w:t>ottaa huomioon aiemmat päätöslauselmansa Tunisiasta,</w:t>
      </w:r>
    </w:p>
    <w:p w14:paraId="61CEC090" w14:textId="77777777" w:rsidR="009560A0" w:rsidRPr="007D330A" w:rsidRDefault="009560A0" w:rsidP="00AE386F">
      <w:pPr>
        <w:pStyle w:val="NormalHanging12a"/>
        <w:widowControl/>
        <w:rPr>
          <w:rFonts w:eastAsiaTheme="minorEastAsia"/>
        </w:rPr>
      </w:pPr>
      <w:r w:rsidRPr="007D330A">
        <w:t>–</w:t>
      </w:r>
      <w:r w:rsidRPr="007D330A">
        <w:tab/>
        <w:t>ottaa huomioon EU:n ja Tunisian välisen assosiaatiosopimuksen,</w:t>
      </w:r>
    </w:p>
    <w:p w14:paraId="53BE2D8D" w14:textId="77777777" w:rsidR="009560A0" w:rsidRPr="007D330A" w:rsidRDefault="009560A0" w:rsidP="00AE386F">
      <w:pPr>
        <w:pStyle w:val="NormalHanging12a"/>
        <w:widowControl/>
        <w:rPr>
          <w:rFonts w:eastAsiaTheme="minorEastAsia"/>
        </w:rPr>
      </w:pPr>
      <w:r w:rsidRPr="007D330A">
        <w:t>–</w:t>
      </w:r>
      <w:r w:rsidRPr="007D330A">
        <w:tab/>
        <w:t>ottaa huomioon EU:n ja Tunisian välisen yhteisymmärryspöytäkirjan,</w:t>
      </w:r>
    </w:p>
    <w:p w14:paraId="41E660E0" w14:textId="77777777" w:rsidR="009560A0" w:rsidRPr="007D330A" w:rsidRDefault="009560A0" w:rsidP="00AE386F">
      <w:pPr>
        <w:pStyle w:val="NormalHanging12a"/>
        <w:widowControl/>
      </w:pPr>
      <w:r w:rsidRPr="007D330A">
        <w:t>–</w:t>
      </w:r>
      <w:r w:rsidRPr="007D330A">
        <w:tab/>
        <w:t>ottaa huomioon työjärjestyksen 150 artiklan 5 kohdan ja 136 artiklan 4 kohdan,</w:t>
      </w:r>
    </w:p>
    <w:p w14:paraId="3E1F455F" w14:textId="77777777" w:rsidR="009560A0" w:rsidRPr="007D330A" w:rsidRDefault="009560A0" w:rsidP="00AE386F">
      <w:pPr>
        <w:pStyle w:val="NormalHanging12a"/>
        <w:widowControl/>
      </w:pPr>
      <w:r w:rsidRPr="007D330A">
        <w:t>A.</w:t>
      </w:r>
      <w:r w:rsidRPr="007D330A">
        <w:tab/>
        <w:t xml:space="preserve">ottaa huomioon, että asianajaja ja toimittaja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</w:t>
      </w:r>
      <w:proofErr w:type="spellEnd"/>
      <w:r w:rsidRPr="007D330A">
        <w:t xml:space="preserve"> pidätettiin toukokuussa 2024 Tunisian asianajajaliiton toimistossa sen jälkeen, kun hän oli esiintynyt </w:t>
      </w:r>
      <w:proofErr w:type="spellStart"/>
      <w:r w:rsidRPr="007D330A">
        <w:t>Carthage</w:t>
      </w:r>
      <w:proofErr w:type="spellEnd"/>
      <w:r w:rsidRPr="007D330A">
        <w:t>+ -televisiokanavalla; ottaa huomioon, että pidätyksensä jälkeen häntä vastaan on pantu vireille viisi erillistä tuomioistuinmenettelyä ja hänet on tuomittu kolme kertaa; ottaa huomioon, että suunnitteilla on uusia oikeudenkäyntejä ja että hänen kokonaisrangaistuksensa voi olla jopa 24 vuotta;</w:t>
      </w:r>
    </w:p>
    <w:p w14:paraId="50B518BD" w14:textId="77777777" w:rsidR="009560A0" w:rsidRPr="007D330A" w:rsidRDefault="009560A0" w:rsidP="00AE386F">
      <w:pPr>
        <w:pStyle w:val="NormalHanging12a"/>
        <w:widowControl/>
      </w:pPr>
      <w:r w:rsidRPr="007D330A">
        <w:t>B.</w:t>
      </w:r>
      <w:r w:rsidRPr="007D330A">
        <w:tab/>
        <w:t xml:space="preserve">toteaa, että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Dahmanin</w:t>
      </w:r>
      <w:proofErr w:type="spellEnd"/>
      <w:r w:rsidRPr="007D330A">
        <w:t xml:space="preserve"> vankeusolot ovat epäinhimilliset ja ihmisarvoa alentavat eikä hänellä ole mahdollisuutta saada sairaanhoitoa;</w:t>
      </w:r>
    </w:p>
    <w:p w14:paraId="4E82F296" w14:textId="77777777" w:rsidR="009560A0" w:rsidRPr="007D330A" w:rsidRDefault="009560A0" w:rsidP="00AE386F">
      <w:pPr>
        <w:pStyle w:val="NormalHanging12a"/>
        <w:widowControl/>
      </w:pPr>
      <w:r w:rsidRPr="007D330A">
        <w:t>C.</w:t>
      </w:r>
      <w:r w:rsidRPr="007D330A">
        <w:tab/>
        <w:t xml:space="preserve">ottaa huomioon, että hänen sisarensa </w:t>
      </w:r>
      <w:proofErr w:type="spellStart"/>
      <w:r w:rsidRPr="007D330A">
        <w:t>Ramla</w:t>
      </w:r>
      <w:proofErr w:type="spellEnd"/>
      <w:r w:rsidRPr="007D330A">
        <w:t xml:space="preserve"> </w:t>
      </w:r>
      <w:proofErr w:type="spellStart"/>
      <w:r w:rsidRPr="007D330A">
        <w:t>Dahmani</w:t>
      </w:r>
      <w:proofErr w:type="spellEnd"/>
      <w:r w:rsidRPr="007D330A">
        <w:t xml:space="preserve"> tuomittiin heinäkuussa 2025 poissaolevana valeuutisten levittämisestä;</w:t>
      </w:r>
    </w:p>
    <w:p w14:paraId="10A13BDD" w14:textId="77777777" w:rsidR="009560A0" w:rsidRPr="007D330A" w:rsidRDefault="009560A0" w:rsidP="00AE386F">
      <w:pPr>
        <w:pStyle w:val="NormalHanging12a"/>
        <w:widowControl/>
      </w:pPr>
      <w:r w:rsidRPr="007D330A">
        <w:t>1.</w:t>
      </w:r>
      <w:r w:rsidRPr="007D330A">
        <w:tab/>
        <w:t xml:space="preserve">tuomitsee asianajajan ja tiedotusvälineiden kommentaattorin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Dahmanin</w:t>
      </w:r>
      <w:proofErr w:type="spellEnd"/>
      <w:r w:rsidRPr="007D330A">
        <w:t xml:space="preserve"> mielivaltaisen pidätyksen, oikeudellisen häirinnän ja tuomiot;</w:t>
      </w:r>
    </w:p>
    <w:p w14:paraId="148238D2" w14:textId="77777777" w:rsidR="009560A0" w:rsidRPr="007D330A" w:rsidRDefault="009560A0" w:rsidP="00AE386F">
      <w:pPr>
        <w:pStyle w:val="NormalHanging12a"/>
        <w:widowControl/>
      </w:pPr>
      <w:r w:rsidRPr="007D330A">
        <w:t>2.</w:t>
      </w:r>
      <w:r w:rsidRPr="007D330A">
        <w:tab/>
        <w:t xml:space="preserve">vaatii vapauttamaan välittömästi ja ehdoitta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Dahmanin</w:t>
      </w:r>
      <w:proofErr w:type="spellEnd"/>
      <w:r w:rsidRPr="007D330A">
        <w:t xml:space="preserve"> ja kaikki muut henkilöt, jotka on pidätetty siksi, että he ovat käyttäneet sananvapauttaan, mukaan lukien poliittiset vangit ja ihmisoikeuksien puolustajat; kehottaa Tunisian viranomaisia luopumaan kaikista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Dahmania</w:t>
      </w:r>
      <w:proofErr w:type="spellEnd"/>
      <w:r w:rsidRPr="007D330A">
        <w:t xml:space="preserve"> ja hänen sisartaan vastaan nostetuista syytteistä ja lopettamaan heidän perheensä häirinnän;</w:t>
      </w:r>
    </w:p>
    <w:p w14:paraId="62CA9838" w14:textId="77777777" w:rsidR="009560A0" w:rsidRPr="007D330A" w:rsidRDefault="009560A0" w:rsidP="00AE386F">
      <w:pPr>
        <w:pStyle w:val="NormalHanging12a"/>
        <w:widowControl/>
      </w:pPr>
      <w:r w:rsidRPr="007D330A">
        <w:lastRenderedPageBreak/>
        <w:t>3.</w:t>
      </w:r>
      <w:r w:rsidRPr="007D330A">
        <w:tab/>
      </w:r>
      <w:bookmarkStart w:id="7" w:name="_Hlk214916283"/>
      <w:r w:rsidRPr="007D330A">
        <w:t xml:space="preserve">tuomitsee </w:t>
      </w:r>
      <w:proofErr w:type="spellStart"/>
      <w:r w:rsidRPr="007D330A">
        <w:t>Sonia</w:t>
      </w:r>
      <w:proofErr w:type="spellEnd"/>
      <w:r w:rsidRPr="007D330A">
        <w:t xml:space="preserve"> </w:t>
      </w:r>
      <w:proofErr w:type="spellStart"/>
      <w:r w:rsidRPr="007D330A">
        <w:t>Dahmanin</w:t>
      </w:r>
      <w:proofErr w:type="spellEnd"/>
      <w:r w:rsidRPr="007D330A">
        <w:t xml:space="preserve"> vankeusolot, mukaan lukien riittämättömän sairaanhoidon, rajallisen mahdollisuuden pitää yhteyttä omaan perheeseensä ja oikeusavustajaansa ja oikeuskäsittelyn lykkäämiset, sekä useat kanteet, joiden tarkoituksena on jatkaa hänen pidätystään</w:t>
      </w:r>
      <w:bookmarkEnd w:id="7"/>
      <w:r w:rsidRPr="007D330A">
        <w:t>;</w:t>
      </w:r>
    </w:p>
    <w:p w14:paraId="113E8492" w14:textId="77777777" w:rsidR="009560A0" w:rsidRPr="007D330A" w:rsidRDefault="009560A0" w:rsidP="00AE386F">
      <w:pPr>
        <w:pStyle w:val="NormalHanging12a"/>
        <w:widowControl/>
      </w:pPr>
      <w:r w:rsidRPr="007D330A">
        <w:t>4.</w:t>
      </w:r>
      <w:r w:rsidRPr="007D330A">
        <w:tab/>
        <w:t>vaatii, että Tunisian viranomaiset suojelevat kokoontumis- ja sananvapautta, takaavat oikeuslaitoksen riippumattomuuden, estävät toimeenpanovallan puuttumisen oikeuslaitoksen toimintaan ja puolustavat Tunisian perustuslaissa taattuja oikeuksia ja vapauksia; tuomitsee mielivaltaisten pidätysten, poliittisin perustein harjoitetun vainon ja vapauksien rajoittamisen lisääntymisen;</w:t>
      </w:r>
    </w:p>
    <w:p w14:paraId="2670A1EB" w14:textId="77777777" w:rsidR="009560A0" w:rsidRPr="007D330A" w:rsidRDefault="009560A0" w:rsidP="00AE386F">
      <w:pPr>
        <w:pStyle w:val="NormalHanging12a"/>
        <w:widowControl/>
      </w:pPr>
      <w:r w:rsidRPr="007D330A">
        <w:t>5.</w:t>
      </w:r>
      <w:r w:rsidRPr="007D330A">
        <w:tab/>
        <w:t>kehottaa kumoamaan kokonaan asetuksen nro 54, jonka nojalla on nostettu syytteitä mielipiteiden ilmaisemisesta, sekä kaiken vapauksien rajoittamiseen käytetyn väärinkäytökset mahdollistavan lainsäädännön;</w:t>
      </w:r>
    </w:p>
    <w:p w14:paraId="4A0075C9" w14:textId="77777777" w:rsidR="009560A0" w:rsidRPr="007D330A" w:rsidRDefault="009560A0" w:rsidP="00AE386F">
      <w:pPr>
        <w:pStyle w:val="NormalHanging12a"/>
        <w:widowControl/>
      </w:pPr>
      <w:r w:rsidRPr="007D330A">
        <w:t>6.</w:t>
      </w:r>
      <w:r w:rsidRPr="007D330A">
        <w:tab/>
        <w:t>kehottaa EU:n toimielimiä ilmaisemaan syvän huolensa ihmisoikeuksien heikkenemisestä Tunisiassa ja jatkamaan koordinoituja diplomaattisia toimia, joilla pyritään edistämään poliittisten vankien vapauttamista;</w:t>
      </w:r>
    </w:p>
    <w:p w14:paraId="0EB36974" w14:textId="77777777" w:rsidR="009560A0" w:rsidRPr="007D330A" w:rsidRDefault="009560A0" w:rsidP="00AE386F">
      <w:pPr>
        <w:pStyle w:val="NormalHanging12a"/>
        <w:widowControl/>
      </w:pPr>
      <w:r w:rsidRPr="007D330A">
        <w:t>7.</w:t>
      </w:r>
      <w:r w:rsidRPr="007D330A">
        <w:tab/>
        <w:t>kehottaa Tunisian viranomaisia noudattamaan ihmisoikeuksia koskevan kansainvälisen oikeuden sekä EU:n ja Tunisian välisen assosiaatiosopimuksen mukaisia velvoitteitaan; panee merkille EU–Tunisia-assosiaationeuvoston kokouksen äskettäisen lykkäämisen ja pyytää komissiota painottamaan erityisesti ihmisoikeustilannetta Tunisian kanssa käytävässä poliittisessa vuoropuhelussa, sille annettavassa rahoitustuessa, sen kanssa tehtävässä turvallisuusyhteistyössä ja sen kanssa solmittavissa sopimuksissa;</w:t>
      </w:r>
    </w:p>
    <w:p w14:paraId="13E13AEB" w14:textId="77777777" w:rsidR="009560A0" w:rsidRPr="007D330A" w:rsidRDefault="009560A0" w:rsidP="00AE386F">
      <w:pPr>
        <w:pStyle w:val="NormalHanging12a"/>
        <w:widowControl/>
      </w:pPr>
      <w:r w:rsidRPr="007D330A">
        <w:t>8.</w:t>
      </w:r>
      <w:r w:rsidRPr="007D330A">
        <w:tab/>
        <w:t>ilmaisee horjumattoman solidaarisuutensa Tunisian kansalaisyhteiskunnalle, ihmisoikeuksien puolustajille, riippumattomille tiedotusvälineille ja toimittajille sekä asianajajaliitoille; kehottaa komissiota vastaamaan Tunisian hallituksen päätökseen jäädyttää kansalaisyhteiskunnan organisaatioiden pankkitilit; korostaa oikeusalan ammattilaisten ratkaisevaa roolia oikeusvaltioperiaatteen ja oikeusjärjestelmän luotettavuuden turvaamisessa;</w:t>
      </w:r>
    </w:p>
    <w:p w14:paraId="429E108E" w14:textId="77777777" w:rsidR="009560A0" w:rsidRPr="007D330A" w:rsidRDefault="009560A0" w:rsidP="00AE386F">
      <w:pPr>
        <w:pStyle w:val="NormalHanging12a"/>
        <w:widowControl/>
      </w:pPr>
      <w:r w:rsidRPr="007D330A">
        <w:t>9.</w:t>
      </w:r>
      <w:r w:rsidRPr="007D330A">
        <w:tab/>
        <w:t>kannustaa Tunisiaa vastaamaan moninaisiin haasteisiin koko alueella omaksumalla roolin ihmisoikeuksien ja demokratian ylläpitämisessä;</w:t>
      </w:r>
    </w:p>
    <w:p w14:paraId="1FAAC7F6" w14:textId="2497C56D" w:rsidR="00E365E1" w:rsidRPr="007D330A" w:rsidRDefault="009560A0" w:rsidP="00AE386F">
      <w:pPr>
        <w:widowControl/>
        <w:spacing w:after="240"/>
        <w:ind w:left="567" w:hanging="567"/>
      </w:pPr>
      <w:r w:rsidRPr="007D330A">
        <w:t>10.</w:t>
      </w:r>
      <w:r w:rsidRPr="007D330A">
        <w:tab/>
        <w:t>kehottaa puhemiestä välittämään tämän päätöslauselman neuvostolle, komissiolle, komission varapuheenjohtajalle / unionin ulko</w:t>
      </w:r>
      <w:r w:rsidR="00DE4111">
        <w:t>asioiden</w:t>
      </w:r>
      <w:r w:rsidRPr="007D330A">
        <w:t xml:space="preserve"> ja turvallisuuspolitiikan korkealle edustajalle, jäsenvaltioiden hallituksille ja parlamenteille sekä Tunisian viranomaisille.</w:t>
      </w:r>
    </w:p>
    <w:sectPr w:rsidR="00E365E1" w:rsidRPr="007D330A" w:rsidSect="007D330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7C17" w14:textId="77777777" w:rsidR="00B3236F" w:rsidRPr="007D330A" w:rsidRDefault="00B3236F">
      <w:r w:rsidRPr="007D330A">
        <w:separator/>
      </w:r>
    </w:p>
  </w:endnote>
  <w:endnote w:type="continuationSeparator" w:id="0">
    <w:p w14:paraId="70E68903" w14:textId="77777777" w:rsidR="00B3236F" w:rsidRPr="007D330A" w:rsidRDefault="00B3236F">
      <w:r w:rsidRPr="007D33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5C30E" w14:textId="77777777" w:rsidR="00B3236F" w:rsidRPr="007D330A" w:rsidRDefault="00B3236F">
      <w:r w:rsidRPr="007D330A">
        <w:separator/>
      </w:r>
    </w:p>
  </w:footnote>
  <w:footnote w:type="continuationSeparator" w:id="0">
    <w:p w14:paraId="1262EACF" w14:textId="77777777" w:rsidR="00B3236F" w:rsidRPr="007D330A" w:rsidRDefault="00B3236F">
      <w:r w:rsidRPr="007D330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0803502">
    <w:abstractNumId w:val="9"/>
  </w:num>
  <w:num w:numId="2" w16cid:durableId="1260868284">
    <w:abstractNumId w:val="9"/>
  </w:num>
  <w:num w:numId="3" w16cid:durableId="728304291">
    <w:abstractNumId w:val="7"/>
  </w:num>
  <w:num w:numId="4" w16cid:durableId="1250507812">
    <w:abstractNumId w:val="7"/>
  </w:num>
  <w:num w:numId="5" w16cid:durableId="1269579432">
    <w:abstractNumId w:val="6"/>
  </w:num>
  <w:num w:numId="6" w16cid:durableId="799150504">
    <w:abstractNumId w:val="6"/>
  </w:num>
  <w:num w:numId="7" w16cid:durableId="361516532">
    <w:abstractNumId w:val="5"/>
  </w:num>
  <w:num w:numId="8" w16cid:durableId="2006593687">
    <w:abstractNumId w:val="5"/>
  </w:num>
  <w:num w:numId="9" w16cid:durableId="84309970">
    <w:abstractNumId w:val="4"/>
  </w:num>
  <w:num w:numId="10" w16cid:durableId="262107962">
    <w:abstractNumId w:val="4"/>
  </w:num>
  <w:num w:numId="11" w16cid:durableId="1945919579">
    <w:abstractNumId w:val="8"/>
  </w:num>
  <w:num w:numId="12" w16cid:durableId="1401446942">
    <w:abstractNumId w:val="8"/>
  </w:num>
  <w:num w:numId="13" w16cid:durableId="98765272">
    <w:abstractNumId w:val="3"/>
  </w:num>
  <w:num w:numId="14" w16cid:durableId="1866675861">
    <w:abstractNumId w:val="3"/>
  </w:num>
  <w:num w:numId="15" w16cid:durableId="1431272144">
    <w:abstractNumId w:val="2"/>
  </w:num>
  <w:num w:numId="16" w16cid:durableId="55445621">
    <w:abstractNumId w:val="2"/>
  </w:num>
  <w:num w:numId="17" w16cid:durableId="515265034">
    <w:abstractNumId w:val="1"/>
  </w:num>
  <w:num w:numId="18" w16cid:durableId="2035034110">
    <w:abstractNumId w:val="1"/>
  </w:num>
  <w:num w:numId="19" w16cid:durableId="1698896635">
    <w:abstractNumId w:val="0"/>
  </w:num>
  <w:num w:numId="20" w16cid:durableId="1302689084">
    <w:abstractNumId w:val="0"/>
  </w:num>
  <w:num w:numId="21" w16cid:durableId="348801167">
    <w:abstractNumId w:val="9"/>
  </w:num>
  <w:num w:numId="22" w16cid:durableId="1868104445">
    <w:abstractNumId w:val="7"/>
  </w:num>
  <w:num w:numId="23" w16cid:durableId="1868256878">
    <w:abstractNumId w:val="6"/>
  </w:num>
  <w:num w:numId="24" w16cid:durableId="242179763">
    <w:abstractNumId w:val="5"/>
  </w:num>
  <w:num w:numId="25" w16cid:durableId="2108425063">
    <w:abstractNumId w:val="4"/>
  </w:num>
  <w:num w:numId="26" w16cid:durableId="1057359226">
    <w:abstractNumId w:val="8"/>
  </w:num>
  <w:num w:numId="27" w16cid:durableId="79060541">
    <w:abstractNumId w:val="3"/>
  </w:num>
  <w:num w:numId="28" w16cid:durableId="2043508130">
    <w:abstractNumId w:val="2"/>
  </w:num>
  <w:num w:numId="29" w16cid:durableId="1216624396">
    <w:abstractNumId w:val="1"/>
  </w:num>
  <w:num w:numId="30" w16cid:durableId="322663324">
    <w:abstractNumId w:val="0"/>
  </w:num>
  <w:num w:numId="31" w16cid:durableId="585848903">
    <w:abstractNumId w:val="9"/>
  </w:num>
  <w:num w:numId="32" w16cid:durableId="234978734">
    <w:abstractNumId w:val="7"/>
  </w:num>
  <w:num w:numId="33" w16cid:durableId="539434674">
    <w:abstractNumId w:val="6"/>
  </w:num>
  <w:num w:numId="34" w16cid:durableId="270624574">
    <w:abstractNumId w:val="5"/>
  </w:num>
  <w:num w:numId="35" w16cid:durableId="2006976698">
    <w:abstractNumId w:val="4"/>
  </w:num>
  <w:num w:numId="36" w16cid:durableId="1935282781">
    <w:abstractNumId w:val="8"/>
  </w:num>
  <w:num w:numId="37" w16cid:durableId="1781798000">
    <w:abstractNumId w:val="3"/>
  </w:num>
  <w:num w:numId="38" w16cid:durableId="297541346">
    <w:abstractNumId w:val="2"/>
  </w:num>
  <w:num w:numId="39" w16cid:durableId="642004093">
    <w:abstractNumId w:val="1"/>
  </w:num>
  <w:num w:numId="40" w16cid:durableId="131946632">
    <w:abstractNumId w:val="0"/>
  </w:num>
  <w:num w:numId="41" w16cid:durableId="24064505">
    <w:abstractNumId w:val="10"/>
  </w:num>
  <w:num w:numId="42" w16cid:durableId="1730298104">
    <w:abstractNumId w:val="10"/>
  </w:num>
  <w:num w:numId="43" w16cid:durableId="430857824">
    <w:abstractNumId w:val="10"/>
  </w:num>
  <w:num w:numId="44" w16cid:durableId="1371959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/2025"/>
    <w:docVar w:name="dvlangue" w:val="FI"/>
    <w:docVar w:name="dvnumam" w:val="0"/>
    <w:docVar w:name="dvpe" w:val="778.991"/>
    <w:docVar w:name="dvtitre" w:val="Euroopan parlamentin päätöslauselma 27. marraskuuta 2025 oikeusvaltio- ja ihmisoikeustilanteesta Tunisiassa ja erityisesti Sonia Dahmanin tapauksesta(2025/2988(RSP))"/>
  </w:docVars>
  <w:rsids>
    <w:rsidRoot w:val="00B3236F"/>
    <w:rsid w:val="00002272"/>
    <w:rsid w:val="00064002"/>
    <w:rsid w:val="000677B9"/>
    <w:rsid w:val="000831BA"/>
    <w:rsid w:val="000A42CC"/>
    <w:rsid w:val="000E7DD9"/>
    <w:rsid w:val="000F03AA"/>
    <w:rsid w:val="0010095E"/>
    <w:rsid w:val="00125B37"/>
    <w:rsid w:val="00187494"/>
    <w:rsid w:val="001F32AE"/>
    <w:rsid w:val="0022116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AF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30A"/>
    <w:rsid w:val="007E22AD"/>
    <w:rsid w:val="00817416"/>
    <w:rsid w:val="00834D6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0A0"/>
    <w:rsid w:val="00981893"/>
    <w:rsid w:val="00A1687D"/>
    <w:rsid w:val="00A43E52"/>
    <w:rsid w:val="00A4678D"/>
    <w:rsid w:val="00A579B3"/>
    <w:rsid w:val="00A778C7"/>
    <w:rsid w:val="00AB441E"/>
    <w:rsid w:val="00AB6293"/>
    <w:rsid w:val="00AE0928"/>
    <w:rsid w:val="00AE386F"/>
    <w:rsid w:val="00AF3B82"/>
    <w:rsid w:val="00B12E95"/>
    <w:rsid w:val="00B22876"/>
    <w:rsid w:val="00B3236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11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6B3C06"/>
  <w15:chartTrackingRefBased/>
  <w15:docId w15:val="{8FCAA075-3583-4AE5-9D3E-518D3E67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386F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560A0"/>
    <w:pPr>
      <w:spacing w:after="240"/>
      <w:ind w:left="567" w:hanging="567"/>
    </w:pPr>
  </w:style>
  <w:style w:type="paragraph" w:customStyle="1" w:styleId="EPComma">
    <w:name w:val="EPComma"/>
    <w:basedOn w:val="Normal"/>
    <w:rsid w:val="009560A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560A0"/>
    <w:rPr>
      <w:sz w:val="24"/>
      <w:lang w:val="fi-FI"/>
    </w:rPr>
  </w:style>
  <w:style w:type="paragraph" w:styleId="Footer">
    <w:name w:val="footer"/>
    <w:basedOn w:val="Normal"/>
    <w:link w:val="FooterChar"/>
    <w:rsid w:val="00AE38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386F"/>
    <w:rPr>
      <w:sz w:val="24"/>
      <w:lang w:val="fi-FI"/>
    </w:rPr>
  </w:style>
  <w:style w:type="paragraph" w:styleId="Revision">
    <w:name w:val="Revision"/>
    <w:hidden/>
    <w:uiPriority w:val="99"/>
    <w:semiHidden/>
    <w:rsid w:val="00DE411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3936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2025-11-27T14:22:00Z</dcterms:created>
  <dcterms:modified xsi:type="dcterms:W3CDTF">2025-11-27T14:22:00Z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B10-0518/2025</vt:lpwstr>
  </property>
  <property fmtid="{D5CDD505-2E9C-101B-9397-08002B2CF9AE}" pid="4" name="&lt;Type&gt;">
    <vt:lpwstr>RR</vt:lpwstr>
  </property>
</Properties>
</file>