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3E1" w14:paraId="746922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688AD9" w14:textId="77777777" w:rsidR="00751A4A" w:rsidRPr="006013E1" w:rsidRDefault="00A834CC" w:rsidP="0010095E">
            <w:pPr>
              <w:pStyle w:val="EPName"/>
            </w:pPr>
            <w:r w:rsidRPr="006013E1">
              <w:t>Európai Parlament</w:t>
            </w:r>
          </w:p>
          <w:p w14:paraId="69A39CB1" w14:textId="77777777" w:rsidR="00751A4A" w:rsidRPr="006013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3E1">
              <w:t>2024</w:t>
            </w:r>
            <w:r w:rsidR="00817416" w:rsidRPr="006013E1">
              <w:t>-202</w:t>
            </w:r>
            <w:r w:rsidRPr="006013E1">
              <w:t>9</w:t>
            </w:r>
          </w:p>
        </w:tc>
        <w:tc>
          <w:tcPr>
            <w:tcW w:w="2268" w:type="dxa"/>
            <w:shd w:val="clear" w:color="auto" w:fill="auto"/>
          </w:tcPr>
          <w:p w14:paraId="44BF27DD" w14:textId="77777777" w:rsidR="00751A4A" w:rsidRPr="006013E1" w:rsidRDefault="00187494" w:rsidP="0010095E">
            <w:pPr>
              <w:pStyle w:val="EPLogo"/>
            </w:pPr>
            <w:r w:rsidRPr="006013E1">
              <w:rPr>
                <w:noProof/>
                <w:lang w:eastAsia="ja-JP"/>
              </w:rPr>
              <w:drawing>
                <wp:inline distT="0" distB="0" distL="0" distR="0" wp14:anchorId="4435EF48" wp14:editId="642985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CB4B0" w14:textId="77777777" w:rsidR="00D058B8" w:rsidRPr="006013E1" w:rsidRDefault="00D058B8" w:rsidP="004C5D52">
      <w:pPr>
        <w:pStyle w:val="LineTop"/>
      </w:pPr>
    </w:p>
    <w:p w14:paraId="655C8366" w14:textId="77777777" w:rsidR="00680577" w:rsidRPr="006013E1" w:rsidRDefault="00A834CC" w:rsidP="00680577">
      <w:pPr>
        <w:pStyle w:val="EPBodyTA1"/>
      </w:pPr>
      <w:r w:rsidRPr="006013E1">
        <w:t>ELFOGADOTT SZÖVEGEK</w:t>
      </w:r>
    </w:p>
    <w:p w14:paraId="2929DA7E" w14:textId="77777777" w:rsidR="00D058B8" w:rsidRPr="006013E1" w:rsidRDefault="00D058B8" w:rsidP="00D058B8">
      <w:pPr>
        <w:pStyle w:val="LineBottom"/>
      </w:pPr>
    </w:p>
    <w:p w14:paraId="45AFCB12" w14:textId="5F53A71B" w:rsidR="00A834CC" w:rsidRPr="006013E1" w:rsidRDefault="00A834CC" w:rsidP="00A834CC">
      <w:pPr>
        <w:pStyle w:val="ATHeading1"/>
      </w:pPr>
      <w:bookmarkStart w:id="0" w:name="TANumber"/>
      <w:r w:rsidRPr="006013E1">
        <w:t>P10_</w:t>
      </w:r>
      <w:proofErr w:type="gramStart"/>
      <w:r w:rsidRPr="006013E1">
        <w:t>TA(</w:t>
      </w:r>
      <w:proofErr w:type="gramEnd"/>
      <w:r w:rsidRPr="006013E1">
        <w:t>2025)0</w:t>
      </w:r>
      <w:r w:rsidR="006013E1" w:rsidRPr="006013E1">
        <w:t>304</w:t>
      </w:r>
      <w:bookmarkEnd w:id="0"/>
    </w:p>
    <w:p w14:paraId="040E4D55" w14:textId="041E7386" w:rsidR="00A834CC" w:rsidRPr="006013E1" w:rsidRDefault="00A834CC" w:rsidP="00A834CC">
      <w:pPr>
        <w:pStyle w:val="ATHeading2"/>
      </w:pPr>
      <w:bookmarkStart w:id="1" w:name="title"/>
      <w:r w:rsidRPr="006013E1">
        <w:t>Jogállamiság és az emberi jogok helyzete Tunéziában, különösen Szonja ad</w:t>
      </w:r>
      <w:r w:rsidR="0040677C" w:rsidRPr="006013E1">
        <w:t>-</w:t>
      </w:r>
      <w:proofErr w:type="spellStart"/>
      <w:r w:rsidRPr="006013E1">
        <w:t>Dahmáni</w:t>
      </w:r>
      <w:proofErr w:type="spellEnd"/>
      <w:r w:rsidRPr="006013E1">
        <w:t xml:space="preserve"> ügye</w:t>
      </w:r>
      <w:bookmarkEnd w:id="1"/>
    </w:p>
    <w:p w14:paraId="33B9568C" w14:textId="77777777" w:rsidR="00A834CC" w:rsidRPr="006013E1" w:rsidRDefault="00A834CC" w:rsidP="00A834CC">
      <w:pPr>
        <w:rPr>
          <w:i/>
          <w:vanish/>
        </w:rPr>
      </w:pPr>
      <w:r w:rsidRPr="006013E1">
        <w:rPr>
          <w:i/>
        </w:rPr>
        <w:fldChar w:fldCharType="begin"/>
      </w:r>
      <w:r w:rsidRPr="006013E1">
        <w:rPr>
          <w:i/>
        </w:rPr>
        <w:instrText xml:space="preserve"> TC"(</w:instrText>
      </w:r>
      <w:bookmarkStart w:id="2" w:name="DocNumber"/>
      <w:r w:rsidRPr="006013E1">
        <w:rPr>
          <w:i/>
        </w:rPr>
        <w:instrText>B10-0518, 0520, 0525, 0532 és 0538/2025</w:instrText>
      </w:r>
      <w:bookmarkEnd w:id="2"/>
      <w:r w:rsidRPr="006013E1">
        <w:rPr>
          <w:i/>
        </w:rPr>
        <w:instrText xml:space="preserve">)"\l3 \n&gt; \* MERGEFORMAT </w:instrText>
      </w:r>
      <w:r w:rsidRPr="006013E1">
        <w:rPr>
          <w:i/>
        </w:rPr>
        <w:fldChar w:fldCharType="end"/>
      </w:r>
    </w:p>
    <w:p w14:paraId="683A1A30" w14:textId="77777777" w:rsidR="00A834CC" w:rsidRPr="006013E1" w:rsidRDefault="00A834CC" w:rsidP="00A834CC">
      <w:pPr>
        <w:rPr>
          <w:vanish/>
        </w:rPr>
      </w:pPr>
      <w:bookmarkStart w:id="3" w:name="PE"/>
      <w:r w:rsidRPr="006013E1">
        <w:rPr>
          <w:vanish/>
        </w:rPr>
        <w:t>PE778.991</w:t>
      </w:r>
      <w:bookmarkEnd w:id="3"/>
    </w:p>
    <w:p w14:paraId="180BA1C5" w14:textId="3251396A" w:rsidR="00A834CC" w:rsidRPr="006013E1" w:rsidRDefault="00A834CC" w:rsidP="00A834CC">
      <w:pPr>
        <w:pStyle w:val="ATHeading3"/>
      </w:pPr>
      <w:bookmarkStart w:id="4" w:name="Sujet"/>
      <w:r w:rsidRPr="006013E1">
        <w:t xml:space="preserve">Az Európai Parlament 2025. </w:t>
      </w:r>
      <w:r w:rsidR="0040677C" w:rsidRPr="006013E1">
        <w:t>november 27</w:t>
      </w:r>
      <w:r w:rsidRPr="006013E1">
        <w:t>-i állásfoglalása a jogállamiság és az emberi jogok helyzetéről Tunéziában, különösen Szonja ad-</w:t>
      </w:r>
      <w:proofErr w:type="spellStart"/>
      <w:r w:rsidRPr="006013E1">
        <w:t>Dahmáni</w:t>
      </w:r>
      <w:proofErr w:type="spellEnd"/>
      <w:r w:rsidRPr="006013E1">
        <w:t xml:space="preserve"> ügyéről</w:t>
      </w:r>
      <w:bookmarkEnd w:id="4"/>
      <w:r w:rsidRPr="006013E1">
        <w:t xml:space="preserve"> </w:t>
      </w:r>
      <w:bookmarkStart w:id="5" w:name="References"/>
      <w:r w:rsidRPr="006013E1">
        <w:t>(2025/2988(RSP))</w:t>
      </w:r>
      <w:bookmarkEnd w:id="5"/>
    </w:p>
    <w:p w14:paraId="528184EF" w14:textId="77777777" w:rsidR="005E283C" w:rsidRPr="006013E1" w:rsidRDefault="005E283C" w:rsidP="005E283C">
      <w:pPr>
        <w:pStyle w:val="EPComma"/>
      </w:pPr>
      <w:bookmarkStart w:id="6" w:name="TextBodyBegin"/>
      <w:bookmarkEnd w:id="6"/>
      <w:r w:rsidRPr="006013E1">
        <w:rPr>
          <w:i/>
        </w:rPr>
        <w:t>Az Európai Parlament,</w:t>
      </w:r>
    </w:p>
    <w:p w14:paraId="4DD5A88E" w14:textId="77777777" w:rsidR="005E283C" w:rsidRPr="006013E1" w:rsidRDefault="005E283C" w:rsidP="0040677C">
      <w:pPr>
        <w:pStyle w:val="NormalHanging12a"/>
        <w:widowControl/>
        <w:rPr>
          <w:rFonts w:eastAsiaTheme="minorEastAsia"/>
        </w:rPr>
      </w:pPr>
      <w:r w:rsidRPr="006013E1">
        <w:t>–</w:t>
      </w:r>
      <w:r w:rsidRPr="006013E1">
        <w:tab/>
        <w:t>tekintettel a Tunéziáról szóló korábbi állásfoglalásaira,</w:t>
      </w:r>
    </w:p>
    <w:p w14:paraId="18B0205D" w14:textId="77777777" w:rsidR="005E283C" w:rsidRPr="006013E1" w:rsidRDefault="005E283C" w:rsidP="0040677C">
      <w:pPr>
        <w:pStyle w:val="NormalHanging12a"/>
        <w:widowControl/>
        <w:rPr>
          <w:rFonts w:eastAsiaTheme="minorEastAsia"/>
        </w:rPr>
      </w:pPr>
      <w:r w:rsidRPr="006013E1">
        <w:t>–</w:t>
      </w:r>
      <w:r w:rsidRPr="006013E1">
        <w:tab/>
        <w:t>tekintettel az EU–Tunézia társulási megállapodásra,</w:t>
      </w:r>
    </w:p>
    <w:p w14:paraId="37D63BEB" w14:textId="77777777" w:rsidR="005E283C" w:rsidRPr="006013E1" w:rsidRDefault="005E283C" w:rsidP="0040677C">
      <w:pPr>
        <w:pStyle w:val="NormalHanging12a"/>
        <w:widowControl/>
        <w:rPr>
          <w:rFonts w:eastAsiaTheme="minorEastAsia"/>
        </w:rPr>
      </w:pPr>
      <w:r w:rsidRPr="006013E1">
        <w:t>–</w:t>
      </w:r>
      <w:r w:rsidRPr="006013E1">
        <w:tab/>
        <w:t>tekintettel az EU–Tunézia egyetértési megállapodásra,</w:t>
      </w:r>
    </w:p>
    <w:p w14:paraId="30C57FB0" w14:textId="77777777" w:rsidR="005E283C" w:rsidRPr="006013E1" w:rsidRDefault="005E283C" w:rsidP="0040677C">
      <w:pPr>
        <w:pStyle w:val="NormalHanging12a"/>
        <w:widowControl/>
      </w:pPr>
      <w:r w:rsidRPr="006013E1">
        <w:t>–</w:t>
      </w:r>
      <w:r w:rsidRPr="006013E1">
        <w:tab/>
        <w:t>tekintettel eljárási szabályzata 150. cikkének (5) bekezdésére és 136. cikkének (4) bekezdésére,</w:t>
      </w:r>
    </w:p>
    <w:p w14:paraId="23C04A32" w14:textId="77777777" w:rsidR="005E283C" w:rsidRPr="006013E1" w:rsidRDefault="005E283C" w:rsidP="0040677C">
      <w:pPr>
        <w:pStyle w:val="NormalHanging12a"/>
        <w:widowControl/>
      </w:pPr>
      <w:r w:rsidRPr="006013E1">
        <w:t>A.</w:t>
      </w:r>
      <w:r w:rsidRPr="006013E1">
        <w:tab/>
        <w:t>mivel Szonja ad-</w:t>
      </w:r>
      <w:proofErr w:type="spellStart"/>
      <w:r w:rsidRPr="006013E1">
        <w:t>Dahmáni</w:t>
      </w:r>
      <w:proofErr w:type="spellEnd"/>
      <w:r w:rsidRPr="006013E1">
        <w:t xml:space="preserve"> ügyvédet és újságírót a </w:t>
      </w:r>
      <w:proofErr w:type="spellStart"/>
      <w:r w:rsidRPr="006013E1">
        <w:t>Carthage</w:t>
      </w:r>
      <w:proofErr w:type="spellEnd"/>
      <w:r w:rsidRPr="006013E1">
        <w:t>+ televíziós csatornán való szereplését követően, 2024 májusában a Tunéziai Ügyvédi Kamara irodájában letartóztatták; mivel letartóztatása óta öt különböző bírósági eljárást indítottak ellene, és háromszor elítélték; mivel további tárgyalásokat terveznek, és összbüntetése elérheti a 24 évet;</w:t>
      </w:r>
    </w:p>
    <w:p w14:paraId="22EB300A" w14:textId="77777777" w:rsidR="005E283C" w:rsidRPr="006013E1" w:rsidRDefault="005E283C" w:rsidP="0040677C">
      <w:pPr>
        <w:pStyle w:val="NormalHanging12a"/>
        <w:widowControl/>
      </w:pPr>
      <w:r w:rsidRPr="006013E1">
        <w:t>B.</w:t>
      </w:r>
      <w:r w:rsidRPr="006013E1">
        <w:tab/>
        <w:t>mivel Szonja ad-</w:t>
      </w:r>
      <w:proofErr w:type="spellStart"/>
      <w:r w:rsidRPr="006013E1">
        <w:t>Dahmáni</w:t>
      </w:r>
      <w:proofErr w:type="spellEnd"/>
      <w:r w:rsidRPr="006013E1">
        <w:t xml:space="preserve"> embertelen és megalázó </w:t>
      </w:r>
      <w:proofErr w:type="spellStart"/>
      <w:r w:rsidRPr="006013E1">
        <w:t>fogvatartási</w:t>
      </w:r>
      <w:proofErr w:type="spellEnd"/>
      <w:r w:rsidRPr="006013E1">
        <w:t xml:space="preserve"> körülményeknek van kitéve, és nem fér hozzá orvosi ellátáshoz;</w:t>
      </w:r>
    </w:p>
    <w:p w14:paraId="339EBB3D" w14:textId="77777777" w:rsidR="005E283C" w:rsidRPr="006013E1" w:rsidRDefault="005E283C" w:rsidP="0040677C">
      <w:pPr>
        <w:pStyle w:val="NormalHanging12a"/>
        <w:widowControl/>
      </w:pPr>
      <w:r w:rsidRPr="006013E1">
        <w:t>C.</w:t>
      </w:r>
      <w:r w:rsidRPr="006013E1">
        <w:tab/>
        <w:t xml:space="preserve">mivel húgát, </w:t>
      </w:r>
      <w:proofErr w:type="spellStart"/>
      <w:r w:rsidRPr="006013E1">
        <w:t>Ramla</w:t>
      </w:r>
      <w:proofErr w:type="spellEnd"/>
      <w:r w:rsidRPr="006013E1">
        <w:t xml:space="preserve"> ad-</w:t>
      </w:r>
      <w:proofErr w:type="spellStart"/>
      <w:r w:rsidRPr="006013E1">
        <w:t>Dahmánit</w:t>
      </w:r>
      <w:proofErr w:type="spellEnd"/>
      <w:r w:rsidRPr="006013E1">
        <w:t xml:space="preserve"> 2025 júliusában hamis hírek terjesztésének vádjával, távollétében ítélték el;</w:t>
      </w:r>
    </w:p>
    <w:p w14:paraId="6B81D133" w14:textId="77777777" w:rsidR="005E283C" w:rsidRPr="006013E1" w:rsidRDefault="005E283C" w:rsidP="0040677C">
      <w:pPr>
        <w:pStyle w:val="NormalHanging12a"/>
        <w:widowControl/>
      </w:pPr>
      <w:r w:rsidRPr="006013E1">
        <w:t>1.</w:t>
      </w:r>
      <w:r w:rsidRPr="006013E1">
        <w:tab/>
        <w:t>elítéli Szonja ad-</w:t>
      </w:r>
      <w:proofErr w:type="spellStart"/>
      <w:r w:rsidRPr="006013E1">
        <w:t>Dahmáni</w:t>
      </w:r>
      <w:proofErr w:type="spellEnd"/>
      <w:r w:rsidRPr="006013E1">
        <w:t xml:space="preserve"> ügyvéd és médiakommentátor önkényes fogva tartását, bírósági zaklatását és elítélését;</w:t>
      </w:r>
    </w:p>
    <w:p w14:paraId="6E437AA6" w14:textId="77777777" w:rsidR="005E283C" w:rsidRPr="006013E1" w:rsidRDefault="005E283C" w:rsidP="0040677C">
      <w:pPr>
        <w:pStyle w:val="NormalHanging12a"/>
        <w:widowControl/>
      </w:pPr>
      <w:r w:rsidRPr="006013E1">
        <w:t>2.</w:t>
      </w:r>
      <w:r w:rsidRPr="006013E1">
        <w:tab/>
        <w:t>követeli Szonja ad-</w:t>
      </w:r>
      <w:proofErr w:type="spellStart"/>
      <w:r w:rsidRPr="006013E1">
        <w:t>Dahmáni</w:t>
      </w:r>
      <w:proofErr w:type="spellEnd"/>
      <w:r w:rsidRPr="006013E1">
        <w:t xml:space="preserve"> és a véleménynyilvánítás szabadságához való joguk gyakorlása miatt fogva tartott valamennyi személy, köztük a politikai foglyok és az emberijog-védők azonnali és feltétel nélküli szabadon bocsátását; sürgeti a tunéziai hatóságokat, hogy ejtsék a Szonja ad-</w:t>
      </w:r>
      <w:proofErr w:type="spellStart"/>
      <w:r w:rsidRPr="006013E1">
        <w:t>Dahmáni</w:t>
      </w:r>
      <w:proofErr w:type="spellEnd"/>
      <w:r w:rsidRPr="006013E1">
        <w:t xml:space="preserve"> és húga elleni valamennyi vádat, és tartózkodjanak családjuk zaklatásától;</w:t>
      </w:r>
    </w:p>
    <w:p w14:paraId="2DC52C84" w14:textId="77777777" w:rsidR="005E283C" w:rsidRPr="006013E1" w:rsidRDefault="005E283C" w:rsidP="0040677C">
      <w:pPr>
        <w:pStyle w:val="NormalHanging12a"/>
        <w:widowControl/>
      </w:pPr>
      <w:r w:rsidRPr="006013E1">
        <w:lastRenderedPageBreak/>
        <w:t>3.</w:t>
      </w:r>
      <w:r w:rsidRPr="006013E1">
        <w:tab/>
      </w:r>
      <w:bookmarkStart w:id="7" w:name="_Hlk214916283"/>
      <w:r w:rsidRPr="006013E1">
        <w:t>elítéli Szonja ad-</w:t>
      </w:r>
      <w:proofErr w:type="spellStart"/>
      <w:r w:rsidRPr="006013E1">
        <w:t>Dahmáni</w:t>
      </w:r>
      <w:proofErr w:type="spellEnd"/>
      <w:r w:rsidRPr="006013E1">
        <w:t xml:space="preserve"> fogva tartásának körülményeit, beleértve a nem megfelelő orvosi ellátást, a családjával és jogi tanácsadójával való kommunikáció korlátozását, a késedelmes meghallgatásokat, valamint a fogva tartásának meghosszabbítását célzó számos eljárást;</w:t>
      </w:r>
      <w:bookmarkEnd w:id="7"/>
    </w:p>
    <w:p w14:paraId="00498153" w14:textId="77777777" w:rsidR="005E283C" w:rsidRPr="006013E1" w:rsidRDefault="005E283C" w:rsidP="0040677C">
      <w:pPr>
        <w:pStyle w:val="NormalHanging12a"/>
        <w:widowControl/>
      </w:pPr>
      <w:r w:rsidRPr="006013E1">
        <w:t>4.</w:t>
      </w:r>
      <w:r w:rsidRPr="006013E1">
        <w:tab/>
        <w:t xml:space="preserve">ragaszkodik ahhoz, hogy a tunéziai hatóságok védjék meg a gyülekezés és a véleménynyilvánítás szabadságát, garantálják az igazságszolgáltatás függetlenségét, akadályozzák meg a végrehajtó hatalomnak az igazságszolgáltatás feladataiba való beavatkozását, és tartsák tiszteletben a tunéziai alkotmány által garantált szabadságjogokat és egyéb jogokat; elítéli az önkényes fogva tartások és a politikai indíttatású üldöztetések </w:t>
      </w:r>
      <w:proofErr w:type="spellStart"/>
      <w:r w:rsidRPr="006013E1">
        <w:t>eszkalálódását</w:t>
      </w:r>
      <w:proofErr w:type="spellEnd"/>
      <w:r w:rsidRPr="006013E1">
        <w:t>, valamint a szabadságjogok korlátozását;</w:t>
      </w:r>
    </w:p>
    <w:p w14:paraId="1EF2F790" w14:textId="77777777" w:rsidR="005E283C" w:rsidRPr="006013E1" w:rsidRDefault="005E283C" w:rsidP="0040677C">
      <w:pPr>
        <w:pStyle w:val="NormalHanging12a"/>
        <w:widowControl/>
      </w:pPr>
      <w:r w:rsidRPr="006013E1">
        <w:t>5.</w:t>
      </w:r>
      <w:r w:rsidRPr="006013E1">
        <w:tab/>
        <w:t>felszólít a véleménynyilvánítás miatti büntetőeljárásokat eredményező 54. sz. törvényerejű rendelet teljes körű hatályon kívül helyezésére, valamint a szabadságjogok korlátozására használt valamennyi visszaélésszerű jogszabály teljes körű hatályon kívül helyezésére;</w:t>
      </w:r>
    </w:p>
    <w:p w14:paraId="6A1021CF" w14:textId="77777777" w:rsidR="005E283C" w:rsidRPr="006013E1" w:rsidRDefault="005E283C" w:rsidP="0040677C">
      <w:pPr>
        <w:pStyle w:val="NormalHanging12a"/>
        <w:widowControl/>
      </w:pPr>
      <w:r w:rsidRPr="006013E1">
        <w:t>6.</w:t>
      </w:r>
      <w:r w:rsidRPr="006013E1">
        <w:tab/>
        <w:t>felhívja az uniós intézményeket, hogy fejezzék ki mély aggodalmukat az emberi jogok tunéziai helyzetének romlása miatt, és kezdeményezzenek összehangolt diplomáciai fellépést a politikai foglyok szabadon bocsátásának elősegítése érdekében;</w:t>
      </w:r>
    </w:p>
    <w:p w14:paraId="07EDE9E7" w14:textId="77777777" w:rsidR="005E283C" w:rsidRPr="006013E1" w:rsidRDefault="005E283C" w:rsidP="0040677C">
      <w:pPr>
        <w:pStyle w:val="NormalHanging12a"/>
        <w:widowControl/>
      </w:pPr>
      <w:r w:rsidRPr="006013E1">
        <w:t>7.</w:t>
      </w:r>
      <w:r w:rsidRPr="006013E1">
        <w:tab/>
        <w:t>felhívja a tunéziai hatóságokat, hogy tegyenek eleget a nemzetközi emberi jogi jogszabályok és az EU–Tunézia társulási megállapodás szerinti kötelezettségeiknek; tudomásul veszi az EU–Tunézia Társulási Tanács közelmúltbeli elhalasztását, és kéri a Bizottságot, hogy az emberi jogi helyzetet helyezze a politikai párbeszéd, a pénzügyi támogatások, a biztonsági együttműködés és Tunéziával kötendő megállapodások középpontjába;</w:t>
      </w:r>
    </w:p>
    <w:p w14:paraId="4D330561" w14:textId="77777777" w:rsidR="005E283C" w:rsidRPr="006013E1" w:rsidRDefault="005E283C" w:rsidP="0040677C">
      <w:pPr>
        <w:pStyle w:val="NormalHanging12a"/>
        <w:widowControl/>
      </w:pPr>
      <w:r w:rsidRPr="006013E1">
        <w:t>8.</w:t>
      </w:r>
      <w:r w:rsidRPr="006013E1">
        <w:tab/>
        <w:t>megingathatatlan szolidaritását fejezi ki a tunéziai civil társadalommal, az emberijog-védőkkel, a független médiával és újságírókkal, valamint az ügyvédi szövetségekkel; felhívja a Bizottságot, hogy reagáljon a tunéziai kormány azon döntésére, hogy zárolja a civil társadalmi szervezetek bankszámláit; hangsúlyozza, hogy a jogi szakemberek kritikus szerepet játszanak a jogállamiság és az igazságszolgáltatási rendszer integritásának megőrzésében;</w:t>
      </w:r>
    </w:p>
    <w:p w14:paraId="39623880" w14:textId="77777777" w:rsidR="005E283C" w:rsidRPr="006013E1" w:rsidRDefault="005E283C" w:rsidP="0040677C">
      <w:pPr>
        <w:pStyle w:val="NormalHanging12a"/>
        <w:widowControl/>
      </w:pPr>
      <w:r w:rsidRPr="006013E1">
        <w:t>9.</w:t>
      </w:r>
      <w:r w:rsidRPr="006013E1">
        <w:tab/>
        <w:t>arra ösztönzi Tunéziát, hogy kezelje a régió számos kihívását azáltal, hogy szerepet vállal az emberi jogok és a demokrácia fenntartásában;</w:t>
      </w:r>
    </w:p>
    <w:p w14:paraId="081E4D50" w14:textId="248FA425" w:rsidR="008E4847" w:rsidRPr="008E4847" w:rsidRDefault="005E283C" w:rsidP="0040677C">
      <w:pPr>
        <w:pStyle w:val="NormalHanging12a"/>
        <w:widowControl/>
      </w:pPr>
      <w:r w:rsidRPr="006013E1">
        <w:t>10.</w:t>
      </w:r>
      <w:r w:rsidRPr="006013E1">
        <w:tab/>
        <w:t>utasítja elnökét, hogy továbbítsa ezt az állásfoglalást a Tanácsnak, a Bizottságnak, az alelnöknek/főképviselőnek, a tagállamok kormányainak és parlamentjeinek, valamint a tunéziai hatóságoknak.</w:t>
      </w:r>
    </w:p>
    <w:p w14:paraId="23F7B8BC" w14:textId="0A0EBF2E" w:rsidR="00E365E1" w:rsidRPr="008E4847" w:rsidRDefault="00E365E1" w:rsidP="0040677C">
      <w:pPr>
        <w:widowControl/>
        <w:spacing w:after="240"/>
        <w:ind w:left="567" w:hanging="567"/>
      </w:pPr>
    </w:p>
    <w:sectPr w:rsidR="00E365E1" w:rsidRPr="008E4847" w:rsidSect="008E4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8B215" w14:textId="77777777" w:rsidR="00A834CC" w:rsidRPr="008E4847" w:rsidRDefault="00A834CC">
      <w:r w:rsidRPr="008E4847">
        <w:separator/>
      </w:r>
    </w:p>
  </w:endnote>
  <w:endnote w:type="continuationSeparator" w:id="0">
    <w:p w14:paraId="7219480C" w14:textId="77777777" w:rsidR="00A834CC" w:rsidRPr="008E4847" w:rsidRDefault="00A834CC">
      <w:r w:rsidRPr="008E4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7590B" w14:textId="77777777" w:rsidR="00064002" w:rsidRPr="008E48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BE07" w14:textId="77777777" w:rsidR="00064002" w:rsidRPr="008E48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8C92E" w14:textId="77777777" w:rsidR="00064002" w:rsidRPr="008E48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69CBD" w14:textId="77777777" w:rsidR="00A834CC" w:rsidRPr="008E4847" w:rsidRDefault="00A834CC">
      <w:r w:rsidRPr="008E4847">
        <w:separator/>
      </w:r>
    </w:p>
  </w:footnote>
  <w:footnote w:type="continuationSeparator" w:id="0">
    <w:p w14:paraId="7159CF30" w14:textId="77777777" w:rsidR="00A834CC" w:rsidRPr="008E4847" w:rsidRDefault="00A834CC">
      <w:r w:rsidRPr="008E48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0AF7" w14:textId="77777777" w:rsidR="00064002" w:rsidRPr="008E48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9EB5" w14:textId="77777777" w:rsidR="00064002" w:rsidRPr="008E48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D4AB" w14:textId="77777777" w:rsidR="00064002" w:rsidRPr="008E48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0955494">
    <w:abstractNumId w:val="9"/>
  </w:num>
  <w:num w:numId="2" w16cid:durableId="284312213">
    <w:abstractNumId w:val="9"/>
  </w:num>
  <w:num w:numId="3" w16cid:durableId="1971744579">
    <w:abstractNumId w:val="7"/>
  </w:num>
  <w:num w:numId="4" w16cid:durableId="1359038705">
    <w:abstractNumId w:val="7"/>
  </w:num>
  <w:num w:numId="5" w16cid:durableId="402409232">
    <w:abstractNumId w:val="6"/>
  </w:num>
  <w:num w:numId="6" w16cid:durableId="1814978138">
    <w:abstractNumId w:val="6"/>
  </w:num>
  <w:num w:numId="7" w16cid:durableId="706756750">
    <w:abstractNumId w:val="5"/>
  </w:num>
  <w:num w:numId="8" w16cid:durableId="1097562642">
    <w:abstractNumId w:val="5"/>
  </w:num>
  <w:num w:numId="9" w16cid:durableId="933781830">
    <w:abstractNumId w:val="4"/>
  </w:num>
  <w:num w:numId="10" w16cid:durableId="916521626">
    <w:abstractNumId w:val="4"/>
  </w:num>
  <w:num w:numId="11" w16cid:durableId="191386973">
    <w:abstractNumId w:val="8"/>
  </w:num>
  <w:num w:numId="12" w16cid:durableId="1610310035">
    <w:abstractNumId w:val="8"/>
  </w:num>
  <w:num w:numId="13" w16cid:durableId="107048817">
    <w:abstractNumId w:val="3"/>
  </w:num>
  <w:num w:numId="14" w16cid:durableId="1681349558">
    <w:abstractNumId w:val="3"/>
  </w:num>
  <w:num w:numId="15" w16cid:durableId="825172341">
    <w:abstractNumId w:val="2"/>
  </w:num>
  <w:num w:numId="16" w16cid:durableId="2126338969">
    <w:abstractNumId w:val="2"/>
  </w:num>
  <w:num w:numId="17" w16cid:durableId="1053848017">
    <w:abstractNumId w:val="1"/>
  </w:num>
  <w:num w:numId="18" w16cid:durableId="602148977">
    <w:abstractNumId w:val="1"/>
  </w:num>
  <w:num w:numId="19" w16cid:durableId="691417254">
    <w:abstractNumId w:val="0"/>
  </w:num>
  <w:num w:numId="20" w16cid:durableId="386533847">
    <w:abstractNumId w:val="0"/>
  </w:num>
  <w:num w:numId="21" w16cid:durableId="736902016">
    <w:abstractNumId w:val="9"/>
  </w:num>
  <w:num w:numId="22" w16cid:durableId="1514102964">
    <w:abstractNumId w:val="7"/>
  </w:num>
  <w:num w:numId="23" w16cid:durableId="1858232772">
    <w:abstractNumId w:val="6"/>
  </w:num>
  <w:num w:numId="24" w16cid:durableId="1742289305">
    <w:abstractNumId w:val="5"/>
  </w:num>
  <w:num w:numId="25" w16cid:durableId="1185679673">
    <w:abstractNumId w:val="4"/>
  </w:num>
  <w:num w:numId="26" w16cid:durableId="2042195472">
    <w:abstractNumId w:val="8"/>
  </w:num>
  <w:num w:numId="27" w16cid:durableId="818961221">
    <w:abstractNumId w:val="3"/>
  </w:num>
  <w:num w:numId="28" w16cid:durableId="861090826">
    <w:abstractNumId w:val="2"/>
  </w:num>
  <w:num w:numId="29" w16cid:durableId="1109548448">
    <w:abstractNumId w:val="1"/>
  </w:num>
  <w:num w:numId="30" w16cid:durableId="1724789048">
    <w:abstractNumId w:val="0"/>
  </w:num>
  <w:num w:numId="31" w16cid:durableId="543297105">
    <w:abstractNumId w:val="9"/>
  </w:num>
  <w:num w:numId="32" w16cid:durableId="1270429073">
    <w:abstractNumId w:val="7"/>
  </w:num>
  <w:num w:numId="33" w16cid:durableId="1017543555">
    <w:abstractNumId w:val="6"/>
  </w:num>
  <w:num w:numId="34" w16cid:durableId="745801991">
    <w:abstractNumId w:val="5"/>
  </w:num>
  <w:num w:numId="35" w16cid:durableId="885458162">
    <w:abstractNumId w:val="4"/>
  </w:num>
  <w:num w:numId="36" w16cid:durableId="1351296697">
    <w:abstractNumId w:val="8"/>
  </w:num>
  <w:num w:numId="37" w16cid:durableId="1315185496">
    <w:abstractNumId w:val="3"/>
  </w:num>
  <w:num w:numId="38" w16cid:durableId="1075738907">
    <w:abstractNumId w:val="2"/>
  </w:num>
  <w:num w:numId="39" w16cid:durableId="226692338">
    <w:abstractNumId w:val="1"/>
  </w:num>
  <w:num w:numId="40" w16cid:durableId="316954658">
    <w:abstractNumId w:val="0"/>
  </w:num>
  <w:num w:numId="41" w16cid:durableId="356390870">
    <w:abstractNumId w:val="10"/>
  </w:num>
  <w:num w:numId="42" w16cid:durableId="491920093">
    <w:abstractNumId w:val="10"/>
  </w:num>
  <w:num w:numId="43" w16cid:durableId="2034107107">
    <w:abstractNumId w:val="10"/>
  </w:num>
  <w:num w:numId="44" w16cid:durableId="209074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és 0538/2025"/>
    <w:docVar w:name="dvlangue" w:val="HU"/>
    <w:docVar w:name="dvnumam" w:val="0"/>
    <w:docVar w:name="dvpe" w:val="778.991"/>
    <w:docVar w:name="dvtitre" w:val="Az Európai Parlament 2025.  ...-i állásfoglalása a jogállamiság és az emberi jogok helyzetéről Tunéziában, különösen Szonja ad-Dahmáni ügyéről(2025/2988(RSP))"/>
  </w:docVars>
  <w:rsids>
    <w:rsidRoot w:val="00A834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677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83C"/>
    <w:rsid w:val="005F1B17"/>
    <w:rsid w:val="006013E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47"/>
    <w:rsid w:val="008F617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4C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87FABB"/>
  <w15:chartTrackingRefBased/>
  <w15:docId w15:val="{5F8641C3-8A05-4CEF-9F94-3D05EFA9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E283C"/>
    <w:pPr>
      <w:spacing w:after="240"/>
      <w:ind w:left="567" w:hanging="567"/>
    </w:pPr>
  </w:style>
  <w:style w:type="paragraph" w:customStyle="1" w:styleId="EPComma">
    <w:name w:val="EPComma"/>
    <w:basedOn w:val="Normal"/>
    <w:rsid w:val="005E283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E283C"/>
    <w:rPr>
      <w:sz w:val="24"/>
      <w:lang w:val="hu-HU"/>
    </w:rPr>
  </w:style>
  <w:style w:type="paragraph" w:styleId="Revision">
    <w:name w:val="Revision"/>
    <w:hidden/>
    <w:uiPriority w:val="99"/>
    <w:semiHidden/>
    <w:rsid w:val="0040677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2025-11-27T12:58:00Z</dcterms:created>
  <dcterms:modified xsi:type="dcterms:W3CDTF">2025-11-27T12:58:00Z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B10-0518, 0520, 0525, 0532 és 0538/2025</vt:lpwstr>
  </property>
  <property fmtid="{D5CDD505-2E9C-101B-9397-08002B2CF9AE}" pid="4" name="&lt;Type&gt;">
    <vt:lpwstr>RR</vt:lpwstr>
  </property>
</Properties>
</file>