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3050" w14:paraId="51C54F53" w14:textId="77777777" w:rsidTr="0010095E">
        <w:trPr>
          <w:trHeight w:hRule="exact" w:val="1418"/>
        </w:trPr>
        <w:tc>
          <w:tcPr>
            <w:tcW w:w="6804" w:type="dxa"/>
            <w:shd w:val="clear" w:color="auto" w:fill="auto"/>
            <w:vAlign w:val="center"/>
          </w:tcPr>
          <w:p w14:paraId="1849145D" w14:textId="77777777" w:rsidR="00751A4A" w:rsidRPr="00CA3050" w:rsidRDefault="00EE6FD5" w:rsidP="0010095E">
            <w:pPr>
              <w:pStyle w:val="EPName"/>
            </w:pPr>
            <w:r w:rsidRPr="00CA3050">
              <w:t>Europos Parlamentas</w:t>
            </w:r>
          </w:p>
          <w:p w14:paraId="469EEA1C" w14:textId="77777777" w:rsidR="00751A4A" w:rsidRPr="00CA3050" w:rsidRDefault="005F1B17" w:rsidP="005F1B17">
            <w:pPr>
              <w:pStyle w:val="EPTerm"/>
              <w:rPr>
                <w:rStyle w:val="HideTWBExt"/>
                <w:noProof w:val="0"/>
                <w:vanish w:val="0"/>
                <w:color w:val="auto"/>
              </w:rPr>
            </w:pPr>
            <w:r w:rsidRPr="00CA3050">
              <w:t>2024</w:t>
            </w:r>
            <w:r w:rsidR="00817416" w:rsidRPr="00CA3050">
              <w:t>-202</w:t>
            </w:r>
            <w:r w:rsidRPr="00CA3050">
              <w:t>9</w:t>
            </w:r>
          </w:p>
        </w:tc>
        <w:tc>
          <w:tcPr>
            <w:tcW w:w="2268" w:type="dxa"/>
            <w:shd w:val="clear" w:color="auto" w:fill="auto"/>
          </w:tcPr>
          <w:p w14:paraId="59880219" w14:textId="77777777" w:rsidR="00751A4A" w:rsidRPr="00CA3050" w:rsidRDefault="00187494" w:rsidP="0010095E">
            <w:pPr>
              <w:pStyle w:val="EPLogo"/>
            </w:pPr>
            <w:r w:rsidRPr="00CA3050">
              <w:rPr>
                <w:noProof/>
                <w:lang w:eastAsia="ja-JP"/>
              </w:rPr>
              <w:drawing>
                <wp:inline distT="0" distB="0" distL="0" distR="0" wp14:anchorId="2ADB45A9" wp14:editId="390C40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80FF9E" w14:textId="77777777" w:rsidR="00D058B8" w:rsidRPr="00CA3050" w:rsidRDefault="00D058B8" w:rsidP="004C5D52">
      <w:pPr>
        <w:pStyle w:val="LineTop"/>
      </w:pPr>
    </w:p>
    <w:p w14:paraId="04DB096C" w14:textId="77777777" w:rsidR="00680577" w:rsidRPr="00CA3050" w:rsidRDefault="00EE6FD5" w:rsidP="00680577">
      <w:pPr>
        <w:pStyle w:val="EPBodyTA1"/>
      </w:pPr>
      <w:r w:rsidRPr="00CA3050">
        <w:t>PRIIMTI TEKSTAI</w:t>
      </w:r>
    </w:p>
    <w:p w14:paraId="6205307A" w14:textId="77777777" w:rsidR="00D058B8" w:rsidRPr="00CA3050" w:rsidRDefault="00D058B8" w:rsidP="00D058B8">
      <w:pPr>
        <w:pStyle w:val="LineBottom"/>
      </w:pPr>
    </w:p>
    <w:p w14:paraId="7C2193A8" w14:textId="4343C7A2" w:rsidR="00EE6FD5" w:rsidRPr="00CA3050" w:rsidRDefault="00EE6FD5" w:rsidP="00EE6FD5">
      <w:pPr>
        <w:pStyle w:val="ATHeading1"/>
      </w:pPr>
      <w:bookmarkStart w:id="0" w:name="TANumber"/>
      <w:r w:rsidRPr="00CA3050">
        <w:t>P10_TA(2025)0</w:t>
      </w:r>
      <w:r w:rsidR="002875E2">
        <w:t>3</w:t>
      </w:r>
      <w:r w:rsidRPr="00CA3050">
        <w:t>0</w:t>
      </w:r>
      <w:r w:rsidR="002875E2">
        <w:t>4</w:t>
      </w:r>
      <w:bookmarkEnd w:id="0"/>
    </w:p>
    <w:p w14:paraId="2F2A7DFB" w14:textId="77777777" w:rsidR="00EE6FD5" w:rsidRPr="00CA3050" w:rsidRDefault="00EE6FD5" w:rsidP="00EE6FD5">
      <w:pPr>
        <w:pStyle w:val="ATHeading2"/>
      </w:pPr>
      <w:bookmarkStart w:id="1" w:name="title"/>
      <w:r w:rsidRPr="00CA3050">
        <w:t>Teisinės valstybės ir žmogaus teisių padėtis Tunise, ypač Sonios Dahmani atvejis</w:t>
      </w:r>
      <w:bookmarkEnd w:id="1"/>
    </w:p>
    <w:p w14:paraId="0C2FDA08" w14:textId="77777777" w:rsidR="00EE6FD5" w:rsidRPr="00CA3050" w:rsidRDefault="00EE6FD5" w:rsidP="00EE6FD5">
      <w:pPr>
        <w:rPr>
          <w:i/>
          <w:vanish/>
        </w:rPr>
      </w:pPr>
      <w:r w:rsidRPr="00CA3050">
        <w:rPr>
          <w:i/>
        </w:rPr>
        <w:fldChar w:fldCharType="begin"/>
      </w:r>
      <w:r w:rsidRPr="00CA3050">
        <w:rPr>
          <w:i/>
        </w:rPr>
        <w:instrText xml:space="preserve"> TC"(</w:instrText>
      </w:r>
      <w:bookmarkStart w:id="2" w:name="DocNumber"/>
      <w:r w:rsidRPr="00CA3050">
        <w:rPr>
          <w:i/>
        </w:rPr>
        <w:instrText>B10-0518, 0520, 0525, 0532 ir 0538/2025</w:instrText>
      </w:r>
      <w:bookmarkEnd w:id="2"/>
      <w:r w:rsidRPr="00CA3050">
        <w:rPr>
          <w:i/>
        </w:rPr>
        <w:instrText xml:space="preserve">)"\l3 \n&gt; \* MERGEFORMAT </w:instrText>
      </w:r>
      <w:r w:rsidRPr="00CA3050">
        <w:rPr>
          <w:i/>
        </w:rPr>
        <w:fldChar w:fldCharType="end"/>
      </w:r>
    </w:p>
    <w:p w14:paraId="22CC2233" w14:textId="77777777" w:rsidR="00EE6FD5" w:rsidRPr="00CA3050" w:rsidRDefault="00EE6FD5" w:rsidP="00EE6FD5">
      <w:pPr>
        <w:rPr>
          <w:vanish/>
        </w:rPr>
      </w:pPr>
      <w:bookmarkStart w:id="3" w:name="PE"/>
      <w:r w:rsidRPr="00CA3050">
        <w:rPr>
          <w:vanish/>
        </w:rPr>
        <w:t>PE778.991</w:t>
      </w:r>
      <w:bookmarkEnd w:id="3"/>
    </w:p>
    <w:p w14:paraId="5F3A3B7F" w14:textId="3F481F7D" w:rsidR="00EE6FD5" w:rsidRPr="00CA3050" w:rsidRDefault="00EE6FD5" w:rsidP="00B4752A">
      <w:pPr>
        <w:pStyle w:val="ATHeading3"/>
      </w:pPr>
      <w:bookmarkStart w:id="4" w:name="Sujet"/>
      <w:r w:rsidRPr="00CA3050">
        <w:t xml:space="preserve">2025 m. </w:t>
      </w:r>
      <w:r w:rsidR="00B4752A" w:rsidRPr="00CA3050">
        <w:t>lapkričio</w:t>
      </w:r>
      <w:r w:rsidRPr="00CA3050">
        <w:t xml:space="preserve"> 27 d. Europos Parlamento rezoliucija dėl teisinės valstybės ir žmogaus teisių padėties Tunise, ypač Sonios Dahmani atvejo</w:t>
      </w:r>
      <w:bookmarkEnd w:id="4"/>
      <w:r w:rsidRPr="00CA3050">
        <w:t xml:space="preserve"> </w:t>
      </w:r>
      <w:bookmarkStart w:id="5" w:name="References"/>
      <w:r w:rsidRPr="00CA3050">
        <w:t>(2025/2988(RSP))</w:t>
      </w:r>
      <w:bookmarkEnd w:id="5"/>
    </w:p>
    <w:p w14:paraId="7DA6F6EF" w14:textId="77777777" w:rsidR="008C6FEE" w:rsidRPr="00CA3050" w:rsidRDefault="008C6FEE" w:rsidP="008C6FEE">
      <w:pPr>
        <w:pStyle w:val="EPComma"/>
      </w:pPr>
      <w:bookmarkStart w:id="6" w:name="TextBodyBegin"/>
      <w:bookmarkEnd w:id="6"/>
      <w:r w:rsidRPr="00CA3050">
        <w:rPr>
          <w:i/>
        </w:rPr>
        <w:t>Europos Parlamentas</w:t>
      </w:r>
      <w:r w:rsidRPr="00CA3050">
        <w:t>,</w:t>
      </w:r>
    </w:p>
    <w:p w14:paraId="095C3925" w14:textId="77777777" w:rsidR="008C6FEE" w:rsidRPr="00CA3050" w:rsidRDefault="008C6FEE" w:rsidP="008C6FEE">
      <w:pPr>
        <w:pStyle w:val="NormalHanging12a"/>
        <w:rPr>
          <w:rFonts w:eastAsiaTheme="minorEastAsia"/>
        </w:rPr>
      </w:pPr>
      <w:r w:rsidRPr="00CA3050">
        <w:t>–</w:t>
      </w:r>
      <w:r w:rsidRPr="00CA3050">
        <w:tab/>
        <w:t>atsižvelgdamas į ankstesnes rezoliucijas dėl Tuniso,</w:t>
      </w:r>
    </w:p>
    <w:p w14:paraId="3208FFE8" w14:textId="77777777" w:rsidR="008C6FEE" w:rsidRPr="00CA3050" w:rsidRDefault="008C6FEE" w:rsidP="008C6FEE">
      <w:pPr>
        <w:pStyle w:val="NormalHanging12a"/>
        <w:rPr>
          <w:rFonts w:eastAsiaTheme="minorEastAsia"/>
        </w:rPr>
      </w:pPr>
      <w:r w:rsidRPr="00CA3050">
        <w:t>–</w:t>
      </w:r>
      <w:r w:rsidRPr="00CA3050">
        <w:tab/>
        <w:t>atsižvelgdamas į ES ir Tuniso asociacijos susitarimą,</w:t>
      </w:r>
    </w:p>
    <w:p w14:paraId="1E4E3B5A" w14:textId="77777777" w:rsidR="008C6FEE" w:rsidRPr="00CA3050" w:rsidRDefault="008C6FEE" w:rsidP="008C6FEE">
      <w:pPr>
        <w:pStyle w:val="NormalHanging12a"/>
        <w:rPr>
          <w:rFonts w:eastAsiaTheme="minorEastAsia"/>
        </w:rPr>
      </w:pPr>
      <w:r w:rsidRPr="00CA3050">
        <w:t>–</w:t>
      </w:r>
      <w:r w:rsidRPr="00CA3050">
        <w:tab/>
        <w:t>atsižvelgdamas į ES ir Tuniso susitarimo memorandumą,</w:t>
      </w:r>
    </w:p>
    <w:p w14:paraId="3A47BDE4" w14:textId="77777777" w:rsidR="008C6FEE" w:rsidRPr="00CA3050" w:rsidRDefault="008C6FEE" w:rsidP="008C6FEE">
      <w:pPr>
        <w:pStyle w:val="NormalHanging12a"/>
      </w:pPr>
      <w:r w:rsidRPr="00CA3050">
        <w:t>–</w:t>
      </w:r>
      <w:r w:rsidRPr="00CA3050">
        <w:tab/>
        <w:t>atsižvelgdamas į Darbo tvarkos taisyklių 150 straipsnio 5 dalį ir 136 straipsnio 4 dalį,</w:t>
      </w:r>
    </w:p>
    <w:p w14:paraId="6D4CB7A1" w14:textId="77777777" w:rsidR="008C6FEE" w:rsidRPr="00CA3050" w:rsidRDefault="008C6FEE" w:rsidP="008C6FEE">
      <w:pPr>
        <w:pStyle w:val="NormalHanging12a"/>
      </w:pPr>
      <w:r w:rsidRPr="00CA3050">
        <w:t>A.</w:t>
      </w:r>
      <w:r w:rsidRPr="00CA3050">
        <w:tab/>
        <w:t>kadangi 2024 m. gegužės mėn. po to, kai pasirodė televizijos kanale „Carthage+“, Tuniso advokatų rūmų biure buvo suimta advokatė ir žurnalistė Sonia Dahmani; kadangi nuo suėmimo ji dalyvavo penkiuose atskiruose teismo procesuose ir buvo nuteista tris kartus; kadangi planuojama vykdyti daugiau teismo procesų, o bendra bausmė, kuri jai gali būti skirta, gali siekti iki 24 metų;</w:t>
      </w:r>
    </w:p>
    <w:p w14:paraId="332D9998" w14:textId="77777777" w:rsidR="008C6FEE" w:rsidRPr="00CA3050" w:rsidRDefault="008C6FEE" w:rsidP="008C6FEE">
      <w:pPr>
        <w:pStyle w:val="NormalHanging12a"/>
      </w:pPr>
      <w:r w:rsidRPr="00CA3050">
        <w:t>B.</w:t>
      </w:r>
      <w:r w:rsidRPr="00CA3050">
        <w:tab/>
        <w:t>kadangi Sonia Dahmani kalinama nežmoniškomis ir žeminančiomis sąlygomis ir neturi galimybės naudotis medicininės priežiūros paslaugomis;</w:t>
      </w:r>
    </w:p>
    <w:p w14:paraId="776A2AAA" w14:textId="77777777" w:rsidR="008C6FEE" w:rsidRPr="00CA3050" w:rsidRDefault="008C6FEE" w:rsidP="008C6FEE">
      <w:pPr>
        <w:pStyle w:val="NormalHanging12a"/>
      </w:pPr>
      <w:r w:rsidRPr="00CA3050">
        <w:t>C.</w:t>
      </w:r>
      <w:r w:rsidRPr="00CA3050">
        <w:tab/>
        <w:t xml:space="preserve">kadangi 2025 m. liepos mėn. jos sesuo Ramla Dahmani, apkaltina melagingų naujienų skleidimu, buvo nuteista </w:t>
      </w:r>
      <w:r w:rsidRPr="00CA3050">
        <w:rPr>
          <w:i/>
          <w:iCs/>
        </w:rPr>
        <w:t>in absentia</w:t>
      </w:r>
      <w:r w:rsidRPr="00CA3050">
        <w:t>;</w:t>
      </w:r>
    </w:p>
    <w:p w14:paraId="3EF3C2C7" w14:textId="77777777" w:rsidR="008C6FEE" w:rsidRPr="00CA3050" w:rsidRDefault="008C6FEE" w:rsidP="008C6FEE">
      <w:pPr>
        <w:pStyle w:val="NormalHanging12a"/>
      </w:pPr>
      <w:r w:rsidRPr="00CA3050">
        <w:t>1.</w:t>
      </w:r>
      <w:r w:rsidRPr="00CA3050">
        <w:tab/>
        <w:t>smerkia savavališką teisininkės ir žiniasklaidos komentatorės Sonios Dahmani kalinimą, teisminį persekiojimą ir nuteisimą;</w:t>
      </w:r>
    </w:p>
    <w:p w14:paraId="2884326C" w14:textId="77777777" w:rsidR="008C6FEE" w:rsidRPr="00CA3050" w:rsidRDefault="008C6FEE" w:rsidP="008C6FEE">
      <w:pPr>
        <w:pStyle w:val="NormalHanging12a"/>
      </w:pPr>
      <w:r w:rsidRPr="00CA3050">
        <w:t>2.</w:t>
      </w:r>
      <w:r w:rsidRPr="00CA3050">
        <w:tab/>
        <w:t>reikalauja nedelsiant ir besąlygiškai paleisti Sonią Dahmani ir visus asmenis, suimtus už tai, kad naudojosi savo teise į saviraiškos laisvę, įskaitant politinius kalinius ir žmogaus teisių gynėjus; primygtinai ragina Tuniso valdžios institucijas panaikinti visus kaltinimus Soniai Dahmani ir jos seseriai ir susilaikyti nuo priekabiavimo prie jų šeimos;</w:t>
      </w:r>
    </w:p>
    <w:p w14:paraId="728F22D0" w14:textId="77777777" w:rsidR="008C6FEE" w:rsidRPr="00CA3050" w:rsidRDefault="008C6FEE" w:rsidP="008C6FEE">
      <w:pPr>
        <w:pStyle w:val="NormalHanging12a"/>
      </w:pPr>
      <w:r w:rsidRPr="00CA3050">
        <w:t>3.</w:t>
      </w:r>
      <w:r w:rsidRPr="00CA3050">
        <w:tab/>
      </w:r>
      <w:bookmarkStart w:id="7" w:name="_Hlk214916283"/>
      <w:r w:rsidRPr="00CA3050">
        <w:t xml:space="preserve">smerkia sąlygas, kuriomis kalinama Sonia Dahmani, įskaitant nepakankamą medicininę priežiūrą, ribotas galimybes bendrauti su savo šeima bei patarėju teisės klausimais ir atidedamus teismo posėdžius, taip pat tai, kad iškelta keletas bylų, kuriomis siekiama </w:t>
      </w:r>
      <w:r w:rsidRPr="00CA3050">
        <w:lastRenderedPageBreak/>
        <w:t>pratęsti jos kalinimą</w:t>
      </w:r>
      <w:bookmarkEnd w:id="7"/>
      <w:r w:rsidRPr="00CA3050">
        <w:t>;</w:t>
      </w:r>
    </w:p>
    <w:p w14:paraId="78376DA3" w14:textId="77777777" w:rsidR="008C6FEE" w:rsidRPr="00CA3050" w:rsidRDefault="008C6FEE" w:rsidP="008C6FEE">
      <w:pPr>
        <w:pStyle w:val="NormalHanging12a"/>
      </w:pPr>
      <w:r w:rsidRPr="00CA3050">
        <w:t>4.</w:t>
      </w:r>
      <w:r w:rsidRPr="00CA3050">
        <w:tab/>
        <w:t>primygtinai reikalauja, kad Tuniso valdžios institucijos apsaugotų susirinkimų ir saviraiškos laisvę, užtikrintų teisminių institucijų nepriklausomumą, užkirstų kelią vykdomosios valdžios kišimuisi į teismines funkcijas ir užtikrintų Tuniso Konstitucijoje garantuojamas teises ir laisves; smerkia dažnėjančius savavališko kalinimo atvejus, politiškai motyvuotus persekiojimus ir laisvių suvaržymus;</w:t>
      </w:r>
    </w:p>
    <w:p w14:paraId="0175EB99" w14:textId="77777777" w:rsidR="008C6FEE" w:rsidRPr="00CA3050" w:rsidRDefault="008C6FEE" w:rsidP="008C6FEE">
      <w:pPr>
        <w:pStyle w:val="NormalHanging12a"/>
      </w:pPr>
      <w:r w:rsidRPr="00CA3050">
        <w:t>5.</w:t>
      </w:r>
      <w:r w:rsidRPr="00CA3050">
        <w:tab/>
        <w:t>ragina visiškai panaikinti Įstatyminį dekretą Nr. 54, kuriuo remiantis pradėta vykdyti baudžiamuosius persekiojimus už nuomonės pareiškimą, ir visus teisės aktus, kuriais piktnaudžiaujama siekiant apriboti laisves;</w:t>
      </w:r>
    </w:p>
    <w:p w14:paraId="23DBF6EB" w14:textId="77777777" w:rsidR="008C6FEE" w:rsidRPr="00CA3050" w:rsidRDefault="008C6FEE" w:rsidP="008C6FEE">
      <w:pPr>
        <w:pStyle w:val="NormalHanging12a"/>
      </w:pPr>
      <w:r w:rsidRPr="00CA3050">
        <w:t>6.</w:t>
      </w:r>
      <w:r w:rsidRPr="00CA3050">
        <w:tab/>
        <w:t>ragina ES institucijas pareikšti didelį susirūpinimą dėl blogėjančios žmogaus teisių padėties Tunise ir imtis koordinuotų diplomatinių veiksmų, kuriais būtų siekiama sudaryti sąlygas politinių kalinių paleidimui;</w:t>
      </w:r>
    </w:p>
    <w:p w14:paraId="489C60E6" w14:textId="77777777" w:rsidR="008C6FEE" w:rsidRPr="00CA3050" w:rsidRDefault="008C6FEE" w:rsidP="008C6FEE">
      <w:pPr>
        <w:pStyle w:val="NormalHanging12a"/>
      </w:pPr>
      <w:r w:rsidRPr="00CA3050">
        <w:t>7.</w:t>
      </w:r>
      <w:r w:rsidRPr="00CA3050">
        <w:tab/>
        <w:t>ragina Tuniso valdžios institucijas laikytis savo įsipareigojimų pagal tarptautinę žmogaus teisių teisę ir ES ir Tuniso asociacijos susitarimą; atkreipia dėmesį į tai, kad neseniai atidėtas ES ir Tuniso asociacijos tarybos posėdis, ir prašo Komisijos užtikrinti, kad žmogaus teisių padėtis būtų bet kokio politinio dialogo, finansinės paramos, bendradarbiavimo saugumo srityje ir susitarimų su Tunisu pagrindas;</w:t>
      </w:r>
    </w:p>
    <w:p w14:paraId="323E407E" w14:textId="77777777" w:rsidR="008C6FEE" w:rsidRPr="00CA3050" w:rsidRDefault="008C6FEE" w:rsidP="008C6FEE">
      <w:pPr>
        <w:pStyle w:val="NormalHanging12a"/>
      </w:pPr>
      <w:r w:rsidRPr="00CA3050">
        <w:t>8.</w:t>
      </w:r>
      <w:r w:rsidRPr="00CA3050">
        <w:tab/>
        <w:t>reiškia tvirtą solidarumą su Tuniso pilietine visuomene, žmogaus teisių gynėjais, nepriklausoma žiniasklaida, žurnalistais ir teisininkų asociacijomis; ragina Komisiją reaguoti į Tuniso Vyriausybės sprendimą blokuoti pilietinės visuomenės organizacijų banko sąskaitas; pabrėžia itin svarbų teisės specialistų vaidmenį apsaugant teisinę valstybę ir teismų sistemos vientisumą;</w:t>
      </w:r>
    </w:p>
    <w:p w14:paraId="193CF758" w14:textId="77777777" w:rsidR="008C6FEE" w:rsidRPr="00CA3050" w:rsidRDefault="008C6FEE" w:rsidP="008C6FEE">
      <w:pPr>
        <w:pStyle w:val="NormalHanging12a"/>
      </w:pPr>
      <w:r w:rsidRPr="00CA3050">
        <w:t>9.</w:t>
      </w:r>
      <w:r w:rsidRPr="00CA3050">
        <w:tab/>
        <w:t>ragina Tunisą spręsti įvairias problemas visame regione, prisiimant vaidmenį puoselėti žmogaus teises ir demokratiją;</w:t>
      </w:r>
    </w:p>
    <w:p w14:paraId="52E9AF14" w14:textId="178CF99D" w:rsidR="00CA3050" w:rsidRPr="00CA3050" w:rsidRDefault="008C6FEE" w:rsidP="00CA3050">
      <w:pPr>
        <w:pStyle w:val="NormalHanging12a"/>
      </w:pPr>
      <w:r w:rsidRPr="00CA3050">
        <w:t>10.</w:t>
      </w:r>
      <w:r w:rsidRPr="00CA3050">
        <w:tab/>
        <w:t>paveda Pirmininkei perduoti šią rezoliuciją Tarybai, Komisijai, Komisijos Pirmininkės pavaduotojai ir vyriausiajai įgaliotinei, valstybių narių vyriausybėms ir parlamentams ir Tuniso valdžios institucijoms.</w:t>
      </w:r>
    </w:p>
    <w:p w14:paraId="7851DA0A" w14:textId="720D792B" w:rsidR="00E365E1" w:rsidRPr="00CA3050" w:rsidRDefault="00E365E1" w:rsidP="00EE6FD5"/>
    <w:sectPr w:rsidR="00E365E1" w:rsidRPr="00CA3050" w:rsidSect="00CA30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520F8" w14:textId="77777777" w:rsidR="00EE6FD5" w:rsidRPr="00CA3050" w:rsidRDefault="00EE6FD5">
      <w:r w:rsidRPr="00CA3050">
        <w:separator/>
      </w:r>
    </w:p>
  </w:endnote>
  <w:endnote w:type="continuationSeparator" w:id="0">
    <w:p w14:paraId="6BA5A5A6" w14:textId="77777777" w:rsidR="00EE6FD5" w:rsidRPr="00CA3050" w:rsidRDefault="00EE6FD5">
      <w:r w:rsidRPr="00CA30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C31E8" w14:textId="77777777" w:rsidR="00064002" w:rsidRPr="00CA30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32218" w14:textId="77777777" w:rsidR="00064002" w:rsidRPr="00CA30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0FF96" w14:textId="77777777" w:rsidR="00064002" w:rsidRPr="00CA30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E8899" w14:textId="77777777" w:rsidR="00EE6FD5" w:rsidRPr="00CA3050" w:rsidRDefault="00EE6FD5">
      <w:r w:rsidRPr="00CA3050">
        <w:separator/>
      </w:r>
    </w:p>
  </w:footnote>
  <w:footnote w:type="continuationSeparator" w:id="0">
    <w:p w14:paraId="7357561E" w14:textId="77777777" w:rsidR="00EE6FD5" w:rsidRPr="00CA3050" w:rsidRDefault="00EE6FD5">
      <w:r w:rsidRPr="00CA30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B449" w14:textId="77777777" w:rsidR="00064002" w:rsidRPr="00CA30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915F4" w14:textId="77777777" w:rsidR="00064002" w:rsidRPr="00CA30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61825" w14:textId="77777777" w:rsidR="00064002" w:rsidRPr="00CA30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967725">
    <w:abstractNumId w:val="9"/>
  </w:num>
  <w:num w:numId="2" w16cid:durableId="1491872633">
    <w:abstractNumId w:val="9"/>
  </w:num>
  <w:num w:numId="3" w16cid:durableId="1365860939">
    <w:abstractNumId w:val="7"/>
  </w:num>
  <w:num w:numId="4" w16cid:durableId="1953856498">
    <w:abstractNumId w:val="7"/>
  </w:num>
  <w:num w:numId="5" w16cid:durableId="1576864304">
    <w:abstractNumId w:val="6"/>
  </w:num>
  <w:num w:numId="6" w16cid:durableId="334109656">
    <w:abstractNumId w:val="6"/>
  </w:num>
  <w:num w:numId="7" w16cid:durableId="422604598">
    <w:abstractNumId w:val="5"/>
  </w:num>
  <w:num w:numId="8" w16cid:durableId="2018189586">
    <w:abstractNumId w:val="5"/>
  </w:num>
  <w:num w:numId="9" w16cid:durableId="758402749">
    <w:abstractNumId w:val="4"/>
  </w:num>
  <w:num w:numId="10" w16cid:durableId="1793816665">
    <w:abstractNumId w:val="4"/>
  </w:num>
  <w:num w:numId="11" w16cid:durableId="1356077969">
    <w:abstractNumId w:val="8"/>
  </w:num>
  <w:num w:numId="12" w16cid:durableId="1161702063">
    <w:abstractNumId w:val="8"/>
  </w:num>
  <w:num w:numId="13" w16cid:durableId="1920480026">
    <w:abstractNumId w:val="3"/>
  </w:num>
  <w:num w:numId="14" w16cid:durableId="1509829666">
    <w:abstractNumId w:val="3"/>
  </w:num>
  <w:num w:numId="15" w16cid:durableId="1827354425">
    <w:abstractNumId w:val="2"/>
  </w:num>
  <w:num w:numId="16" w16cid:durableId="931933276">
    <w:abstractNumId w:val="2"/>
  </w:num>
  <w:num w:numId="17" w16cid:durableId="150299033">
    <w:abstractNumId w:val="1"/>
  </w:num>
  <w:num w:numId="18" w16cid:durableId="238294282">
    <w:abstractNumId w:val="1"/>
  </w:num>
  <w:num w:numId="19" w16cid:durableId="367998999">
    <w:abstractNumId w:val="0"/>
  </w:num>
  <w:num w:numId="20" w16cid:durableId="404648208">
    <w:abstractNumId w:val="0"/>
  </w:num>
  <w:num w:numId="21" w16cid:durableId="322975614">
    <w:abstractNumId w:val="9"/>
  </w:num>
  <w:num w:numId="22" w16cid:durableId="308217515">
    <w:abstractNumId w:val="7"/>
  </w:num>
  <w:num w:numId="23" w16cid:durableId="1913662637">
    <w:abstractNumId w:val="6"/>
  </w:num>
  <w:num w:numId="24" w16cid:durableId="1510758596">
    <w:abstractNumId w:val="5"/>
  </w:num>
  <w:num w:numId="25" w16cid:durableId="1407529900">
    <w:abstractNumId w:val="4"/>
  </w:num>
  <w:num w:numId="26" w16cid:durableId="1991402213">
    <w:abstractNumId w:val="8"/>
  </w:num>
  <w:num w:numId="27" w16cid:durableId="1121148017">
    <w:abstractNumId w:val="3"/>
  </w:num>
  <w:num w:numId="28" w16cid:durableId="1949001942">
    <w:abstractNumId w:val="2"/>
  </w:num>
  <w:num w:numId="29" w16cid:durableId="1594818627">
    <w:abstractNumId w:val="1"/>
  </w:num>
  <w:num w:numId="30" w16cid:durableId="1095248313">
    <w:abstractNumId w:val="0"/>
  </w:num>
  <w:num w:numId="31" w16cid:durableId="264583962">
    <w:abstractNumId w:val="9"/>
  </w:num>
  <w:num w:numId="32" w16cid:durableId="1544170187">
    <w:abstractNumId w:val="7"/>
  </w:num>
  <w:num w:numId="33" w16cid:durableId="722363853">
    <w:abstractNumId w:val="6"/>
  </w:num>
  <w:num w:numId="34" w16cid:durableId="1169294202">
    <w:abstractNumId w:val="5"/>
  </w:num>
  <w:num w:numId="35" w16cid:durableId="1684279858">
    <w:abstractNumId w:val="4"/>
  </w:num>
  <w:num w:numId="36" w16cid:durableId="501702177">
    <w:abstractNumId w:val="8"/>
  </w:num>
  <w:num w:numId="37" w16cid:durableId="1499735186">
    <w:abstractNumId w:val="3"/>
  </w:num>
  <w:num w:numId="38" w16cid:durableId="1349598343">
    <w:abstractNumId w:val="2"/>
  </w:num>
  <w:num w:numId="39" w16cid:durableId="475147616">
    <w:abstractNumId w:val="1"/>
  </w:num>
  <w:num w:numId="40" w16cid:durableId="2055083634">
    <w:abstractNumId w:val="0"/>
  </w:num>
  <w:num w:numId="41" w16cid:durableId="227350263">
    <w:abstractNumId w:val="10"/>
  </w:num>
  <w:num w:numId="42" w16cid:durableId="1470825676">
    <w:abstractNumId w:val="10"/>
  </w:num>
  <w:num w:numId="43" w16cid:durableId="2089495242">
    <w:abstractNumId w:val="10"/>
  </w:num>
  <w:num w:numId="44" w16cid:durableId="4273887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8, 0520, 0525, 0532 ir 0538/2025"/>
    <w:docVar w:name="dvlangue" w:val="LT"/>
    <w:docVar w:name="dvnumam" w:val="0"/>
    <w:docVar w:name="dvpe" w:val="778.991"/>
    <w:docVar w:name="dvtitre" w:val="2025 m. lapkricio 27 d. Europos Parlamento rezoliucija dėl teisinės valstybės ir žmogaus teisių padėties Tunise, ypač Sonios Dahmani atvejo(2025/2988(RSP))"/>
  </w:docVars>
  <w:rsids>
    <w:rsidRoot w:val="00EE6FD5"/>
    <w:rsid w:val="00002272"/>
    <w:rsid w:val="00064002"/>
    <w:rsid w:val="000677B9"/>
    <w:rsid w:val="000831BA"/>
    <w:rsid w:val="000A3F70"/>
    <w:rsid w:val="000A42CC"/>
    <w:rsid w:val="000E7DD9"/>
    <w:rsid w:val="0010095E"/>
    <w:rsid w:val="00125B37"/>
    <w:rsid w:val="00187494"/>
    <w:rsid w:val="001F32AE"/>
    <w:rsid w:val="002767FF"/>
    <w:rsid w:val="00277510"/>
    <w:rsid w:val="002875E2"/>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6358"/>
    <w:rsid w:val="006631B6"/>
    <w:rsid w:val="00680577"/>
    <w:rsid w:val="006F74FA"/>
    <w:rsid w:val="00731ADD"/>
    <w:rsid w:val="00734777"/>
    <w:rsid w:val="00747932"/>
    <w:rsid w:val="00751A4A"/>
    <w:rsid w:val="00756632"/>
    <w:rsid w:val="00762C74"/>
    <w:rsid w:val="00786271"/>
    <w:rsid w:val="00786EC0"/>
    <w:rsid w:val="007D1690"/>
    <w:rsid w:val="007E22AD"/>
    <w:rsid w:val="00817416"/>
    <w:rsid w:val="00842779"/>
    <w:rsid w:val="00865F67"/>
    <w:rsid w:val="00881A7B"/>
    <w:rsid w:val="008840E5"/>
    <w:rsid w:val="00887B3E"/>
    <w:rsid w:val="008C2AC6"/>
    <w:rsid w:val="008C6FEE"/>
    <w:rsid w:val="0092659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752A"/>
    <w:rsid w:val="00B558F0"/>
    <w:rsid w:val="00BD48FE"/>
    <w:rsid w:val="00BD7BD8"/>
    <w:rsid w:val="00BE6ADC"/>
    <w:rsid w:val="00C05BFE"/>
    <w:rsid w:val="00C23CD4"/>
    <w:rsid w:val="00C61C0C"/>
    <w:rsid w:val="00C941CB"/>
    <w:rsid w:val="00CA305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FD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2190C3"/>
  <w15:chartTrackingRefBased/>
  <w15:docId w15:val="{933A9566-BEA8-463C-B86F-0EB297EB7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C6FEE"/>
    <w:pPr>
      <w:spacing w:after="240"/>
      <w:ind w:left="567" w:hanging="567"/>
    </w:pPr>
  </w:style>
  <w:style w:type="paragraph" w:customStyle="1" w:styleId="EPComma">
    <w:name w:val="EPComma"/>
    <w:basedOn w:val="Normal"/>
    <w:rsid w:val="008C6FEE"/>
    <w:pPr>
      <w:spacing w:before="480" w:after="240"/>
    </w:pPr>
  </w:style>
  <w:style w:type="character" w:customStyle="1" w:styleId="NormalHanging12aChar">
    <w:name w:val="NormalHanging12a Char"/>
    <w:basedOn w:val="DefaultParagraphFont"/>
    <w:link w:val="NormalHanging12a"/>
    <w:locked/>
    <w:rsid w:val="008C6FEE"/>
    <w:rPr>
      <w:sz w:val="24"/>
      <w:lang w:val="lt-LT"/>
    </w:rPr>
  </w:style>
  <w:style w:type="paragraph" w:styleId="Revision">
    <w:name w:val="Revision"/>
    <w:hidden/>
    <w:uiPriority w:val="99"/>
    <w:semiHidden/>
    <w:rsid w:val="00B4752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2025-11-27T12:23:00Z</dcterms:created>
  <dcterms:modified xsi:type="dcterms:W3CDTF">2025-11-27T12:23:00Z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B10-0518, 0520, 0525, 0532 ir 0538/2025</vt:lpwstr>
  </property>
  <property fmtid="{D5CDD505-2E9C-101B-9397-08002B2CF9AE}" pid="4" name="&lt;Type&gt;">
    <vt:lpwstr>RR</vt:lpwstr>
  </property>
</Properties>
</file>