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53D1" w14:paraId="69515BE7" w14:textId="77777777" w:rsidTr="0010095E">
        <w:trPr>
          <w:trHeight w:hRule="exact" w:val="1418"/>
        </w:trPr>
        <w:tc>
          <w:tcPr>
            <w:tcW w:w="6804" w:type="dxa"/>
            <w:shd w:val="clear" w:color="auto" w:fill="auto"/>
            <w:vAlign w:val="center"/>
          </w:tcPr>
          <w:p w14:paraId="5AE5ACFC" w14:textId="77777777" w:rsidR="00751A4A" w:rsidRPr="002953D1" w:rsidRDefault="00747162" w:rsidP="0010095E">
            <w:pPr>
              <w:pStyle w:val="EPName"/>
            </w:pPr>
            <w:r w:rsidRPr="002953D1">
              <w:t>Eiropas Parlaments</w:t>
            </w:r>
          </w:p>
          <w:p w14:paraId="382A1C9C" w14:textId="77777777" w:rsidR="00751A4A" w:rsidRPr="002953D1" w:rsidRDefault="005F1B17" w:rsidP="005F1B17">
            <w:pPr>
              <w:pStyle w:val="EPTerm"/>
              <w:rPr>
                <w:rStyle w:val="HideTWBExt"/>
                <w:noProof w:val="0"/>
                <w:vanish w:val="0"/>
                <w:color w:val="auto"/>
              </w:rPr>
            </w:pPr>
            <w:r w:rsidRPr="002953D1">
              <w:t>2024</w:t>
            </w:r>
            <w:r w:rsidR="00817416" w:rsidRPr="002953D1">
              <w:t>-202</w:t>
            </w:r>
            <w:r w:rsidRPr="002953D1">
              <w:t>9</w:t>
            </w:r>
          </w:p>
        </w:tc>
        <w:tc>
          <w:tcPr>
            <w:tcW w:w="2268" w:type="dxa"/>
            <w:shd w:val="clear" w:color="auto" w:fill="auto"/>
          </w:tcPr>
          <w:p w14:paraId="42985713" w14:textId="77777777" w:rsidR="00751A4A" w:rsidRPr="002953D1" w:rsidRDefault="00187494" w:rsidP="0010095E">
            <w:pPr>
              <w:pStyle w:val="EPLogo"/>
            </w:pPr>
            <w:r w:rsidRPr="002953D1">
              <w:rPr>
                <w:noProof/>
                <w:lang w:eastAsia="ja-JP"/>
              </w:rPr>
              <w:drawing>
                <wp:inline distT="0" distB="0" distL="0" distR="0" wp14:anchorId="5F43697D" wp14:editId="3832C8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3F8B40" w14:textId="77777777" w:rsidR="00D058B8" w:rsidRPr="002953D1" w:rsidRDefault="00D058B8" w:rsidP="004C5D52">
      <w:pPr>
        <w:pStyle w:val="LineTop"/>
      </w:pPr>
    </w:p>
    <w:p w14:paraId="2DCE0A64" w14:textId="77777777" w:rsidR="00680577" w:rsidRPr="002953D1" w:rsidRDefault="00747162" w:rsidP="00680577">
      <w:pPr>
        <w:pStyle w:val="EPBodyTA1"/>
      </w:pPr>
      <w:r w:rsidRPr="002953D1">
        <w:t>PIEŅEMTIE TEKSTI</w:t>
      </w:r>
    </w:p>
    <w:p w14:paraId="547166C8" w14:textId="77777777" w:rsidR="00D058B8" w:rsidRPr="002953D1" w:rsidRDefault="00D058B8" w:rsidP="00D058B8">
      <w:pPr>
        <w:pStyle w:val="LineBottom"/>
      </w:pPr>
    </w:p>
    <w:p w14:paraId="1D80F94D" w14:textId="0D3F843A" w:rsidR="00747162" w:rsidRPr="002953D1" w:rsidRDefault="00747162" w:rsidP="00747162">
      <w:pPr>
        <w:pStyle w:val="ATHeading1"/>
      </w:pPr>
      <w:bookmarkStart w:id="0" w:name="TANumber"/>
      <w:r w:rsidRPr="002953D1">
        <w:t>P10_TA(2025)0</w:t>
      </w:r>
      <w:bookmarkEnd w:id="0"/>
      <w:r w:rsidR="002953D1" w:rsidRPr="002953D1">
        <w:t>304</w:t>
      </w:r>
    </w:p>
    <w:p w14:paraId="77E8AF00" w14:textId="6836DC1F" w:rsidR="00747162" w:rsidRPr="002953D1" w:rsidRDefault="007E41AE" w:rsidP="00747162">
      <w:pPr>
        <w:pStyle w:val="ATHeading2"/>
      </w:pPr>
      <w:bookmarkStart w:id="1" w:name="title"/>
      <w:r w:rsidRPr="002953D1">
        <w:rPr>
          <w:bCs/>
        </w:rPr>
        <w:t xml:space="preserve">Tiesiskuma un cilvēktiesību stāvoklis Tunisijā, jo īpaši </w:t>
      </w:r>
      <w:r w:rsidRPr="002953D1">
        <w:rPr>
          <w:bCs/>
          <w:i/>
          <w:iCs/>
        </w:rPr>
        <w:t xml:space="preserve">Sonia </w:t>
      </w:r>
      <w:proofErr w:type="spellStart"/>
      <w:r w:rsidRPr="002953D1">
        <w:rPr>
          <w:bCs/>
          <w:i/>
          <w:iCs/>
        </w:rPr>
        <w:t>Dahmani</w:t>
      </w:r>
      <w:proofErr w:type="spellEnd"/>
      <w:r w:rsidRPr="002953D1">
        <w:rPr>
          <w:bCs/>
        </w:rPr>
        <w:t xml:space="preserve"> lieta</w:t>
      </w:r>
      <w:bookmarkEnd w:id="1"/>
    </w:p>
    <w:p w14:paraId="348E7D66" w14:textId="1341569E" w:rsidR="00747162" w:rsidRPr="002953D1" w:rsidRDefault="00747162" w:rsidP="00747162">
      <w:pPr>
        <w:rPr>
          <w:i/>
          <w:vanish/>
        </w:rPr>
      </w:pPr>
      <w:r w:rsidRPr="002953D1">
        <w:rPr>
          <w:i/>
        </w:rPr>
        <w:fldChar w:fldCharType="begin"/>
      </w:r>
      <w:r w:rsidRPr="002953D1">
        <w:rPr>
          <w:i/>
        </w:rPr>
        <w:instrText xml:space="preserve"> TC"(</w:instrText>
      </w:r>
      <w:bookmarkStart w:id="2" w:name="DocNumber"/>
      <w:r w:rsidR="007E41AE" w:rsidRPr="002953D1">
        <w:rPr>
          <w:i/>
        </w:rPr>
        <w:instrText>B10-0518, 0520, 0525, 0532 un 0538/2025</w:instrText>
      </w:r>
      <w:bookmarkEnd w:id="2"/>
      <w:r w:rsidRPr="002953D1">
        <w:rPr>
          <w:i/>
        </w:rPr>
        <w:instrText xml:space="preserve">)"\l3 \n&gt; \* MERGEFORMAT </w:instrText>
      </w:r>
      <w:r w:rsidRPr="002953D1">
        <w:rPr>
          <w:i/>
        </w:rPr>
        <w:fldChar w:fldCharType="end"/>
      </w:r>
    </w:p>
    <w:p w14:paraId="596D8932" w14:textId="77777777" w:rsidR="00747162" w:rsidRPr="002953D1" w:rsidRDefault="00747162" w:rsidP="00747162">
      <w:pPr>
        <w:rPr>
          <w:vanish/>
        </w:rPr>
      </w:pPr>
      <w:bookmarkStart w:id="3" w:name="PE"/>
      <w:r w:rsidRPr="002953D1">
        <w:rPr>
          <w:vanish/>
        </w:rPr>
        <w:t>PE778.991</w:t>
      </w:r>
      <w:bookmarkEnd w:id="3"/>
    </w:p>
    <w:p w14:paraId="5A352685" w14:textId="55FC6496" w:rsidR="00747162" w:rsidRPr="002953D1" w:rsidRDefault="00747162" w:rsidP="00747162">
      <w:pPr>
        <w:pStyle w:val="ATHeading3"/>
      </w:pPr>
      <w:bookmarkStart w:id="4" w:name="Sujet"/>
      <w:r w:rsidRPr="002953D1">
        <w:t xml:space="preserve">Eiropas Parlamenta 2025. gada </w:t>
      </w:r>
      <w:r w:rsidR="007E41AE" w:rsidRPr="002953D1">
        <w:t>27. novembra</w:t>
      </w:r>
      <w:r w:rsidRPr="002953D1">
        <w:t xml:space="preserve"> rezolūcija par tiesiskuma un cilvēktiesību stāvokli Tunisijā, jo īpaši </w:t>
      </w:r>
      <w:r w:rsidRPr="002953D1">
        <w:rPr>
          <w:i/>
          <w:iCs/>
        </w:rPr>
        <w:t xml:space="preserve">Sonia </w:t>
      </w:r>
      <w:proofErr w:type="spellStart"/>
      <w:r w:rsidRPr="002953D1">
        <w:rPr>
          <w:i/>
          <w:iCs/>
        </w:rPr>
        <w:t>Dahmani</w:t>
      </w:r>
      <w:proofErr w:type="spellEnd"/>
      <w:r w:rsidRPr="002953D1">
        <w:t xml:space="preserve"> lietu</w:t>
      </w:r>
      <w:bookmarkEnd w:id="4"/>
      <w:r w:rsidRPr="002953D1">
        <w:t xml:space="preserve"> </w:t>
      </w:r>
      <w:bookmarkStart w:id="5" w:name="References"/>
      <w:r w:rsidRPr="002953D1">
        <w:t>(2025/2988(RSP))</w:t>
      </w:r>
      <w:bookmarkEnd w:id="5"/>
    </w:p>
    <w:p w14:paraId="0BA56066" w14:textId="77777777" w:rsidR="005E3C34" w:rsidRPr="002953D1" w:rsidRDefault="005E3C34" w:rsidP="005E3C34">
      <w:pPr>
        <w:pStyle w:val="EPComma"/>
        <w:rPr>
          <w:i/>
          <w:iCs/>
        </w:rPr>
      </w:pPr>
      <w:bookmarkStart w:id="6" w:name="TextBodyBegin"/>
      <w:bookmarkEnd w:id="6"/>
      <w:r w:rsidRPr="002953D1">
        <w:rPr>
          <w:i/>
          <w:iCs/>
        </w:rPr>
        <w:t>Eiropas Parlaments,</w:t>
      </w:r>
    </w:p>
    <w:p w14:paraId="626FE957" w14:textId="77777777" w:rsidR="005E3C34" w:rsidRPr="002953D1" w:rsidRDefault="005E3C34" w:rsidP="005E3C34">
      <w:pPr>
        <w:pStyle w:val="NormalHanging12a"/>
        <w:rPr>
          <w:rFonts w:eastAsiaTheme="minorEastAsia"/>
        </w:rPr>
      </w:pPr>
      <w:r w:rsidRPr="002953D1">
        <w:t>–</w:t>
      </w:r>
      <w:r w:rsidRPr="002953D1">
        <w:tab/>
        <w:t>ņemot vērā iepriekšējās rezolūcijas par Tunisiju,</w:t>
      </w:r>
    </w:p>
    <w:p w14:paraId="7A57A8F6" w14:textId="77777777" w:rsidR="005E3C34" w:rsidRPr="002953D1" w:rsidRDefault="005E3C34" w:rsidP="005E3C34">
      <w:pPr>
        <w:pStyle w:val="NormalHanging12a"/>
        <w:rPr>
          <w:rFonts w:eastAsiaTheme="minorEastAsia"/>
        </w:rPr>
      </w:pPr>
      <w:r w:rsidRPr="002953D1">
        <w:t>–</w:t>
      </w:r>
      <w:r w:rsidRPr="002953D1">
        <w:tab/>
        <w:t>ņemot vērā ES un Tunisijas Asociācijas nolīgumu,</w:t>
      </w:r>
    </w:p>
    <w:p w14:paraId="0FF9D6F6" w14:textId="77777777" w:rsidR="005E3C34" w:rsidRPr="002953D1" w:rsidRDefault="005E3C34" w:rsidP="005E3C34">
      <w:pPr>
        <w:pStyle w:val="NormalHanging12a"/>
        <w:rPr>
          <w:rFonts w:eastAsiaTheme="minorEastAsia"/>
        </w:rPr>
      </w:pPr>
      <w:r w:rsidRPr="002953D1">
        <w:t>–</w:t>
      </w:r>
      <w:r w:rsidRPr="002953D1">
        <w:tab/>
        <w:t>ņemot vērā ES un Tunisijas saprašanās memorandu,</w:t>
      </w:r>
    </w:p>
    <w:p w14:paraId="7EB85CED" w14:textId="77777777" w:rsidR="005E3C34" w:rsidRPr="002953D1" w:rsidRDefault="005E3C34" w:rsidP="005E3C34">
      <w:pPr>
        <w:pStyle w:val="NormalHanging12a"/>
      </w:pPr>
      <w:r w:rsidRPr="002953D1">
        <w:t>–</w:t>
      </w:r>
      <w:r w:rsidRPr="002953D1">
        <w:tab/>
        <w:t>ņemot vērā Reglamenta 150. panta 5. punktu un 136. panta 4. punktu,</w:t>
      </w:r>
    </w:p>
    <w:p w14:paraId="01D1EDD5" w14:textId="77777777" w:rsidR="005E3C34" w:rsidRPr="002953D1" w:rsidRDefault="005E3C34" w:rsidP="005E3C34">
      <w:pPr>
        <w:pStyle w:val="NormalHanging12a"/>
      </w:pPr>
      <w:r w:rsidRPr="002953D1">
        <w:t>A.</w:t>
      </w:r>
      <w:r w:rsidRPr="002953D1">
        <w:tab/>
        <w:t xml:space="preserve">tā kā juriste un žurnāliste </w:t>
      </w:r>
      <w:r w:rsidRPr="002953D1">
        <w:rPr>
          <w:i/>
          <w:iCs/>
        </w:rPr>
        <w:t xml:space="preserve">Sonia </w:t>
      </w:r>
      <w:proofErr w:type="spellStart"/>
      <w:r w:rsidRPr="002953D1">
        <w:rPr>
          <w:i/>
          <w:iCs/>
        </w:rPr>
        <w:t>Dahmani</w:t>
      </w:r>
      <w:proofErr w:type="spellEnd"/>
      <w:r w:rsidRPr="002953D1">
        <w:t xml:space="preserve"> 2024. gada maijā tika arestēta Tunisijas Advokātu asociācijas birojā pēc tam, kad viņa bija redzēta TV kanālā </w:t>
      </w:r>
      <w:proofErr w:type="spellStart"/>
      <w:r w:rsidRPr="002953D1">
        <w:t>Carthage</w:t>
      </w:r>
      <w:proofErr w:type="spellEnd"/>
      <w:r w:rsidRPr="002953D1">
        <w:t>+; tā kā kopš apcietināšanas pret viņu ir ierosinātas piecas atsevišķas tiesvedības un viņa ir notiesāta trīs reizes; tā kā ir plānotas turpmākas tiesas prāvas un viņas kopējais sods varētu sasniegt 24 gadus;</w:t>
      </w:r>
    </w:p>
    <w:p w14:paraId="6D9DB00F" w14:textId="77777777" w:rsidR="005E3C34" w:rsidRPr="002953D1" w:rsidRDefault="005E3C34" w:rsidP="005E3C34">
      <w:pPr>
        <w:pStyle w:val="NormalHanging12a"/>
      </w:pPr>
      <w:r w:rsidRPr="002953D1">
        <w:t>B.</w:t>
      </w:r>
      <w:r w:rsidRPr="002953D1">
        <w:tab/>
        <w:t xml:space="preserve">tā kā </w:t>
      </w:r>
      <w:r w:rsidRPr="002953D1">
        <w:rPr>
          <w:i/>
          <w:iCs/>
        </w:rPr>
        <w:t xml:space="preserve">Sonia </w:t>
      </w:r>
      <w:proofErr w:type="spellStart"/>
      <w:r w:rsidRPr="002953D1">
        <w:rPr>
          <w:i/>
          <w:iCs/>
        </w:rPr>
        <w:t>Dahmani</w:t>
      </w:r>
      <w:proofErr w:type="spellEnd"/>
      <w:r w:rsidRPr="002953D1">
        <w:t xml:space="preserve"> ir pakļauta necilvēcīgiem un pazemojošiem ieslodzījuma apstākļiem, liedzot viņai piekļuvi medicīniskai aprūpei;</w:t>
      </w:r>
    </w:p>
    <w:p w14:paraId="55782BAF" w14:textId="77777777" w:rsidR="005E3C34" w:rsidRPr="002953D1" w:rsidRDefault="005E3C34" w:rsidP="005E3C34">
      <w:pPr>
        <w:pStyle w:val="NormalHanging12a"/>
      </w:pPr>
      <w:r w:rsidRPr="002953D1">
        <w:t>C.</w:t>
      </w:r>
      <w:r w:rsidRPr="002953D1">
        <w:tab/>
        <w:t xml:space="preserve">tā kā viņas māsa </w:t>
      </w:r>
      <w:proofErr w:type="spellStart"/>
      <w:r w:rsidRPr="002953D1">
        <w:rPr>
          <w:i/>
          <w:iCs/>
        </w:rPr>
        <w:t>Ramla</w:t>
      </w:r>
      <w:proofErr w:type="spellEnd"/>
      <w:r w:rsidRPr="002953D1">
        <w:rPr>
          <w:i/>
          <w:iCs/>
        </w:rPr>
        <w:t xml:space="preserve"> </w:t>
      </w:r>
      <w:proofErr w:type="spellStart"/>
      <w:r w:rsidRPr="002953D1">
        <w:rPr>
          <w:i/>
          <w:iCs/>
        </w:rPr>
        <w:t>Dahmani</w:t>
      </w:r>
      <w:proofErr w:type="spellEnd"/>
      <w:r w:rsidRPr="002953D1">
        <w:t xml:space="preserve"> 2025. gada jūlijā tika aizmuguriski notiesāta par nepatiesu ziņu izplatīšanu;</w:t>
      </w:r>
    </w:p>
    <w:p w14:paraId="7E30A945" w14:textId="77777777" w:rsidR="005E3C34" w:rsidRPr="002953D1" w:rsidRDefault="005E3C34" w:rsidP="005E3C34">
      <w:pPr>
        <w:pStyle w:val="NormalHanging12a"/>
      </w:pPr>
      <w:r w:rsidRPr="002953D1">
        <w:t>1.</w:t>
      </w:r>
      <w:r w:rsidRPr="002953D1">
        <w:tab/>
        <w:t xml:space="preserve">nosoda juristes un mediju komentētājas </w:t>
      </w:r>
      <w:r w:rsidRPr="002953D1">
        <w:rPr>
          <w:i/>
          <w:iCs/>
        </w:rPr>
        <w:t xml:space="preserve">Sonia </w:t>
      </w:r>
      <w:proofErr w:type="spellStart"/>
      <w:r w:rsidRPr="002953D1">
        <w:rPr>
          <w:i/>
          <w:iCs/>
        </w:rPr>
        <w:t>Dahmani</w:t>
      </w:r>
      <w:proofErr w:type="spellEnd"/>
      <w:r w:rsidRPr="002953D1">
        <w:t xml:space="preserve"> patvaļīgo aizturēšanu, tiesu iestāžu īstenoto vajāšanu un notiesāšanu;</w:t>
      </w:r>
    </w:p>
    <w:p w14:paraId="2BDAADF5" w14:textId="77777777" w:rsidR="005E3C34" w:rsidRPr="002953D1" w:rsidRDefault="005E3C34" w:rsidP="005E3C34">
      <w:pPr>
        <w:pStyle w:val="NormalHanging12a"/>
      </w:pPr>
      <w:r w:rsidRPr="002953D1">
        <w:t>2.</w:t>
      </w:r>
      <w:r w:rsidRPr="002953D1">
        <w:tab/>
        <w:t xml:space="preserve">prasa nekavējoties un bez nosacījumiem atbrīvot </w:t>
      </w:r>
      <w:r w:rsidRPr="002953D1">
        <w:rPr>
          <w:i/>
          <w:iCs/>
        </w:rPr>
        <w:t xml:space="preserve">Sonia </w:t>
      </w:r>
      <w:proofErr w:type="spellStart"/>
      <w:r w:rsidRPr="002953D1">
        <w:rPr>
          <w:i/>
          <w:iCs/>
        </w:rPr>
        <w:t>Dahmani</w:t>
      </w:r>
      <w:proofErr w:type="spellEnd"/>
      <w:r w:rsidRPr="002953D1">
        <w:t xml:space="preserve"> un visus tos, kas aizturēti par vārda brīvības tiesību izmantošanu, tostarp politieslodzītos un cilvēktiesību aizstāvjus; mudina Tunisijas iestādes atsaukt visas apsūdzības pret </w:t>
      </w:r>
      <w:r w:rsidRPr="002953D1">
        <w:rPr>
          <w:i/>
          <w:iCs/>
        </w:rPr>
        <w:t xml:space="preserve">Sonia </w:t>
      </w:r>
      <w:proofErr w:type="spellStart"/>
      <w:r w:rsidRPr="002953D1">
        <w:rPr>
          <w:i/>
          <w:iCs/>
        </w:rPr>
        <w:t>Dahmani</w:t>
      </w:r>
      <w:proofErr w:type="spellEnd"/>
      <w:r w:rsidRPr="002953D1">
        <w:t xml:space="preserve"> un viņas māsu un atturēties no viņu ģimenes vajāšanas;</w:t>
      </w:r>
    </w:p>
    <w:p w14:paraId="7F506D70" w14:textId="77777777" w:rsidR="005E3C34" w:rsidRPr="002953D1" w:rsidRDefault="005E3C34" w:rsidP="005E3C34">
      <w:pPr>
        <w:pStyle w:val="NormalHanging12a"/>
      </w:pPr>
      <w:r w:rsidRPr="002953D1">
        <w:t>3.</w:t>
      </w:r>
      <w:r w:rsidRPr="002953D1">
        <w:tab/>
      </w:r>
      <w:bookmarkStart w:id="7" w:name="_Hlk214916283"/>
      <w:r w:rsidRPr="002953D1">
        <w:t xml:space="preserve">nosoda apstākļus, kādos </w:t>
      </w:r>
      <w:r w:rsidRPr="002953D1">
        <w:rPr>
          <w:i/>
          <w:iCs/>
        </w:rPr>
        <w:t xml:space="preserve">Sonia </w:t>
      </w:r>
      <w:proofErr w:type="spellStart"/>
      <w:r w:rsidRPr="002953D1">
        <w:rPr>
          <w:i/>
          <w:iCs/>
        </w:rPr>
        <w:t>Dahmani</w:t>
      </w:r>
      <w:proofErr w:type="spellEnd"/>
      <w:r w:rsidRPr="002953D1">
        <w:t xml:space="preserve"> tiek turēta, tostarp nepietiekamu medicīnisko aprūpi, ierobežotās iespējas sazināties ar viņas ģimeni un advokātu, tostarp novēlotās uzklausīšanas, kā arī vairākās tiesas prāvas, kuru mērķis ir paildzināt viņas aizturēšanu</w:t>
      </w:r>
      <w:bookmarkEnd w:id="7"/>
      <w:r w:rsidRPr="002953D1">
        <w:t>;</w:t>
      </w:r>
    </w:p>
    <w:p w14:paraId="4B834EEF" w14:textId="77777777" w:rsidR="005E3C34" w:rsidRPr="002953D1" w:rsidRDefault="005E3C34" w:rsidP="005E3C34">
      <w:pPr>
        <w:pStyle w:val="NormalHanging12a"/>
      </w:pPr>
      <w:r w:rsidRPr="002953D1">
        <w:lastRenderedPageBreak/>
        <w:t>4.</w:t>
      </w:r>
      <w:r w:rsidRPr="002953D1">
        <w:tab/>
        <w:t>uzstāj, ka Tunisijas iestādēm ir jāaizsargā pulcēšanās un vārda brīvība, jāgarantē tiesu neatkarība, jānovērš izpildvaras iejaukšanās tiesu iestāžu darbā un jāievēro Tunisijas konstitūcijā garantētās tiesības un brīvības; nosoda strauji pieaugošo patvaļīgas aizturēšanas, politiski motivētas vajāšanas un brīvību ierobežošanas gadījumu skaitu;</w:t>
      </w:r>
    </w:p>
    <w:p w14:paraId="0777FA5F" w14:textId="77777777" w:rsidR="005E3C34" w:rsidRPr="002953D1" w:rsidRDefault="005E3C34" w:rsidP="005E3C34">
      <w:pPr>
        <w:pStyle w:val="NormalHanging12a"/>
      </w:pPr>
      <w:r w:rsidRPr="002953D1">
        <w:t>5.</w:t>
      </w:r>
      <w:r w:rsidRPr="002953D1">
        <w:tab/>
        <w:t xml:space="preserve">aicina pilnībā atcelt </w:t>
      </w:r>
      <w:proofErr w:type="spellStart"/>
      <w:r w:rsidRPr="002953D1">
        <w:t>Dekrētlikumu</w:t>
      </w:r>
      <w:proofErr w:type="spellEnd"/>
      <w:r w:rsidRPr="002953D1">
        <w:t xml:space="preserve"> Nr. 54, kā rezultātā ir sākta kriminālvajāšana par viedokļa paušanu, un visus ļaunprātīgos tiesību aktus, ko izmanto brīvību ierobežošanai;</w:t>
      </w:r>
    </w:p>
    <w:p w14:paraId="20CCD64C" w14:textId="77777777" w:rsidR="005E3C34" w:rsidRPr="002953D1" w:rsidRDefault="005E3C34" w:rsidP="005E3C34">
      <w:pPr>
        <w:pStyle w:val="NormalHanging12a"/>
      </w:pPr>
      <w:r w:rsidRPr="002953D1">
        <w:t>6.</w:t>
      </w:r>
      <w:r w:rsidRPr="002953D1">
        <w:tab/>
        <w:t>aicina ES iestādes paust dziļas bažas par cilvēktiesību stāvokļa pasliktināšanos Tunisijā un īstenot koordinētas diplomātiskas darbības, kuru mērķis ir atvieglot politieslodzīto atbrīvošanu;</w:t>
      </w:r>
    </w:p>
    <w:p w14:paraId="6D45D588" w14:textId="77777777" w:rsidR="005E3C34" w:rsidRPr="002953D1" w:rsidRDefault="005E3C34" w:rsidP="005E3C34">
      <w:pPr>
        <w:pStyle w:val="NormalHanging12a"/>
      </w:pPr>
      <w:r w:rsidRPr="002953D1">
        <w:t>7.</w:t>
      </w:r>
      <w:r w:rsidRPr="002953D1">
        <w:tab/>
        <w:t>aicina Tunisijas iestādes ievērot savas saistības saskaņā ar starptautiskajām cilvēktiesībām un ES un Tunisijas asociācijas nolīgumu; ņem vērā to, ka nesen tika atlikta ES un Tunisijas Asociācijas padomes sanāksme, un aicina Komisiju izvirzīt pašreizējo cilvēktiesību stāvokli kā centrālo jautājumu visos politiskajos dialogos, sarunās par finansiālo palīdzību vai sadarbību drošības jomā, un nolīgumos ar Tunisiju;</w:t>
      </w:r>
    </w:p>
    <w:p w14:paraId="2B1DBDE4" w14:textId="77777777" w:rsidR="005E3C34" w:rsidRPr="002953D1" w:rsidRDefault="005E3C34" w:rsidP="005E3C34">
      <w:pPr>
        <w:pStyle w:val="NormalHanging12a"/>
      </w:pPr>
      <w:r w:rsidRPr="002953D1">
        <w:t>8.</w:t>
      </w:r>
      <w:r w:rsidRPr="002953D1">
        <w:tab/>
        <w:t>pauž nelokāmu solidaritāti ar Tunisijas pilsonisko sabiedrību, cilvēktiesību aizstāvjiem, neatkarīgajiem medijiem un žurnālistiem, kā arī juristu asociācijām; aicina Komisiju reaģēt uz Tunisijas valdības lēmumu bloķēt pilsoniskās sabiedrības organizāciju bankas kontus; uzsver juristu izšķirošo lomu tiesiskuma un tiesu sistēmas integritātes aizsardzībā;</w:t>
      </w:r>
    </w:p>
    <w:p w14:paraId="2F0A947E" w14:textId="77777777" w:rsidR="005E3C34" w:rsidRPr="002953D1" w:rsidRDefault="005E3C34" w:rsidP="005E3C34">
      <w:pPr>
        <w:pStyle w:val="NormalHanging12a"/>
      </w:pPr>
      <w:r w:rsidRPr="002953D1">
        <w:t>9.</w:t>
      </w:r>
      <w:r w:rsidRPr="002953D1">
        <w:tab/>
        <w:t>mudina Tunisiju risināt daudzās problēmas visā reģionā, iestājoties par cilvēktiesību un demokrātijas aizstāvēšanu;</w:t>
      </w:r>
    </w:p>
    <w:p w14:paraId="2E8E5E5F" w14:textId="3DB7F5F3" w:rsidR="00E365E1" w:rsidRPr="002953D1" w:rsidRDefault="005E3C34" w:rsidP="002953D1">
      <w:pPr>
        <w:ind w:left="567" w:hanging="567"/>
      </w:pPr>
      <w:r w:rsidRPr="002953D1">
        <w:t>10.</w:t>
      </w:r>
      <w:r w:rsidRPr="002953D1">
        <w:tab/>
        <w:t>uzdod priekšsēdētājai nosūtīt šo rezolūciju Padomei, Komisijai, PV/AP, dalībvalstu valdībām un parlamentiem un Tunisijas iestādēm.</w:t>
      </w:r>
    </w:p>
    <w:sectPr w:rsidR="00E365E1" w:rsidRPr="002953D1" w:rsidSect="008D0A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4D675" w14:textId="77777777" w:rsidR="00747162" w:rsidRPr="008D0A29" w:rsidRDefault="00747162">
      <w:r w:rsidRPr="008D0A29">
        <w:separator/>
      </w:r>
    </w:p>
  </w:endnote>
  <w:endnote w:type="continuationSeparator" w:id="0">
    <w:p w14:paraId="09BE0B75" w14:textId="77777777" w:rsidR="00747162" w:rsidRPr="008D0A29" w:rsidRDefault="00747162">
      <w:r w:rsidRPr="008D0A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0368" w14:textId="77777777" w:rsidR="00064002" w:rsidRPr="008D0A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E0AD8" w14:textId="77777777" w:rsidR="00064002" w:rsidRPr="008D0A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2325" w14:textId="77777777" w:rsidR="00064002" w:rsidRPr="008D0A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647EA" w14:textId="77777777" w:rsidR="00747162" w:rsidRPr="008D0A29" w:rsidRDefault="00747162">
      <w:r w:rsidRPr="008D0A29">
        <w:separator/>
      </w:r>
    </w:p>
  </w:footnote>
  <w:footnote w:type="continuationSeparator" w:id="0">
    <w:p w14:paraId="58915288" w14:textId="77777777" w:rsidR="00747162" w:rsidRPr="008D0A29" w:rsidRDefault="00747162">
      <w:r w:rsidRPr="008D0A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E248" w14:textId="77777777" w:rsidR="00064002" w:rsidRPr="008D0A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E0845" w14:textId="77777777" w:rsidR="00064002" w:rsidRPr="008D0A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96002" w14:textId="77777777" w:rsidR="00064002" w:rsidRPr="008D0A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373797">
    <w:abstractNumId w:val="9"/>
  </w:num>
  <w:num w:numId="2" w16cid:durableId="1120994134">
    <w:abstractNumId w:val="9"/>
  </w:num>
  <w:num w:numId="3" w16cid:durableId="1608848408">
    <w:abstractNumId w:val="7"/>
  </w:num>
  <w:num w:numId="4" w16cid:durableId="1981765662">
    <w:abstractNumId w:val="7"/>
  </w:num>
  <w:num w:numId="5" w16cid:durableId="1145199742">
    <w:abstractNumId w:val="6"/>
  </w:num>
  <w:num w:numId="6" w16cid:durableId="1385593526">
    <w:abstractNumId w:val="6"/>
  </w:num>
  <w:num w:numId="7" w16cid:durableId="1794864269">
    <w:abstractNumId w:val="5"/>
  </w:num>
  <w:num w:numId="8" w16cid:durableId="32925410">
    <w:abstractNumId w:val="5"/>
  </w:num>
  <w:num w:numId="9" w16cid:durableId="757990185">
    <w:abstractNumId w:val="4"/>
  </w:num>
  <w:num w:numId="10" w16cid:durableId="830104563">
    <w:abstractNumId w:val="4"/>
  </w:num>
  <w:num w:numId="11" w16cid:durableId="1712654604">
    <w:abstractNumId w:val="8"/>
  </w:num>
  <w:num w:numId="12" w16cid:durableId="1980379494">
    <w:abstractNumId w:val="8"/>
  </w:num>
  <w:num w:numId="13" w16cid:durableId="1377240811">
    <w:abstractNumId w:val="3"/>
  </w:num>
  <w:num w:numId="14" w16cid:durableId="1582057295">
    <w:abstractNumId w:val="3"/>
  </w:num>
  <w:num w:numId="15" w16cid:durableId="619339097">
    <w:abstractNumId w:val="2"/>
  </w:num>
  <w:num w:numId="16" w16cid:durableId="154348245">
    <w:abstractNumId w:val="2"/>
  </w:num>
  <w:num w:numId="17" w16cid:durableId="1438522834">
    <w:abstractNumId w:val="1"/>
  </w:num>
  <w:num w:numId="18" w16cid:durableId="1684162839">
    <w:abstractNumId w:val="1"/>
  </w:num>
  <w:num w:numId="19" w16cid:durableId="1809853521">
    <w:abstractNumId w:val="0"/>
  </w:num>
  <w:num w:numId="20" w16cid:durableId="181940990">
    <w:abstractNumId w:val="0"/>
  </w:num>
  <w:num w:numId="21" w16cid:durableId="1775783809">
    <w:abstractNumId w:val="9"/>
  </w:num>
  <w:num w:numId="22" w16cid:durableId="571038908">
    <w:abstractNumId w:val="7"/>
  </w:num>
  <w:num w:numId="23" w16cid:durableId="852836475">
    <w:abstractNumId w:val="6"/>
  </w:num>
  <w:num w:numId="24" w16cid:durableId="1385719258">
    <w:abstractNumId w:val="5"/>
  </w:num>
  <w:num w:numId="25" w16cid:durableId="1253126087">
    <w:abstractNumId w:val="4"/>
  </w:num>
  <w:num w:numId="26" w16cid:durableId="687095980">
    <w:abstractNumId w:val="8"/>
  </w:num>
  <w:num w:numId="27" w16cid:durableId="674647581">
    <w:abstractNumId w:val="3"/>
  </w:num>
  <w:num w:numId="28" w16cid:durableId="1907573471">
    <w:abstractNumId w:val="2"/>
  </w:num>
  <w:num w:numId="29" w16cid:durableId="1875269086">
    <w:abstractNumId w:val="1"/>
  </w:num>
  <w:num w:numId="30" w16cid:durableId="1346596276">
    <w:abstractNumId w:val="0"/>
  </w:num>
  <w:num w:numId="31" w16cid:durableId="529152422">
    <w:abstractNumId w:val="9"/>
  </w:num>
  <w:num w:numId="32" w16cid:durableId="673999435">
    <w:abstractNumId w:val="7"/>
  </w:num>
  <w:num w:numId="33" w16cid:durableId="1282345841">
    <w:abstractNumId w:val="6"/>
  </w:num>
  <w:num w:numId="34" w16cid:durableId="1944147299">
    <w:abstractNumId w:val="5"/>
  </w:num>
  <w:num w:numId="35" w16cid:durableId="1484076569">
    <w:abstractNumId w:val="4"/>
  </w:num>
  <w:num w:numId="36" w16cid:durableId="497967666">
    <w:abstractNumId w:val="8"/>
  </w:num>
  <w:num w:numId="37" w16cid:durableId="265963887">
    <w:abstractNumId w:val="3"/>
  </w:num>
  <w:num w:numId="38" w16cid:durableId="568149530">
    <w:abstractNumId w:val="2"/>
  </w:num>
  <w:num w:numId="39" w16cid:durableId="1041634601">
    <w:abstractNumId w:val="1"/>
  </w:num>
  <w:num w:numId="40" w16cid:durableId="1852839710">
    <w:abstractNumId w:val="0"/>
  </w:num>
  <w:num w:numId="41" w16cid:durableId="2110853849">
    <w:abstractNumId w:val="10"/>
  </w:num>
  <w:num w:numId="42" w16cid:durableId="1101029183">
    <w:abstractNumId w:val="10"/>
  </w:num>
  <w:num w:numId="43" w16cid:durableId="17125803">
    <w:abstractNumId w:val="10"/>
  </w:num>
  <w:num w:numId="44" w16cid:durableId="4214933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2025"/>
    <w:docVar w:name="dvlangue" w:val="LV"/>
    <w:docVar w:name="dvnumam" w:val="0"/>
    <w:docVar w:name="dvpe" w:val="778.991"/>
    <w:docVar w:name="dvtitre" w:val="Eiropas Parlamenta 2025. gada XX. XXX  rezolūcija par tiesiskuma un cilvēktiesību stāvokli Tunisijā, jo īpaši Sonia Dahmani lietu(2025/2988(RSP))"/>
  </w:docVars>
  <w:rsids>
    <w:rsidRoot w:val="00747162"/>
    <w:rsid w:val="00002272"/>
    <w:rsid w:val="00064002"/>
    <w:rsid w:val="000677B9"/>
    <w:rsid w:val="000831BA"/>
    <w:rsid w:val="000A42CC"/>
    <w:rsid w:val="000E7DD9"/>
    <w:rsid w:val="0010095E"/>
    <w:rsid w:val="00125B37"/>
    <w:rsid w:val="00187494"/>
    <w:rsid w:val="001F32AE"/>
    <w:rsid w:val="002767FF"/>
    <w:rsid w:val="002953D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C34"/>
    <w:rsid w:val="005F1B17"/>
    <w:rsid w:val="006037C0"/>
    <w:rsid w:val="006631B6"/>
    <w:rsid w:val="00680577"/>
    <w:rsid w:val="006F74FA"/>
    <w:rsid w:val="00731ADD"/>
    <w:rsid w:val="00734777"/>
    <w:rsid w:val="00747162"/>
    <w:rsid w:val="00747932"/>
    <w:rsid w:val="00751A4A"/>
    <w:rsid w:val="00756632"/>
    <w:rsid w:val="00762C74"/>
    <w:rsid w:val="00786EC0"/>
    <w:rsid w:val="007B4398"/>
    <w:rsid w:val="007D1690"/>
    <w:rsid w:val="007E22AD"/>
    <w:rsid w:val="007E41AE"/>
    <w:rsid w:val="00817416"/>
    <w:rsid w:val="00842779"/>
    <w:rsid w:val="00865F67"/>
    <w:rsid w:val="00881A7B"/>
    <w:rsid w:val="008840E5"/>
    <w:rsid w:val="00887B3E"/>
    <w:rsid w:val="008C2AC6"/>
    <w:rsid w:val="008D0A29"/>
    <w:rsid w:val="00930C23"/>
    <w:rsid w:val="0093193B"/>
    <w:rsid w:val="009509D8"/>
    <w:rsid w:val="00950B64"/>
    <w:rsid w:val="00981893"/>
    <w:rsid w:val="009B6FA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8BD37"/>
  <w15:chartTrackingRefBased/>
  <w15:docId w15:val="{70233709-2FF8-42FD-B267-014FF2A70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3C34"/>
    <w:rPr>
      <w:b/>
    </w:rPr>
  </w:style>
  <w:style w:type="paragraph" w:customStyle="1" w:styleId="NormalHanging12a">
    <w:name w:val="NormalHanging12a"/>
    <w:basedOn w:val="Normal"/>
    <w:link w:val="NormalHanging12aChar"/>
    <w:rsid w:val="005E3C34"/>
    <w:pPr>
      <w:spacing w:after="240"/>
      <w:ind w:left="567" w:hanging="567"/>
    </w:pPr>
  </w:style>
  <w:style w:type="paragraph" w:customStyle="1" w:styleId="EPComma">
    <w:name w:val="EPComma"/>
    <w:basedOn w:val="Normal"/>
    <w:rsid w:val="005E3C34"/>
    <w:pPr>
      <w:spacing w:before="480" w:after="240"/>
    </w:pPr>
  </w:style>
  <w:style w:type="character" w:customStyle="1" w:styleId="NormalHanging12aChar">
    <w:name w:val="NormalHanging12a Char"/>
    <w:basedOn w:val="DefaultParagraphFont"/>
    <w:link w:val="NormalHanging12a"/>
    <w:locked/>
    <w:rsid w:val="005E3C34"/>
    <w:rPr>
      <w:sz w:val="24"/>
      <w:lang w:val="lv-LV"/>
    </w:rPr>
  </w:style>
  <w:style w:type="paragraph" w:styleId="Revision">
    <w:name w:val="Revision"/>
    <w:hidden/>
    <w:uiPriority w:val="99"/>
    <w:semiHidden/>
    <w:rsid w:val="007E41A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3228</Characters>
  <Application>Microsoft Office Word</Application>
  <DocSecurity>0</DocSecurity>
  <Lines>55</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2025-11-27T13:33:00Z</dcterms:created>
  <dcterms:modified xsi:type="dcterms:W3CDTF">2025-11-27T13:33:00Z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B10-0518/2025</vt:lpwstr>
  </property>
  <property fmtid="{D5CDD505-2E9C-101B-9397-08002B2CF9AE}" pid="4" name="&lt;Type&gt;">
    <vt:lpwstr>RR</vt:lpwstr>
  </property>
</Properties>
</file>