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3D8D" w14:paraId="3A11E421" w14:textId="77777777" w:rsidTr="0010095E">
        <w:trPr>
          <w:trHeight w:hRule="exact" w:val="1418"/>
        </w:trPr>
        <w:tc>
          <w:tcPr>
            <w:tcW w:w="6804" w:type="dxa"/>
            <w:shd w:val="clear" w:color="auto" w:fill="auto"/>
            <w:vAlign w:val="center"/>
          </w:tcPr>
          <w:p w14:paraId="68D86F4A" w14:textId="77777777" w:rsidR="00751A4A" w:rsidRPr="007A3D8D" w:rsidRDefault="00D6796D" w:rsidP="0010095E">
            <w:pPr>
              <w:pStyle w:val="EPName"/>
            </w:pPr>
            <w:r w:rsidRPr="007A3D8D">
              <w:t>Europees Parlement</w:t>
            </w:r>
          </w:p>
          <w:p w14:paraId="5232649D" w14:textId="77777777" w:rsidR="00751A4A" w:rsidRPr="007A3D8D" w:rsidRDefault="005F1B17" w:rsidP="005F1B17">
            <w:pPr>
              <w:pStyle w:val="EPTerm"/>
              <w:rPr>
                <w:rStyle w:val="HideTWBExt"/>
                <w:noProof w:val="0"/>
                <w:vanish w:val="0"/>
                <w:color w:val="auto"/>
              </w:rPr>
            </w:pPr>
            <w:r w:rsidRPr="007A3D8D">
              <w:t>2024</w:t>
            </w:r>
            <w:r w:rsidR="00817416" w:rsidRPr="007A3D8D">
              <w:t>-202</w:t>
            </w:r>
            <w:r w:rsidRPr="007A3D8D">
              <w:t>9</w:t>
            </w:r>
          </w:p>
        </w:tc>
        <w:tc>
          <w:tcPr>
            <w:tcW w:w="2268" w:type="dxa"/>
            <w:shd w:val="clear" w:color="auto" w:fill="auto"/>
          </w:tcPr>
          <w:p w14:paraId="724AC91A" w14:textId="77777777" w:rsidR="00751A4A" w:rsidRPr="007A3D8D" w:rsidRDefault="00187494" w:rsidP="0010095E">
            <w:pPr>
              <w:pStyle w:val="EPLogo"/>
            </w:pPr>
            <w:r w:rsidRPr="007A3D8D">
              <w:rPr>
                <w:noProof/>
                <w:lang w:eastAsia="ja-JP"/>
              </w:rPr>
              <w:drawing>
                <wp:inline distT="0" distB="0" distL="0" distR="0" wp14:anchorId="5664587B" wp14:editId="62A33D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699F3A" w14:textId="77777777" w:rsidR="00D058B8" w:rsidRPr="007A3D8D" w:rsidRDefault="00D058B8" w:rsidP="004C5D52">
      <w:pPr>
        <w:pStyle w:val="LineTop"/>
      </w:pPr>
    </w:p>
    <w:p w14:paraId="7E0E5AB8" w14:textId="77777777" w:rsidR="00680577" w:rsidRPr="007A3D8D" w:rsidRDefault="00D6796D" w:rsidP="00680577">
      <w:pPr>
        <w:pStyle w:val="EPBodyTA1"/>
      </w:pPr>
      <w:r w:rsidRPr="007A3D8D">
        <w:t>AANGENOMEN TEKSTEN</w:t>
      </w:r>
    </w:p>
    <w:p w14:paraId="07BB3F35" w14:textId="77777777" w:rsidR="00D058B8" w:rsidRPr="007A3D8D" w:rsidRDefault="00D058B8" w:rsidP="00D058B8">
      <w:pPr>
        <w:pStyle w:val="LineBottom"/>
      </w:pPr>
    </w:p>
    <w:p w14:paraId="35747932" w14:textId="6670A092" w:rsidR="00D6796D" w:rsidRPr="007A3D8D" w:rsidRDefault="00D6796D" w:rsidP="00D6796D">
      <w:pPr>
        <w:pStyle w:val="ATHeading1"/>
      </w:pPr>
      <w:bookmarkStart w:id="0" w:name="TANumber"/>
      <w:r w:rsidRPr="007A3D8D">
        <w:t>P10_TA(2025)0</w:t>
      </w:r>
      <w:r w:rsidR="007A3D8D" w:rsidRPr="007A3D8D">
        <w:t>304</w:t>
      </w:r>
      <w:bookmarkEnd w:id="0"/>
    </w:p>
    <w:p w14:paraId="505A3BB2" w14:textId="77777777" w:rsidR="00D6796D" w:rsidRPr="007A3D8D" w:rsidRDefault="00D6796D" w:rsidP="00D6796D">
      <w:pPr>
        <w:pStyle w:val="ATHeading2"/>
      </w:pPr>
      <w:bookmarkStart w:id="1" w:name="title"/>
      <w:r w:rsidRPr="007A3D8D">
        <w:t>Stand van zaken van de rechtsstaat en de mensenrechten in Tunesië, met name de zaak van Sonia Dahmani</w:t>
      </w:r>
      <w:bookmarkEnd w:id="1"/>
    </w:p>
    <w:p w14:paraId="30B0EEE9" w14:textId="77777777" w:rsidR="00D6796D" w:rsidRPr="007A3D8D" w:rsidRDefault="00D6796D" w:rsidP="00D6796D">
      <w:pPr>
        <w:rPr>
          <w:i/>
          <w:vanish/>
        </w:rPr>
      </w:pPr>
      <w:r w:rsidRPr="007A3D8D">
        <w:rPr>
          <w:i/>
        </w:rPr>
        <w:fldChar w:fldCharType="begin"/>
      </w:r>
      <w:r w:rsidRPr="007A3D8D">
        <w:rPr>
          <w:i/>
        </w:rPr>
        <w:instrText xml:space="preserve"> TC"(</w:instrText>
      </w:r>
      <w:bookmarkStart w:id="2" w:name="DocNumber"/>
      <w:r w:rsidRPr="007A3D8D">
        <w:rPr>
          <w:i/>
        </w:rPr>
        <w:instrText>B10-0518, 0520, 0525, 0532 en 0538/2025</w:instrText>
      </w:r>
      <w:bookmarkEnd w:id="2"/>
      <w:r w:rsidRPr="007A3D8D">
        <w:rPr>
          <w:i/>
        </w:rPr>
        <w:instrText xml:space="preserve">)"\l3 \n&gt; \* MERGEFORMAT </w:instrText>
      </w:r>
      <w:r w:rsidRPr="007A3D8D">
        <w:rPr>
          <w:i/>
        </w:rPr>
        <w:fldChar w:fldCharType="end"/>
      </w:r>
    </w:p>
    <w:p w14:paraId="0ECA32EB" w14:textId="77777777" w:rsidR="00D6796D" w:rsidRPr="007A3D8D" w:rsidRDefault="00D6796D" w:rsidP="00D6796D">
      <w:pPr>
        <w:rPr>
          <w:vanish/>
        </w:rPr>
      </w:pPr>
      <w:bookmarkStart w:id="3" w:name="PE"/>
      <w:r w:rsidRPr="007A3D8D">
        <w:rPr>
          <w:vanish/>
        </w:rPr>
        <w:t>PE778.991</w:t>
      </w:r>
      <w:bookmarkEnd w:id="3"/>
    </w:p>
    <w:p w14:paraId="7E1025C7" w14:textId="77777777" w:rsidR="00D6796D" w:rsidRPr="007A3D8D" w:rsidRDefault="00D6796D" w:rsidP="00D6796D">
      <w:pPr>
        <w:pStyle w:val="ATHeading3"/>
      </w:pPr>
      <w:bookmarkStart w:id="4" w:name="Sujet"/>
      <w:r w:rsidRPr="007A3D8D">
        <w:t>Resolutie van het Europees Parlement van 27 november 2025 over de stand van zaken van de rechtsstaat en de mensenrechten in Tunesië, met name de zaak van Sonia Dahmani</w:t>
      </w:r>
      <w:bookmarkEnd w:id="4"/>
      <w:r w:rsidRPr="007A3D8D">
        <w:t xml:space="preserve"> </w:t>
      </w:r>
      <w:bookmarkStart w:id="5" w:name="References"/>
      <w:r w:rsidRPr="007A3D8D">
        <w:t>(2025/2988(RSP))</w:t>
      </w:r>
      <w:bookmarkEnd w:id="5"/>
    </w:p>
    <w:p w14:paraId="492B76EE" w14:textId="77777777" w:rsidR="0016125D" w:rsidRPr="007A3D8D" w:rsidRDefault="0016125D" w:rsidP="0016125D">
      <w:pPr>
        <w:pStyle w:val="EPComma"/>
      </w:pPr>
      <w:bookmarkStart w:id="6" w:name="TextBodyBegin"/>
      <w:bookmarkEnd w:id="6"/>
      <w:r w:rsidRPr="007A3D8D">
        <w:rPr>
          <w:i/>
        </w:rPr>
        <w:t>Het Europees Parlement</w:t>
      </w:r>
      <w:r w:rsidRPr="007A3D8D">
        <w:t>,</w:t>
      </w:r>
    </w:p>
    <w:p w14:paraId="237E733C" w14:textId="77777777" w:rsidR="0016125D" w:rsidRPr="007A3D8D" w:rsidRDefault="0016125D" w:rsidP="0016125D">
      <w:pPr>
        <w:pStyle w:val="NormalHanging12a"/>
        <w:rPr>
          <w:rFonts w:eastAsiaTheme="minorEastAsia"/>
        </w:rPr>
      </w:pPr>
      <w:r w:rsidRPr="007A3D8D">
        <w:t>–</w:t>
      </w:r>
      <w:r w:rsidRPr="007A3D8D">
        <w:tab/>
        <w:t>gezien zijn eerdere resoluties over Tunesië,</w:t>
      </w:r>
    </w:p>
    <w:p w14:paraId="4517986B" w14:textId="77777777" w:rsidR="0016125D" w:rsidRPr="007A3D8D" w:rsidRDefault="0016125D" w:rsidP="0016125D">
      <w:pPr>
        <w:pStyle w:val="NormalHanging12a"/>
        <w:rPr>
          <w:rFonts w:eastAsiaTheme="minorEastAsia"/>
        </w:rPr>
      </w:pPr>
      <w:r w:rsidRPr="007A3D8D">
        <w:t>–</w:t>
      </w:r>
      <w:r w:rsidRPr="007A3D8D">
        <w:tab/>
        <w:t>gezien de associatieovereenkomst tussen de EU en Tunesië,</w:t>
      </w:r>
    </w:p>
    <w:p w14:paraId="353F0F9F" w14:textId="77777777" w:rsidR="0016125D" w:rsidRPr="007A3D8D" w:rsidRDefault="0016125D" w:rsidP="0016125D">
      <w:pPr>
        <w:pStyle w:val="NormalHanging12a"/>
        <w:rPr>
          <w:rFonts w:eastAsiaTheme="minorEastAsia"/>
        </w:rPr>
      </w:pPr>
      <w:r w:rsidRPr="007A3D8D">
        <w:t>–</w:t>
      </w:r>
      <w:r w:rsidRPr="007A3D8D">
        <w:tab/>
        <w:t>gezien het memorandum van overeenstemming tussen de EU en Tunesië,</w:t>
      </w:r>
    </w:p>
    <w:p w14:paraId="4F471CEE" w14:textId="77777777" w:rsidR="0016125D" w:rsidRPr="007A3D8D" w:rsidRDefault="0016125D" w:rsidP="0016125D">
      <w:pPr>
        <w:pStyle w:val="NormalHanging12a"/>
      </w:pPr>
      <w:r w:rsidRPr="007A3D8D">
        <w:t>–</w:t>
      </w:r>
      <w:r w:rsidRPr="007A3D8D">
        <w:tab/>
        <w:t>gezien artikel 150, lid 5, en artikel 136, lid 4, van zijn Reglement,</w:t>
      </w:r>
    </w:p>
    <w:p w14:paraId="762DABF3" w14:textId="77777777" w:rsidR="0016125D" w:rsidRPr="007A3D8D" w:rsidRDefault="0016125D" w:rsidP="0016125D">
      <w:pPr>
        <w:pStyle w:val="NormalHanging12a"/>
      </w:pPr>
      <w:r w:rsidRPr="007A3D8D">
        <w:t>A.</w:t>
      </w:r>
      <w:r w:rsidRPr="007A3D8D">
        <w:tab/>
        <w:t>overwegende dat advocaat en journalist Sonia Dahmani in mei 2024 in het kantoor van de Tunesische orde van advocaten is gearresteerd na haar verschijning op de tv-zender Carthage+; overwegende dat sinds haar arrestatie vijf afzonderlijke gerechtelijke procedures tegen haar zijn gevoerd, waarbij zij drie keer is veroordeeld; overwegende dat er nog meer rechtszaken tegen haar gepland zijn en dat haar totale straf tot 24 jaar zou kunnen oplopen;</w:t>
      </w:r>
    </w:p>
    <w:p w14:paraId="512A9325" w14:textId="77777777" w:rsidR="0016125D" w:rsidRPr="007A3D8D" w:rsidRDefault="0016125D" w:rsidP="0016125D">
      <w:pPr>
        <w:pStyle w:val="NormalHanging12a"/>
      </w:pPr>
      <w:r w:rsidRPr="007A3D8D">
        <w:t>B.</w:t>
      </w:r>
      <w:r w:rsidRPr="007A3D8D">
        <w:tab/>
        <w:t>overwegende dat Sonia Dahmani in onmenselijke en vernederende omstandigheden wordt vastgehouden en geen toegang heeft tot medische zorg;</w:t>
      </w:r>
    </w:p>
    <w:p w14:paraId="695BD4AC" w14:textId="77777777" w:rsidR="0016125D" w:rsidRPr="007A3D8D" w:rsidRDefault="0016125D" w:rsidP="0016125D">
      <w:pPr>
        <w:pStyle w:val="NormalHanging12a"/>
      </w:pPr>
      <w:r w:rsidRPr="007A3D8D">
        <w:t>C.</w:t>
      </w:r>
      <w:r w:rsidRPr="007A3D8D">
        <w:tab/>
        <w:t>overwegende dat haar zus Ramla Dahmani in juli 2025 bij verstek is veroordeeld op beschuldiging van het verspreiden van nepnieuws;</w:t>
      </w:r>
    </w:p>
    <w:p w14:paraId="02FAA959" w14:textId="77777777" w:rsidR="0016125D" w:rsidRPr="007A3D8D" w:rsidRDefault="0016125D" w:rsidP="0016125D">
      <w:pPr>
        <w:pStyle w:val="NormalHanging12a"/>
      </w:pPr>
      <w:r w:rsidRPr="007A3D8D">
        <w:t>1.</w:t>
      </w:r>
      <w:r w:rsidRPr="007A3D8D">
        <w:tab/>
        <w:t>veroordeelt de willekeurige detentie, gerechtelijke intimidatie en veroordeling van advocaat en mediacommentator Sonia Dahmani;</w:t>
      </w:r>
    </w:p>
    <w:p w14:paraId="653F6D28" w14:textId="77777777" w:rsidR="0016125D" w:rsidRPr="007A3D8D" w:rsidRDefault="0016125D" w:rsidP="0016125D">
      <w:pPr>
        <w:pStyle w:val="NormalHanging12a"/>
      </w:pPr>
      <w:r w:rsidRPr="007A3D8D">
        <w:t>2.</w:t>
      </w:r>
      <w:r w:rsidRPr="007A3D8D">
        <w:tab/>
        <w:t>eist de onmiddellijke en onvoorwaardelijke vrijlating van Sonia Dahmani en alle anderen die worden vastgehouden wegens de uitoefening van hun recht op vrijheid van meningsuiting, waaronder politieke gevangenen en mensenrechtenverdedigers; dringt er bij de Tunesische autoriteiten op aan alle aanklachten tegen Sonia Dahmani en haar zus in te trekken en hun familie niet te intimideren;</w:t>
      </w:r>
    </w:p>
    <w:p w14:paraId="4D4B8FB8" w14:textId="77777777" w:rsidR="0016125D" w:rsidRPr="007A3D8D" w:rsidRDefault="0016125D" w:rsidP="0016125D">
      <w:pPr>
        <w:pStyle w:val="NormalHanging12a"/>
      </w:pPr>
      <w:r w:rsidRPr="007A3D8D">
        <w:lastRenderedPageBreak/>
        <w:t>3.</w:t>
      </w:r>
      <w:r w:rsidRPr="007A3D8D">
        <w:tab/>
      </w:r>
      <w:bookmarkStart w:id="7" w:name="_Hlk214916283"/>
      <w:r w:rsidRPr="007A3D8D">
        <w:t>hekelt de omstandigheden waaronder Sonia Dahmani wordt vastgehouden, zoals de ontoereikende medische zorg, de beperkte mogelijkheden tot communicatie met haar familie en advocaat en de vertraagde hoorzittingen, naast de verscheidene rechtszaken waarmee wordt gepoogd haar detentie te verlengen</w:t>
      </w:r>
      <w:bookmarkEnd w:id="7"/>
      <w:r w:rsidRPr="007A3D8D">
        <w:t>;</w:t>
      </w:r>
    </w:p>
    <w:p w14:paraId="66D55DCF" w14:textId="77777777" w:rsidR="0016125D" w:rsidRPr="007A3D8D" w:rsidRDefault="0016125D" w:rsidP="0016125D">
      <w:pPr>
        <w:pStyle w:val="NormalHanging12a"/>
      </w:pPr>
      <w:r w:rsidRPr="007A3D8D">
        <w:t>4.</w:t>
      </w:r>
      <w:r w:rsidRPr="007A3D8D">
        <w:tab/>
        <w:t>dringt erop aan dat de Tunesische autoriteiten de vrijheid van vergadering en meningsuiting beschermen, de onafhankelijkheid van de rechterlijke macht waarborgen, inmenging van de uitvoerende macht in rechterlijke taken voorkomen en de door de Tunesische grondwet gewaarborgde rechten en vrijheden eerbiedigen; veroordeelt het toenemend aantal willekeurige opsluitingen, politiek gemotiveerde vervolgingen en beperkingen van de vrijheden;</w:t>
      </w:r>
    </w:p>
    <w:p w14:paraId="227CB17B" w14:textId="77777777" w:rsidR="0016125D" w:rsidRPr="007A3D8D" w:rsidRDefault="0016125D" w:rsidP="0016125D">
      <w:pPr>
        <w:pStyle w:val="NormalHanging12a"/>
      </w:pPr>
      <w:r w:rsidRPr="007A3D8D">
        <w:t>5.</w:t>
      </w:r>
      <w:r w:rsidRPr="007A3D8D">
        <w:tab/>
        <w:t>dringt aan op volledige intrekking van Wetsbesluit 54, dat heeft geleid tot vervolgingen wegens meningsuiting, en van alle foute wetgeving die wordt gebruikt om vrijheden te beperken;</w:t>
      </w:r>
    </w:p>
    <w:p w14:paraId="24B18903" w14:textId="77777777" w:rsidR="0016125D" w:rsidRPr="007A3D8D" w:rsidRDefault="0016125D" w:rsidP="0016125D">
      <w:pPr>
        <w:pStyle w:val="NormalHanging12a"/>
      </w:pPr>
      <w:r w:rsidRPr="007A3D8D">
        <w:t>6.</w:t>
      </w:r>
      <w:r w:rsidRPr="007A3D8D">
        <w:tab/>
        <w:t>verzoekt de EU-instellingen hun diepe bezorgdheid te uiten over de verslechterende mensenrechtensituatie in Tunesië en gecoördineerde diplomatieke actie te ondernemen met het oog op de vrijlating van politieke gevangenen;</w:t>
      </w:r>
    </w:p>
    <w:p w14:paraId="49E1FCF3" w14:textId="77777777" w:rsidR="0016125D" w:rsidRPr="007A3D8D" w:rsidRDefault="0016125D" w:rsidP="0016125D">
      <w:pPr>
        <w:pStyle w:val="NormalHanging12a"/>
      </w:pPr>
      <w:r w:rsidRPr="007A3D8D">
        <w:t>7.</w:t>
      </w:r>
      <w:r w:rsidRPr="007A3D8D">
        <w:tab/>
        <w:t>verzoekt de Tunesische autoriteiten hun verplichtingen uit hoofde van het internationaal recht inzake de mensenrechten en de associatieovereenkomst tussen de EU en Tunesië na te komen; neemt kennis van het recente uitstel van de Associatieraad EU-Tunesië en verzoekt de Commissie in haar betrekkingen met Tunesië de mensenrechtensituatie centraal te stellen, of het nu gaat om politieke dialoog, financiële bijstand, samenwerking op veiligheidsgebied of overeenkomsten met het land;</w:t>
      </w:r>
    </w:p>
    <w:p w14:paraId="7DB1CD57" w14:textId="77777777" w:rsidR="0016125D" w:rsidRPr="007A3D8D" w:rsidRDefault="0016125D" w:rsidP="0016125D">
      <w:pPr>
        <w:pStyle w:val="NormalHanging12a"/>
      </w:pPr>
      <w:r w:rsidRPr="007A3D8D">
        <w:t>8.</w:t>
      </w:r>
      <w:r w:rsidRPr="007A3D8D">
        <w:tab/>
        <w:t>betuigt zijn onwrikbare solidariteit met het maatschappelijk middenveld, mensenrechtenverdedigers, onafhankelijke media en journalisten en verenigingen van advocaten in Tunesië; verzoekt de Commissie te reageren op het besluit van de Tunesische regering om de bankrekeningen van maatschappelijke organisaties te blokkeren; onderstreept de cruciale rol van beoefenaars van juridische beroepen bij het waarborgen van de rechtsstaat en de integriteit van het rechtsstelsel;</w:t>
      </w:r>
    </w:p>
    <w:p w14:paraId="291F855B" w14:textId="77777777" w:rsidR="0016125D" w:rsidRPr="007A3D8D" w:rsidRDefault="0016125D" w:rsidP="0016125D">
      <w:pPr>
        <w:pStyle w:val="NormalHanging12a"/>
      </w:pPr>
      <w:r w:rsidRPr="007A3D8D">
        <w:t>9.</w:t>
      </w:r>
      <w:r w:rsidRPr="007A3D8D">
        <w:tab/>
        <w:t>moedigt Tunesië aan de vele uitdagingen in de regio aan te pakken door de taak van handhaving van de mensenrechten en democratie op zich te nemen;</w:t>
      </w:r>
    </w:p>
    <w:p w14:paraId="394BCC8D" w14:textId="1D135E64" w:rsidR="00891B68" w:rsidRPr="007A3D8D" w:rsidRDefault="0016125D" w:rsidP="00891B68">
      <w:pPr>
        <w:pStyle w:val="NormalHanging12a"/>
      </w:pPr>
      <w:r w:rsidRPr="007A3D8D">
        <w:t>10.</w:t>
      </w:r>
      <w:r w:rsidRPr="007A3D8D">
        <w:tab/>
        <w:t>verzoekt zijn Voorzitter deze resolutie te doen toekomen aan de Raad, de Commissie en de VV/HV, alsook aan de regeringen en parlementen van de lidstaten en de Tunesische autoriteiten.</w:t>
      </w:r>
    </w:p>
    <w:p w14:paraId="2100F9AA" w14:textId="30140F01" w:rsidR="00E365E1" w:rsidRPr="007A3D8D" w:rsidRDefault="00E365E1" w:rsidP="00D6796D"/>
    <w:sectPr w:rsidR="00E365E1" w:rsidRPr="007A3D8D" w:rsidSect="00891B6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F6F9D" w14:textId="77777777" w:rsidR="00D6796D" w:rsidRPr="00891B68" w:rsidRDefault="00D6796D">
      <w:r w:rsidRPr="00891B68">
        <w:separator/>
      </w:r>
    </w:p>
  </w:endnote>
  <w:endnote w:type="continuationSeparator" w:id="0">
    <w:p w14:paraId="58503240" w14:textId="77777777" w:rsidR="00D6796D" w:rsidRPr="00891B68" w:rsidRDefault="00D6796D">
      <w:r w:rsidRPr="00891B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6B4B7" w14:textId="77777777" w:rsidR="00064002" w:rsidRPr="00891B6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F18BC" w14:textId="77777777" w:rsidR="00064002" w:rsidRPr="00891B6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0BC83" w14:textId="77777777" w:rsidR="00064002" w:rsidRPr="00891B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1D622" w14:textId="77777777" w:rsidR="00D6796D" w:rsidRPr="00891B68" w:rsidRDefault="00D6796D">
      <w:r w:rsidRPr="00891B68">
        <w:separator/>
      </w:r>
    </w:p>
  </w:footnote>
  <w:footnote w:type="continuationSeparator" w:id="0">
    <w:p w14:paraId="4512C572" w14:textId="77777777" w:rsidR="00D6796D" w:rsidRPr="00891B68" w:rsidRDefault="00D6796D">
      <w:r w:rsidRPr="00891B6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28076" w14:textId="77777777" w:rsidR="00064002" w:rsidRPr="00891B6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1BA54" w14:textId="77777777" w:rsidR="00064002" w:rsidRPr="00891B6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EB4F7" w14:textId="77777777" w:rsidR="00064002" w:rsidRPr="00891B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0763101">
    <w:abstractNumId w:val="9"/>
  </w:num>
  <w:num w:numId="2" w16cid:durableId="1000430174">
    <w:abstractNumId w:val="9"/>
  </w:num>
  <w:num w:numId="3" w16cid:durableId="401870319">
    <w:abstractNumId w:val="7"/>
  </w:num>
  <w:num w:numId="4" w16cid:durableId="61831225">
    <w:abstractNumId w:val="7"/>
  </w:num>
  <w:num w:numId="5" w16cid:durableId="989822268">
    <w:abstractNumId w:val="6"/>
  </w:num>
  <w:num w:numId="6" w16cid:durableId="916673839">
    <w:abstractNumId w:val="6"/>
  </w:num>
  <w:num w:numId="7" w16cid:durableId="1713505679">
    <w:abstractNumId w:val="5"/>
  </w:num>
  <w:num w:numId="8" w16cid:durableId="1116103432">
    <w:abstractNumId w:val="5"/>
  </w:num>
  <w:num w:numId="9" w16cid:durableId="1485850165">
    <w:abstractNumId w:val="4"/>
  </w:num>
  <w:num w:numId="10" w16cid:durableId="1285961569">
    <w:abstractNumId w:val="4"/>
  </w:num>
  <w:num w:numId="11" w16cid:durableId="1616206635">
    <w:abstractNumId w:val="8"/>
  </w:num>
  <w:num w:numId="12" w16cid:durableId="2092239117">
    <w:abstractNumId w:val="8"/>
  </w:num>
  <w:num w:numId="13" w16cid:durableId="1569999128">
    <w:abstractNumId w:val="3"/>
  </w:num>
  <w:num w:numId="14" w16cid:durableId="1408460233">
    <w:abstractNumId w:val="3"/>
  </w:num>
  <w:num w:numId="15" w16cid:durableId="571697523">
    <w:abstractNumId w:val="2"/>
  </w:num>
  <w:num w:numId="16" w16cid:durableId="255484932">
    <w:abstractNumId w:val="2"/>
  </w:num>
  <w:num w:numId="17" w16cid:durableId="1688018077">
    <w:abstractNumId w:val="1"/>
  </w:num>
  <w:num w:numId="18" w16cid:durableId="1406028652">
    <w:abstractNumId w:val="1"/>
  </w:num>
  <w:num w:numId="19" w16cid:durableId="1621255844">
    <w:abstractNumId w:val="0"/>
  </w:num>
  <w:num w:numId="20" w16cid:durableId="491067766">
    <w:abstractNumId w:val="0"/>
  </w:num>
  <w:num w:numId="21" w16cid:durableId="912423931">
    <w:abstractNumId w:val="9"/>
  </w:num>
  <w:num w:numId="22" w16cid:durableId="1053384178">
    <w:abstractNumId w:val="7"/>
  </w:num>
  <w:num w:numId="23" w16cid:durableId="31616677">
    <w:abstractNumId w:val="6"/>
  </w:num>
  <w:num w:numId="24" w16cid:durableId="1075591103">
    <w:abstractNumId w:val="5"/>
  </w:num>
  <w:num w:numId="25" w16cid:durableId="1905724717">
    <w:abstractNumId w:val="4"/>
  </w:num>
  <w:num w:numId="26" w16cid:durableId="1447431288">
    <w:abstractNumId w:val="8"/>
  </w:num>
  <w:num w:numId="27" w16cid:durableId="904418011">
    <w:abstractNumId w:val="3"/>
  </w:num>
  <w:num w:numId="28" w16cid:durableId="500702476">
    <w:abstractNumId w:val="2"/>
  </w:num>
  <w:num w:numId="29" w16cid:durableId="1944221758">
    <w:abstractNumId w:val="1"/>
  </w:num>
  <w:num w:numId="30" w16cid:durableId="633801914">
    <w:abstractNumId w:val="0"/>
  </w:num>
  <w:num w:numId="31" w16cid:durableId="1299649039">
    <w:abstractNumId w:val="9"/>
  </w:num>
  <w:num w:numId="32" w16cid:durableId="1464346194">
    <w:abstractNumId w:val="7"/>
  </w:num>
  <w:num w:numId="33" w16cid:durableId="1538664260">
    <w:abstractNumId w:val="6"/>
  </w:num>
  <w:num w:numId="34" w16cid:durableId="2123842432">
    <w:abstractNumId w:val="5"/>
  </w:num>
  <w:num w:numId="35" w16cid:durableId="1398892973">
    <w:abstractNumId w:val="4"/>
  </w:num>
  <w:num w:numId="36" w16cid:durableId="1893151503">
    <w:abstractNumId w:val="8"/>
  </w:num>
  <w:num w:numId="37" w16cid:durableId="2012751919">
    <w:abstractNumId w:val="3"/>
  </w:num>
  <w:num w:numId="38" w16cid:durableId="748428336">
    <w:abstractNumId w:val="2"/>
  </w:num>
  <w:num w:numId="39" w16cid:durableId="1948779594">
    <w:abstractNumId w:val="1"/>
  </w:num>
  <w:num w:numId="40" w16cid:durableId="1818570223">
    <w:abstractNumId w:val="0"/>
  </w:num>
  <w:num w:numId="41" w16cid:durableId="708066068">
    <w:abstractNumId w:val="10"/>
  </w:num>
  <w:num w:numId="42" w16cid:durableId="1830755073">
    <w:abstractNumId w:val="10"/>
  </w:num>
  <w:num w:numId="43" w16cid:durableId="1805544506">
    <w:abstractNumId w:val="10"/>
  </w:num>
  <w:num w:numId="44" w16cid:durableId="7703157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18, 0520, 0525, 0532 en 0538/2025"/>
    <w:docVar w:name="dvlangue" w:val="NL"/>
    <w:docVar w:name="dvnumam" w:val="0"/>
    <w:docVar w:name="dvpe" w:val="778.991"/>
    <w:docVar w:name="dvtitre" w:val="Resolutie van het Europees Parlement van 27 november 2025 over de stand van zaken van de rechtsstaat en de mensenrechten in Tunesië, met name de zaak van Sonia Dahmani(2025/2988(RSP))"/>
  </w:docVars>
  <w:rsids>
    <w:rsidRoot w:val="00D6796D"/>
    <w:rsid w:val="00002272"/>
    <w:rsid w:val="000248C9"/>
    <w:rsid w:val="00064002"/>
    <w:rsid w:val="000677B9"/>
    <w:rsid w:val="000831BA"/>
    <w:rsid w:val="000A42CC"/>
    <w:rsid w:val="000E7DD9"/>
    <w:rsid w:val="0010095E"/>
    <w:rsid w:val="00125B37"/>
    <w:rsid w:val="0016125D"/>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3D8D"/>
    <w:rsid w:val="007D1690"/>
    <w:rsid w:val="007E22AD"/>
    <w:rsid w:val="00817416"/>
    <w:rsid w:val="00842779"/>
    <w:rsid w:val="00865F67"/>
    <w:rsid w:val="00881A7B"/>
    <w:rsid w:val="008840E5"/>
    <w:rsid w:val="00887B3E"/>
    <w:rsid w:val="00891B68"/>
    <w:rsid w:val="008C2AC6"/>
    <w:rsid w:val="008D41A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4B60"/>
    <w:rsid w:val="00BD7BD8"/>
    <w:rsid w:val="00BE6ADC"/>
    <w:rsid w:val="00C05BFE"/>
    <w:rsid w:val="00C23CD4"/>
    <w:rsid w:val="00C61C0C"/>
    <w:rsid w:val="00C941CB"/>
    <w:rsid w:val="00CC2357"/>
    <w:rsid w:val="00CF071A"/>
    <w:rsid w:val="00D058B8"/>
    <w:rsid w:val="00D56C11"/>
    <w:rsid w:val="00D6796D"/>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6CC037"/>
  <w15:chartTrackingRefBased/>
  <w15:docId w15:val="{C456081A-F516-42A2-B2BC-39446FDDE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6125D"/>
    <w:pPr>
      <w:spacing w:after="240"/>
      <w:ind w:left="567" w:hanging="567"/>
    </w:pPr>
  </w:style>
  <w:style w:type="paragraph" w:customStyle="1" w:styleId="EPComma">
    <w:name w:val="EPComma"/>
    <w:basedOn w:val="Normal"/>
    <w:rsid w:val="0016125D"/>
    <w:pPr>
      <w:spacing w:before="480" w:after="240"/>
    </w:pPr>
  </w:style>
  <w:style w:type="character" w:customStyle="1" w:styleId="NormalHanging12aChar">
    <w:name w:val="NormalHanging12a Char"/>
    <w:basedOn w:val="DefaultParagraphFont"/>
    <w:link w:val="NormalHanging12a"/>
    <w:locked/>
    <w:rsid w:val="0016125D"/>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613</Words>
  <Characters>3793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SLOSSE Filiep</cp:lastModifiedBy>
  <cp:revision>2</cp:revision>
  <cp:lastPrinted>2004-11-19T15:42:00Z</cp:lastPrinted>
  <dcterms:created xsi:type="dcterms:W3CDTF">2025-11-27T12:36:00Z</dcterms:created>
  <dcterms:modified xsi:type="dcterms:W3CDTF">2025-11-27T12:36:00Z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B10-0518, 0520, 0525, 0532 en 0538/2025</vt:lpwstr>
  </property>
  <property fmtid="{D5CDD505-2E9C-101B-9397-08002B2CF9AE}" pid="4" name="&lt;Type&gt;">
    <vt:lpwstr>RR</vt:lpwstr>
  </property>
</Properties>
</file>