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0AB1" w14:paraId="7C6C6B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5607A3" w14:textId="77777777" w:rsidR="00751A4A" w:rsidRPr="00000AB1" w:rsidRDefault="009867DE" w:rsidP="0010095E">
            <w:pPr>
              <w:pStyle w:val="EPName"/>
            </w:pPr>
            <w:r w:rsidRPr="00000AB1">
              <w:t>Parlament Europejski</w:t>
            </w:r>
          </w:p>
          <w:p w14:paraId="3A6FF472" w14:textId="77777777" w:rsidR="00751A4A" w:rsidRPr="00000A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0AB1">
              <w:t>2024</w:t>
            </w:r>
            <w:r w:rsidR="00817416" w:rsidRPr="00000AB1">
              <w:t>-202</w:t>
            </w:r>
            <w:r w:rsidRPr="00000AB1">
              <w:t>9</w:t>
            </w:r>
          </w:p>
        </w:tc>
        <w:tc>
          <w:tcPr>
            <w:tcW w:w="2268" w:type="dxa"/>
            <w:shd w:val="clear" w:color="auto" w:fill="auto"/>
          </w:tcPr>
          <w:p w14:paraId="7401998B" w14:textId="77777777" w:rsidR="00751A4A" w:rsidRPr="00000AB1" w:rsidRDefault="00187494" w:rsidP="0010095E">
            <w:pPr>
              <w:pStyle w:val="EPLogo"/>
            </w:pPr>
            <w:r w:rsidRPr="00000AB1">
              <w:rPr>
                <w:noProof/>
                <w:lang w:eastAsia="ja-JP"/>
              </w:rPr>
              <w:drawing>
                <wp:inline distT="0" distB="0" distL="0" distR="0" wp14:anchorId="15FA8DBA" wp14:editId="481BDF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61E6DF" w14:textId="77777777" w:rsidR="00D058B8" w:rsidRPr="00000AB1" w:rsidRDefault="00D058B8" w:rsidP="004C5D52">
      <w:pPr>
        <w:pStyle w:val="LineTop"/>
      </w:pPr>
    </w:p>
    <w:p w14:paraId="54E2F4B8" w14:textId="77777777" w:rsidR="00680577" w:rsidRPr="00000AB1" w:rsidRDefault="009867DE" w:rsidP="00680577">
      <w:pPr>
        <w:pStyle w:val="EPBodyTA1"/>
      </w:pPr>
      <w:r w:rsidRPr="00000AB1">
        <w:t>TEKSTY PRZYJĘTE</w:t>
      </w:r>
    </w:p>
    <w:p w14:paraId="21D30C6A" w14:textId="77777777" w:rsidR="00D058B8" w:rsidRPr="00000AB1" w:rsidRDefault="00D058B8" w:rsidP="00D058B8">
      <w:pPr>
        <w:pStyle w:val="LineBottom"/>
      </w:pPr>
    </w:p>
    <w:p w14:paraId="3890029E" w14:textId="576C9A2B" w:rsidR="009867DE" w:rsidRPr="00000AB1" w:rsidRDefault="009867DE" w:rsidP="009867DE">
      <w:pPr>
        <w:pStyle w:val="ATHeading1"/>
      </w:pPr>
      <w:bookmarkStart w:id="0" w:name="TANumber"/>
      <w:r w:rsidRPr="00000AB1">
        <w:t>P10_TA(2025)0</w:t>
      </w:r>
      <w:bookmarkEnd w:id="0"/>
      <w:r w:rsidR="001B4ADE">
        <w:t>304</w:t>
      </w:r>
    </w:p>
    <w:p w14:paraId="07C14583" w14:textId="07E12F85" w:rsidR="009867DE" w:rsidRPr="00000AB1" w:rsidRDefault="00262273" w:rsidP="00262273">
      <w:pPr>
        <w:pStyle w:val="ATHeading2"/>
      </w:pPr>
      <w:r w:rsidRPr="00262273">
        <w:rPr>
          <w:bCs/>
        </w:rPr>
        <w:t>Praworządność i sytuacja w zakresie praw człowieka w Tunezji, w szczególności przypadek Sonii</w:t>
      </w:r>
      <w:r>
        <w:rPr>
          <w:bCs/>
        </w:rPr>
        <w:t xml:space="preserve"> </w:t>
      </w:r>
      <w:proofErr w:type="spellStart"/>
      <w:r w:rsidRPr="00262273">
        <w:rPr>
          <w:bCs/>
        </w:rPr>
        <w:t>Dahmani</w:t>
      </w:r>
      <w:proofErr w:type="spellEnd"/>
    </w:p>
    <w:p w14:paraId="1C946B77" w14:textId="0A68F57E" w:rsidR="009867DE" w:rsidRPr="00000AB1" w:rsidRDefault="009867DE" w:rsidP="009867DE">
      <w:pPr>
        <w:rPr>
          <w:i/>
          <w:vanish/>
        </w:rPr>
      </w:pPr>
      <w:r w:rsidRPr="00000AB1">
        <w:rPr>
          <w:i/>
        </w:rPr>
        <w:fldChar w:fldCharType="begin"/>
      </w:r>
      <w:r w:rsidRPr="00000AB1">
        <w:rPr>
          <w:i/>
        </w:rPr>
        <w:instrText xml:space="preserve"> TC"(</w:instrText>
      </w:r>
      <w:bookmarkStart w:id="1" w:name="DocNumber"/>
      <w:r w:rsidRPr="00000AB1">
        <w:rPr>
          <w:i/>
        </w:rPr>
        <w:instrText>B10-0518</w:instrText>
      </w:r>
      <w:r w:rsidR="00262273">
        <w:rPr>
          <w:i/>
        </w:rPr>
        <w:instrText>, 0520, 0525, 0532 oraz 0538</w:instrText>
      </w:r>
      <w:r w:rsidRPr="00000AB1">
        <w:rPr>
          <w:i/>
        </w:rPr>
        <w:instrText>/2025</w:instrText>
      </w:r>
      <w:bookmarkEnd w:id="1"/>
      <w:r w:rsidRPr="00000AB1">
        <w:rPr>
          <w:i/>
        </w:rPr>
        <w:instrText xml:space="preserve">)"\l3 \n&gt; \* MERGEFORMAT </w:instrText>
      </w:r>
      <w:r w:rsidRPr="00000AB1">
        <w:rPr>
          <w:i/>
        </w:rPr>
        <w:fldChar w:fldCharType="end"/>
      </w:r>
    </w:p>
    <w:p w14:paraId="04EB628A" w14:textId="77777777" w:rsidR="009867DE" w:rsidRPr="00000AB1" w:rsidRDefault="009867DE" w:rsidP="009867DE">
      <w:pPr>
        <w:rPr>
          <w:vanish/>
        </w:rPr>
      </w:pPr>
      <w:bookmarkStart w:id="2" w:name="PE"/>
      <w:r w:rsidRPr="00000AB1">
        <w:rPr>
          <w:vanish/>
        </w:rPr>
        <w:t>PE778.991</w:t>
      </w:r>
      <w:bookmarkEnd w:id="2"/>
    </w:p>
    <w:p w14:paraId="55300559" w14:textId="0C94125A" w:rsidR="009867DE" w:rsidRPr="00000AB1" w:rsidRDefault="009867DE" w:rsidP="009867DE">
      <w:pPr>
        <w:pStyle w:val="ATHeading3"/>
      </w:pPr>
      <w:bookmarkStart w:id="3" w:name="Sujet"/>
      <w:r w:rsidRPr="00000AB1">
        <w:t xml:space="preserve">Rezolucja Parlamentu Europejskiego z dnia </w:t>
      </w:r>
      <w:r w:rsidR="00262273">
        <w:t>27 listopada</w:t>
      </w:r>
      <w:r w:rsidRPr="00000AB1">
        <w:t xml:space="preserve"> 2025 r. w sprawie praworządności i sytuacji w zakresie praw człowieka w Tunezji, w szczególności przypadku Sonii </w:t>
      </w:r>
      <w:proofErr w:type="spellStart"/>
      <w:r w:rsidRPr="00000AB1">
        <w:t>Dahmani</w:t>
      </w:r>
      <w:bookmarkEnd w:id="3"/>
      <w:proofErr w:type="spellEnd"/>
      <w:r w:rsidRPr="00000AB1">
        <w:t xml:space="preserve"> </w:t>
      </w:r>
      <w:bookmarkStart w:id="4" w:name="References"/>
      <w:r w:rsidRPr="00000AB1">
        <w:t>(2025/2988(RSP))</w:t>
      </w:r>
      <w:bookmarkEnd w:id="4"/>
    </w:p>
    <w:p w14:paraId="2E4A1088" w14:textId="77777777" w:rsidR="009867DE" w:rsidRPr="00000AB1" w:rsidRDefault="009867DE" w:rsidP="009867DE"/>
    <w:p w14:paraId="2F355446" w14:textId="77777777" w:rsidR="00EA07B4" w:rsidRPr="00000AB1" w:rsidRDefault="00EA07B4" w:rsidP="00EA07B4">
      <w:pPr>
        <w:pStyle w:val="EPComma"/>
      </w:pPr>
      <w:bookmarkStart w:id="5" w:name="TextBodyBegin"/>
      <w:bookmarkEnd w:id="5"/>
      <w:r w:rsidRPr="00000AB1">
        <w:rPr>
          <w:i/>
        </w:rPr>
        <w:t>Parlament Europejski</w:t>
      </w:r>
      <w:r w:rsidRPr="00000AB1">
        <w:t>,</w:t>
      </w:r>
    </w:p>
    <w:p w14:paraId="2BEEDA72" w14:textId="77777777" w:rsidR="00EA07B4" w:rsidRPr="00000AB1" w:rsidRDefault="00EA07B4" w:rsidP="00EA07B4">
      <w:pPr>
        <w:pStyle w:val="NormalHanging12a"/>
        <w:rPr>
          <w:rFonts w:eastAsiaTheme="minorEastAsia"/>
        </w:rPr>
      </w:pPr>
      <w:r w:rsidRPr="00000AB1">
        <w:t>–</w:t>
      </w:r>
      <w:r w:rsidRPr="00000AB1">
        <w:tab/>
        <w:t>uwzględniając swoje wcześniejsze rezolucje w sprawie Tunezji,</w:t>
      </w:r>
    </w:p>
    <w:p w14:paraId="053F192A" w14:textId="77777777" w:rsidR="00EA07B4" w:rsidRPr="00000AB1" w:rsidRDefault="00EA07B4" w:rsidP="00EA07B4">
      <w:pPr>
        <w:pStyle w:val="NormalHanging12a"/>
        <w:rPr>
          <w:rFonts w:eastAsiaTheme="minorEastAsia"/>
        </w:rPr>
      </w:pPr>
      <w:r w:rsidRPr="00000AB1">
        <w:t>–</w:t>
      </w:r>
      <w:r w:rsidRPr="00000AB1">
        <w:tab/>
        <w:t>uwzględniając układ o stowarzyszeniu UE–Tunezja,</w:t>
      </w:r>
    </w:p>
    <w:p w14:paraId="60B51A40" w14:textId="77777777" w:rsidR="00EA07B4" w:rsidRPr="00000AB1" w:rsidRDefault="00EA07B4" w:rsidP="00EA07B4">
      <w:pPr>
        <w:pStyle w:val="NormalHanging12a"/>
        <w:rPr>
          <w:rFonts w:eastAsiaTheme="minorEastAsia"/>
        </w:rPr>
      </w:pPr>
      <w:r w:rsidRPr="00000AB1">
        <w:t>–</w:t>
      </w:r>
      <w:r w:rsidRPr="00000AB1">
        <w:tab/>
        <w:t>uwzględniając protokół ustaleń UE–Tunezja,</w:t>
      </w:r>
    </w:p>
    <w:p w14:paraId="1EBCF9B8" w14:textId="77777777" w:rsidR="00EA07B4" w:rsidRPr="00000AB1" w:rsidRDefault="00EA07B4" w:rsidP="00EA07B4">
      <w:pPr>
        <w:pStyle w:val="NormalHanging12a"/>
      </w:pPr>
      <w:r w:rsidRPr="00000AB1">
        <w:t>–</w:t>
      </w:r>
      <w:r w:rsidRPr="00000AB1">
        <w:tab/>
        <w:t>uwzględniając art. 150 ust. 5 i art. 136 ust. 4 Regulaminu,</w:t>
      </w:r>
    </w:p>
    <w:p w14:paraId="52C4D3F8" w14:textId="77777777" w:rsidR="00EA07B4" w:rsidRPr="00000AB1" w:rsidRDefault="00EA07B4" w:rsidP="00EA07B4">
      <w:pPr>
        <w:pStyle w:val="NormalHanging12a"/>
      </w:pPr>
      <w:r w:rsidRPr="00000AB1">
        <w:t>A.</w:t>
      </w:r>
      <w:r w:rsidRPr="00000AB1">
        <w:tab/>
        <w:t xml:space="preserve">mając na uwadze, że adwokatkę i dziennikarkę Sonię </w:t>
      </w:r>
      <w:proofErr w:type="spellStart"/>
      <w:r w:rsidRPr="00000AB1">
        <w:t>Dahmani</w:t>
      </w:r>
      <w:proofErr w:type="spellEnd"/>
      <w:r w:rsidRPr="00000AB1">
        <w:t xml:space="preserve"> aresztowano w maju 2024 r. w biurze tunezyjskiej Izby Adwokackiej, po tym, jak wystąpiła w programie telewizyjnym na kanale </w:t>
      </w:r>
      <w:proofErr w:type="spellStart"/>
      <w:r w:rsidRPr="00000AB1">
        <w:t>Carthage</w:t>
      </w:r>
      <w:proofErr w:type="spellEnd"/>
      <w:r w:rsidRPr="00000AB1">
        <w:t>+; mając na uwadze, że od czasu aresztowania wszczęto przeciwko niej pięć odrębnych postępowań sądowych i trzykrotnie ją skazano; mając na uwadze, że planowane są dalsze procesy i że może zostać skazana łącznie nawet na 24 lata;</w:t>
      </w:r>
    </w:p>
    <w:p w14:paraId="6404BFE9" w14:textId="77777777" w:rsidR="00EA07B4" w:rsidRPr="00000AB1" w:rsidRDefault="00EA07B4" w:rsidP="00EA07B4">
      <w:pPr>
        <w:pStyle w:val="NormalHanging12a"/>
      </w:pPr>
      <w:r w:rsidRPr="00000AB1">
        <w:t>B.</w:t>
      </w:r>
      <w:r w:rsidRPr="00000AB1">
        <w:tab/>
        <w:t xml:space="preserve">mając na uwadze, że Sonia </w:t>
      </w:r>
      <w:proofErr w:type="spellStart"/>
      <w:r w:rsidRPr="00000AB1">
        <w:t>Dahmani</w:t>
      </w:r>
      <w:proofErr w:type="spellEnd"/>
      <w:r w:rsidRPr="00000AB1">
        <w:t xml:space="preserve"> jest przetrzymywana w nieludzkich i poniżających warunkach, bez dostępu do opieki medycznej;</w:t>
      </w:r>
    </w:p>
    <w:p w14:paraId="25434049" w14:textId="77777777" w:rsidR="00EA07B4" w:rsidRPr="00000AB1" w:rsidRDefault="00EA07B4" w:rsidP="00EA07B4">
      <w:pPr>
        <w:pStyle w:val="NormalHanging12a"/>
      </w:pPr>
      <w:r w:rsidRPr="00000AB1">
        <w:t>C.</w:t>
      </w:r>
      <w:r w:rsidRPr="00000AB1">
        <w:tab/>
        <w:t xml:space="preserve">mając na uwadze, że jej siostra </w:t>
      </w:r>
      <w:proofErr w:type="spellStart"/>
      <w:r w:rsidRPr="00000AB1">
        <w:t>Ramla</w:t>
      </w:r>
      <w:proofErr w:type="spellEnd"/>
      <w:r w:rsidRPr="00000AB1">
        <w:t xml:space="preserve"> </w:t>
      </w:r>
      <w:proofErr w:type="spellStart"/>
      <w:r w:rsidRPr="00000AB1">
        <w:t>Dahmani</w:t>
      </w:r>
      <w:proofErr w:type="spellEnd"/>
      <w:r w:rsidRPr="00000AB1">
        <w:t xml:space="preserve"> została skazana zaocznie w lipcu 2025 r. pod zarzutem rozpowszechniania fałszywych informacji;</w:t>
      </w:r>
    </w:p>
    <w:p w14:paraId="200606EA" w14:textId="77777777" w:rsidR="00EA07B4" w:rsidRPr="00000AB1" w:rsidRDefault="00EA07B4" w:rsidP="00EA07B4">
      <w:pPr>
        <w:pStyle w:val="NormalHanging12a"/>
      </w:pPr>
      <w:r w:rsidRPr="00000AB1">
        <w:t>1.</w:t>
      </w:r>
      <w:r w:rsidRPr="00000AB1">
        <w:tab/>
        <w:t xml:space="preserve">potępia arbitralne zatrzymanie, nękanie sądowe i skazanie adwokatki i komentatorki mediów Sonii </w:t>
      </w:r>
      <w:proofErr w:type="spellStart"/>
      <w:r w:rsidRPr="00000AB1">
        <w:t>Dahmani</w:t>
      </w:r>
      <w:proofErr w:type="spellEnd"/>
      <w:r w:rsidRPr="00000AB1">
        <w:t>;</w:t>
      </w:r>
    </w:p>
    <w:p w14:paraId="2244030B" w14:textId="77777777" w:rsidR="00EA07B4" w:rsidRPr="00000AB1" w:rsidRDefault="00EA07B4" w:rsidP="00EA07B4">
      <w:pPr>
        <w:pStyle w:val="NormalHanging12a"/>
      </w:pPr>
      <w:r w:rsidRPr="00000AB1">
        <w:t>2.</w:t>
      </w:r>
      <w:r w:rsidRPr="00000AB1">
        <w:tab/>
        <w:t xml:space="preserve">domaga się natychmiastowego i bezwarunkowego uwolnienia Sonii </w:t>
      </w:r>
      <w:proofErr w:type="spellStart"/>
      <w:r w:rsidRPr="00000AB1">
        <w:t>Dahmani</w:t>
      </w:r>
      <w:proofErr w:type="spellEnd"/>
      <w:r w:rsidRPr="00000AB1">
        <w:t xml:space="preserve"> i wszystkich osób zatrzymanych za korzystanie z prawa do wolności wypowiedzi, w tym więźniów politycznych i obrońców praw człowieka; wzywa władze tunezyjskie, by </w:t>
      </w:r>
      <w:r w:rsidRPr="00000AB1">
        <w:lastRenderedPageBreak/>
        <w:t xml:space="preserve">wycofały wszystkie zarzuty wobec Soni </w:t>
      </w:r>
      <w:proofErr w:type="spellStart"/>
      <w:r w:rsidRPr="00000AB1">
        <w:t>Dahmani</w:t>
      </w:r>
      <w:proofErr w:type="spellEnd"/>
      <w:r w:rsidRPr="00000AB1">
        <w:t xml:space="preserve"> i jej siostry oraz by powstrzymały się od nękania ich rodziny;</w:t>
      </w:r>
    </w:p>
    <w:p w14:paraId="26359424" w14:textId="77777777" w:rsidR="00EA07B4" w:rsidRPr="00000AB1" w:rsidRDefault="00EA07B4" w:rsidP="00EA07B4">
      <w:pPr>
        <w:pStyle w:val="NormalHanging12a"/>
      </w:pPr>
      <w:r w:rsidRPr="00000AB1">
        <w:t>3.</w:t>
      </w:r>
      <w:r w:rsidRPr="00000AB1">
        <w:tab/>
      </w:r>
      <w:bookmarkStart w:id="6" w:name="_Hlk214916283"/>
      <w:r w:rsidRPr="00000AB1">
        <w:t xml:space="preserve">potępia warunki, w jakich przetrzymywana jest Sonia </w:t>
      </w:r>
      <w:proofErr w:type="spellStart"/>
      <w:r w:rsidRPr="00000AB1">
        <w:t>Dahmani</w:t>
      </w:r>
      <w:proofErr w:type="spellEnd"/>
      <w:r w:rsidRPr="00000AB1">
        <w:t>, w tym nieodpowiednią opiekę medyczną, ograniczoną komunikację z rodziną i doradcą prawnym oraz opóźnione rozprawy, a także liczne sprawy mające na celu przedłużenie jej zatrzymania</w:t>
      </w:r>
      <w:bookmarkEnd w:id="6"/>
      <w:r w:rsidRPr="00000AB1">
        <w:t>;</w:t>
      </w:r>
    </w:p>
    <w:p w14:paraId="7080E611" w14:textId="77777777" w:rsidR="00EA07B4" w:rsidRPr="00000AB1" w:rsidRDefault="00EA07B4" w:rsidP="00EA07B4">
      <w:pPr>
        <w:pStyle w:val="NormalHanging12a"/>
      </w:pPr>
      <w:r w:rsidRPr="00000AB1">
        <w:t>4.</w:t>
      </w:r>
      <w:r w:rsidRPr="00000AB1">
        <w:tab/>
        <w:t>nalega, aby władze tunezyjskie chroniły wolność zgromadzeń i wypowiedzi, gwarantowały niezależność sądownictwa, zapobiegały ingerencji władzy wykonawczej w funkcje sądownicze oraz szanowały prawa i wolności zagwarantowane w tunezyjskiej konstytucji; potępia eskalację arbitralnych zatrzymań, prześladowań umotywowanych politycznie i ograniczania wolności;</w:t>
      </w:r>
    </w:p>
    <w:p w14:paraId="1C0714D6" w14:textId="77777777" w:rsidR="00EA07B4" w:rsidRPr="00000AB1" w:rsidRDefault="00EA07B4" w:rsidP="00EA07B4">
      <w:pPr>
        <w:pStyle w:val="NormalHanging12a"/>
      </w:pPr>
      <w:r w:rsidRPr="00000AB1">
        <w:t>5.</w:t>
      </w:r>
      <w:r w:rsidRPr="00000AB1">
        <w:tab/>
        <w:t>apeluje o całkowite uchylenie dekretu z mocą ustawy nr 54, który doprowadził do ścigania karnego za wyrażanie opinii, oraz wszystkich przepisów autorytarnych wykorzystywanych do ograniczania wolności;</w:t>
      </w:r>
    </w:p>
    <w:p w14:paraId="56B7168E" w14:textId="77777777" w:rsidR="00EA07B4" w:rsidRPr="00000AB1" w:rsidRDefault="00EA07B4" w:rsidP="00EA07B4">
      <w:pPr>
        <w:pStyle w:val="NormalHanging12a"/>
      </w:pPr>
      <w:r w:rsidRPr="00000AB1">
        <w:t>6.</w:t>
      </w:r>
      <w:r w:rsidRPr="00000AB1">
        <w:tab/>
        <w:t>wzywa instytucje UE do wyrażenia głębokiego zaniepokojenia pogorszeniem się sytuacji w zakresie praw człowieka w Tunezji oraz do prowadzenia skoordynowanych działań dyplomatycznych, aby ułatwić uwolnienie więźniów politycznych;</w:t>
      </w:r>
    </w:p>
    <w:p w14:paraId="48E923FF" w14:textId="77777777" w:rsidR="00EA07B4" w:rsidRPr="00000AB1" w:rsidRDefault="00EA07B4" w:rsidP="00EA07B4">
      <w:pPr>
        <w:pStyle w:val="NormalHanging12a"/>
      </w:pPr>
      <w:r w:rsidRPr="00000AB1">
        <w:t>7.</w:t>
      </w:r>
      <w:r w:rsidRPr="00000AB1">
        <w:tab/>
        <w:t>wzywa władze tunezyjskie, by wywiązały się ze swoich zobowiązań wynikających z prawa międzynarodowego praw człowieka i układu o stowarzyszeniu UE–Tunezja; odnotowuje niedawne przełożenie posiedzenia Rady Stowarzyszenia UE–Tunezja i zwraca się do Komisji o dopilnowanie, by sytuacja w zakresie praw człowieka była zawsze centralnym elementem dialogu politycznego, pomocy finansowej, współpracy w dziedzinie bezpieczeństwa i umów z Tunezją;</w:t>
      </w:r>
    </w:p>
    <w:p w14:paraId="3316C262" w14:textId="77777777" w:rsidR="00EA07B4" w:rsidRPr="00000AB1" w:rsidRDefault="00EA07B4" w:rsidP="00EA07B4">
      <w:pPr>
        <w:pStyle w:val="NormalHanging12a"/>
      </w:pPr>
      <w:r w:rsidRPr="00000AB1">
        <w:t>8.</w:t>
      </w:r>
      <w:r w:rsidRPr="00000AB1">
        <w:tab/>
        <w:t>wyraża niezachwianą solidarność z tunezyjskimi obrońcami praw człowieka, społeczeństwem obywatelskim, niezależnymi mediami i dziennikarzami oraz stowarzyszeniami prawniczymi; wzywa Komisję do zareagowania na decyzję rządu tunezyjskiego o zablokowaniu rachunków bankowych organizacji społeczeństwa obywatelskiego; podkreśla kluczową rolę, jaką przedstawiciele zawodów prawniczych odgrywają w ochronie praworządności i integralności systemu sądowego;</w:t>
      </w:r>
    </w:p>
    <w:p w14:paraId="0B2BEDCA" w14:textId="77777777" w:rsidR="00EA07B4" w:rsidRPr="00000AB1" w:rsidRDefault="00EA07B4" w:rsidP="00EA07B4">
      <w:pPr>
        <w:pStyle w:val="NormalHanging12a"/>
      </w:pPr>
      <w:r w:rsidRPr="00000AB1">
        <w:t>9.</w:t>
      </w:r>
      <w:r w:rsidRPr="00000AB1">
        <w:tab/>
        <w:t>zachęca Tunezję, by stawiła czoła licznym wyzwaniom w całym regionie, stając w obronie praw człowieka i demokracji;</w:t>
      </w:r>
    </w:p>
    <w:p w14:paraId="2F4E1D19" w14:textId="10289A44" w:rsidR="00000AB1" w:rsidRPr="00000AB1" w:rsidRDefault="00EA07B4" w:rsidP="00000AB1">
      <w:pPr>
        <w:pStyle w:val="NormalHanging12a"/>
      </w:pPr>
      <w:r w:rsidRPr="00000AB1">
        <w:t>10.</w:t>
      </w:r>
      <w:r w:rsidRPr="00000AB1">
        <w:tab/>
        <w:t>zobowiązuje swoją przewodniczącą do przekazania niniejszej rezolucji Radzie, Komisji, wiceprzewodniczącej Komisji / wysokiej przedstawicielce Unii do spraw zagranicznych i polityki bezpieczeństwa, rządom i parlamentom państw członkowskich oraz władzom Tunezji.</w:t>
      </w:r>
    </w:p>
    <w:p w14:paraId="5B03C001" w14:textId="17745FB3" w:rsidR="00E365E1" w:rsidRPr="00000AB1" w:rsidRDefault="00E365E1" w:rsidP="009867DE"/>
    <w:sectPr w:rsidR="00E365E1" w:rsidRPr="00000AB1" w:rsidSect="00000A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3E22" w14:textId="77777777" w:rsidR="009867DE" w:rsidRPr="00000AB1" w:rsidRDefault="009867DE">
      <w:r w:rsidRPr="00000AB1">
        <w:separator/>
      </w:r>
    </w:p>
  </w:endnote>
  <w:endnote w:type="continuationSeparator" w:id="0">
    <w:p w14:paraId="075F0705" w14:textId="77777777" w:rsidR="009867DE" w:rsidRPr="00000AB1" w:rsidRDefault="009867DE">
      <w:r w:rsidRPr="00000A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A79AC" w14:textId="77777777" w:rsidR="00064002" w:rsidRPr="00000A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237D" w14:textId="77777777" w:rsidR="00064002" w:rsidRPr="00000A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79B2" w14:textId="77777777" w:rsidR="00064002" w:rsidRPr="00000A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A93C2" w14:textId="77777777" w:rsidR="009867DE" w:rsidRPr="00000AB1" w:rsidRDefault="009867DE">
      <w:r w:rsidRPr="00000AB1">
        <w:separator/>
      </w:r>
    </w:p>
  </w:footnote>
  <w:footnote w:type="continuationSeparator" w:id="0">
    <w:p w14:paraId="17A00B8C" w14:textId="77777777" w:rsidR="009867DE" w:rsidRPr="00000AB1" w:rsidRDefault="009867DE">
      <w:r w:rsidRPr="00000A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7836" w14:textId="77777777" w:rsidR="00064002" w:rsidRPr="00000A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5814" w14:textId="77777777" w:rsidR="00064002" w:rsidRPr="00000A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758D6" w14:textId="77777777" w:rsidR="00064002" w:rsidRPr="00000A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4483627">
    <w:abstractNumId w:val="9"/>
  </w:num>
  <w:num w:numId="2" w16cid:durableId="586959667">
    <w:abstractNumId w:val="9"/>
  </w:num>
  <w:num w:numId="3" w16cid:durableId="101656419">
    <w:abstractNumId w:val="7"/>
  </w:num>
  <w:num w:numId="4" w16cid:durableId="1485781090">
    <w:abstractNumId w:val="7"/>
  </w:num>
  <w:num w:numId="5" w16cid:durableId="2101175327">
    <w:abstractNumId w:val="6"/>
  </w:num>
  <w:num w:numId="6" w16cid:durableId="561447135">
    <w:abstractNumId w:val="6"/>
  </w:num>
  <w:num w:numId="7" w16cid:durableId="276840161">
    <w:abstractNumId w:val="5"/>
  </w:num>
  <w:num w:numId="8" w16cid:durableId="516620934">
    <w:abstractNumId w:val="5"/>
  </w:num>
  <w:num w:numId="9" w16cid:durableId="2107455510">
    <w:abstractNumId w:val="4"/>
  </w:num>
  <w:num w:numId="10" w16cid:durableId="249047293">
    <w:abstractNumId w:val="4"/>
  </w:num>
  <w:num w:numId="11" w16cid:durableId="1855800243">
    <w:abstractNumId w:val="8"/>
  </w:num>
  <w:num w:numId="12" w16cid:durableId="474952966">
    <w:abstractNumId w:val="8"/>
  </w:num>
  <w:num w:numId="13" w16cid:durableId="972904618">
    <w:abstractNumId w:val="3"/>
  </w:num>
  <w:num w:numId="14" w16cid:durableId="198855481">
    <w:abstractNumId w:val="3"/>
  </w:num>
  <w:num w:numId="15" w16cid:durableId="50421609">
    <w:abstractNumId w:val="2"/>
  </w:num>
  <w:num w:numId="16" w16cid:durableId="1709377762">
    <w:abstractNumId w:val="2"/>
  </w:num>
  <w:num w:numId="17" w16cid:durableId="1520390813">
    <w:abstractNumId w:val="1"/>
  </w:num>
  <w:num w:numId="18" w16cid:durableId="856430427">
    <w:abstractNumId w:val="1"/>
  </w:num>
  <w:num w:numId="19" w16cid:durableId="937296159">
    <w:abstractNumId w:val="0"/>
  </w:num>
  <w:num w:numId="20" w16cid:durableId="50082479">
    <w:abstractNumId w:val="0"/>
  </w:num>
  <w:num w:numId="21" w16cid:durableId="1707563216">
    <w:abstractNumId w:val="9"/>
  </w:num>
  <w:num w:numId="22" w16cid:durableId="1622152757">
    <w:abstractNumId w:val="7"/>
  </w:num>
  <w:num w:numId="23" w16cid:durableId="39719375">
    <w:abstractNumId w:val="6"/>
  </w:num>
  <w:num w:numId="24" w16cid:durableId="450393361">
    <w:abstractNumId w:val="5"/>
  </w:num>
  <w:num w:numId="25" w16cid:durableId="809178563">
    <w:abstractNumId w:val="4"/>
  </w:num>
  <w:num w:numId="26" w16cid:durableId="1621760439">
    <w:abstractNumId w:val="8"/>
  </w:num>
  <w:num w:numId="27" w16cid:durableId="56784607">
    <w:abstractNumId w:val="3"/>
  </w:num>
  <w:num w:numId="28" w16cid:durableId="1191797681">
    <w:abstractNumId w:val="2"/>
  </w:num>
  <w:num w:numId="29" w16cid:durableId="948511462">
    <w:abstractNumId w:val="1"/>
  </w:num>
  <w:num w:numId="30" w16cid:durableId="810634697">
    <w:abstractNumId w:val="0"/>
  </w:num>
  <w:num w:numId="31" w16cid:durableId="88235028">
    <w:abstractNumId w:val="9"/>
  </w:num>
  <w:num w:numId="32" w16cid:durableId="715933368">
    <w:abstractNumId w:val="7"/>
  </w:num>
  <w:num w:numId="33" w16cid:durableId="1094471374">
    <w:abstractNumId w:val="6"/>
  </w:num>
  <w:num w:numId="34" w16cid:durableId="91240912">
    <w:abstractNumId w:val="5"/>
  </w:num>
  <w:num w:numId="35" w16cid:durableId="1367679537">
    <w:abstractNumId w:val="4"/>
  </w:num>
  <w:num w:numId="36" w16cid:durableId="509490847">
    <w:abstractNumId w:val="8"/>
  </w:num>
  <w:num w:numId="37" w16cid:durableId="376661810">
    <w:abstractNumId w:val="3"/>
  </w:num>
  <w:num w:numId="38" w16cid:durableId="128397079">
    <w:abstractNumId w:val="2"/>
  </w:num>
  <w:num w:numId="39" w16cid:durableId="1817182774">
    <w:abstractNumId w:val="1"/>
  </w:num>
  <w:num w:numId="40" w16cid:durableId="1875578999">
    <w:abstractNumId w:val="0"/>
  </w:num>
  <w:num w:numId="41" w16cid:durableId="1986352915">
    <w:abstractNumId w:val="10"/>
  </w:num>
  <w:num w:numId="42" w16cid:durableId="229585270">
    <w:abstractNumId w:val="10"/>
  </w:num>
  <w:num w:numId="43" w16cid:durableId="32850029">
    <w:abstractNumId w:val="10"/>
  </w:num>
  <w:num w:numId="44" w16cid:durableId="12351181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/2025"/>
    <w:docVar w:name="dvlangue" w:val="PL"/>
    <w:docVar w:name="dvnumam" w:val="0"/>
    <w:docVar w:name="dvpe" w:val="778.991"/>
    <w:docVar w:name="dvtitre" w:val="Rezolucja Parlamentu Europejskiego z dnia  2025 r. w sprawie praworządności i sytuacji w zakresie praw człowieka w Tunezji, w szczególności przypadku Sonii Dahmani(2025/2988(RSP))"/>
  </w:docVars>
  <w:rsids>
    <w:rsidRoot w:val="009867DE"/>
    <w:rsid w:val="00000AB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ADE"/>
    <w:rsid w:val="001F32AE"/>
    <w:rsid w:val="002622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481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7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7B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55F1E"/>
  <w15:chartTrackingRefBased/>
  <w15:docId w15:val="{B1150F80-050B-4BA8-96C5-68333428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A07B4"/>
    <w:pPr>
      <w:spacing w:after="240"/>
      <w:ind w:left="567" w:hanging="567"/>
    </w:pPr>
  </w:style>
  <w:style w:type="paragraph" w:customStyle="1" w:styleId="EPComma">
    <w:name w:val="EPComma"/>
    <w:basedOn w:val="Normal"/>
    <w:rsid w:val="00EA07B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A07B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2025-11-27T11:36:00Z</dcterms:created>
  <dcterms:modified xsi:type="dcterms:W3CDTF">2025-11-27T11:36:00Z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B10-0518/2025</vt:lpwstr>
  </property>
  <property fmtid="{D5CDD505-2E9C-101B-9397-08002B2CF9AE}" pid="4" name="&lt;Type&gt;">
    <vt:lpwstr>RR</vt:lpwstr>
  </property>
</Properties>
</file>