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601C" w14:paraId="49ACF3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B8F7D9" w14:textId="77777777" w:rsidR="00751A4A" w:rsidRPr="0089601C" w:rsidRDefault="00625D05" w:rsidP="0010095E">
            <w:pPr>
              <w:pStyle w:val="EPName"/>
            </w:pPr>
            <w:r w:rsidRPr="0089601C">
              <w:t xml:space="preserve">Parlamento </w:t>
            </w:r>
            <w:proofErr w:type="gramStart"/>
            <w:r w:rsidRPr="0089601C">
              <w:t>Europeu</w:t>
            </w:r>
            <w:proofErr w:type="gramEnd"/>
          </w:p>
          <w:p w14:paraId="5208FFA2" w14:textId="77777777" w:rsidR="00751A4A" w:rsidRPr="008960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601C">
              <w:t>2024</w:t>
            </w:r>
            <w:r w:rsidR="00817416" w:rsidRPr="0089601C">
              <w:t>-202</w:t>
            </w:r>
            <w:r w:rsidRPr="0089601C">
              <w:t>9</w:t>
            </w:r>
          </w:p>
        </w:tc>
        <w:tc>
          <w:tcPr>
            <w:tcW w:w="2268" w:type="dxa"/>
            <w:shd w:val="clear" w:color="auto" w:fill="auto"/>
          </w:tcPr>
          <w:p w14:paraId="3E43CA19" w14:textId="77777777" w:rsidR="00751A4A" w:rsidRPr="0089601C" w:rsidRDefault="00187494" w:rsidP="0010095E">
            <w:pPr>
              <w:pStyle w:val="EPLogo"/>
            </w:pPr>
            <w:r w:rsidRPr="0089601C">
              <w:rPr>
                <w:noProof/>
                <w:lang w:eastAsia="ja-JP"/>
              </w:rPr>
              <w:drawing>
                <wp:inline distT="0" distB="0" distL="0" distR="0" wp14:anchorId="4B7DD2CA" wp14:editId="350C63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17AD70" w14:textId="77777777" w:rsidR="00D058B8" w:rsidRPr="0089601C" w:rsidRDefault="00D058B8" w:rsidP="004C5D52">
      <w:pPr>
        <w:pStyle w:val="LineTop"/>
      </w:pPr>
    </w:p>
    <w:p w14:paraId="26655457" w14:textId="77777777" w:rsidR="00680577" w:rsidRPr="0089601C" w:rsidRDefault="00625D05" w:rsidP="00680577">
      <w:pPr>
        <w:pStyle w:val="EPBodyTA1"/>
      </w:pPr>
      <w:r w:rsidRPr="0089601C">
        <w:t>TEXTOS APROVADOS</w:t>
      </w:r>
    </w:p>
    <w:p w14:paraId="18615F5B" w14:textId="77777777" w:rsidR="00D058B8" w:rsidRPr="0089601C" w:rsidRDefault="00D058B8" w:rsidP="00D058B8">
      <w:pPr>
        <w:pStyle w:val="LineBottom"/>
      </w:pPr>
    </w:p>
    <w:p w14:paraId="6A93E00D" w14:textId="708440DE" w:rsidR="00625D05" w:rsidRPr="0089601C" w:rsidRDefault="00625D05" w:rsidP="00625D05">
      <w:pPr>
        <w:pStyle w:val="ATHeading1"/>
      </w:pPr>
      <w:bookmarkStart w:id="0" w:name="TANumber"/>
      <w:r w:rsidRPr="0089601C">
        <w:t>P10_</w:t>
      </w:r>
      <w:proofErr w:type="gramStart"/>
      <w:r w:rsidRPr="0089601C">
        <w:t>TA(</w:t>
      </w:r>
      <w:proofErr w:type="gramEnd"/>
      <w:r w:rsidRPr="0089601C">
        <w:t>2025)</w:t>
      </w:r>
      <w:bookmarkEnd w:id="0"/>
      <w:r w:rsidR="002462E0" w:rsidRPr="0089601C">
        <w:t>0304</w:t>
      </w:r>
    </w:p>
    <w:p w14:paraId="46074331" w14:textId="77777777" w:rsidR="00625D05" w:rsidRPr="0089601C" w:rsidRDefault="00625D05" w:rsidP="00625D05">
      <w:pPr>
        <w:pStyle w:val="ATHeading2"/>
      </w:pPr>
      <w:bookmarkStart w:id="1" w:name="title"/>
      <w:r w:rsidRPr="0089601C">
        <w:t xml:space="preserve">O Estado de direito e a situação dos direitos humanos na Tunísia, especificamente o caso de </w:t>
      </w:r>
      <w:proofErr w:type="spellStart"/>
      <w:r w:rsidRPr="0089601C">
        <w:t>Sonia</w:t>
      </w:r>
      <w:proofErr w:type="spellEnd"/>
      <w:r w:rsidRPr="0089601C">
        <w:t xml:space="preserve"> </w:t>
      </w:r>
      <w:proofErr w:type="spellStart"/>
      <w:r w:rsidRPr="0089601C">
        <w:t>Dahmani</w:t>
      </w:r>
      <w:bookmarkEnd w:id="1"/>
      <w:proofErr w:type="spellEnd"/>
    </w:p>
    <w:p w14:paraId="1FA97AEE" w14:textId="77777777" w:rsidR="00625D05" w:rsidRPr="0089601C" w:rsidRDefault="00625D05" w:rsidP="00625D05">
      <w:pPr>
        <w:rPr>
          <w:i/>
          <w:vanish/>
        </w:rPr>
      </w:pPr>
      <w:r w:rsidRPr="0089601C">
        <w:rPr>
          <w:i/>
        </w:rPr>
        <w:fldChar w:fldCharType="begin"/>
      </w:r>
      <w:r w:rsidRPr="0089601C">
        <w:rPr>
          <w:i/>
        </w:rPr>
        <w:instrText xml:space="preserve"> TC"(</w:instrText>
      </w:r>
      <w:bookmarkStart w:id="2" w:name="DocNumber"/>
      <w:r w:rsidRPr="0089601C">
        <w:rPr>
          <w:i/>
        </w:rPr>
        <w:instrText>B10-0518, 0520, 0525, 0532 e 0538/2025</w:instrText>
      </w:r>
      <w:bookmarkEnd w:id="2"/>
      <w:r w:rsidRPr="0089601C">
        <w:rPr>
          <w:i/>
        </w:rPr>
        <w:instrText xml:space="preserve">)"\l3 \n&gt; \* MERGEFORMAT </w:instrText>
      </w:r>
      <w:r w:rsidRPr="0089601C">
        <w:rPr>
          <w:i/>
        </w:rPr>
        <w:fldChar w:fldCharType="end"/>
      </w:r>
    </w:p>
    <w:p w14:paraId="43DDC4EB" w14:textId="77777777" w:rsidR="00625D05" w:rsidRPr="0089601C" w:rsidRDefault="00625D05" w:rsidP="00625D05">
      <w:pPr>
        <w:rPr>
          <w:vanish/>
        </w:rPr>
      </w:pPr>
      <w:bookmarkStart w:id="3" w:name="PE"/>
      <w:r w:rsidRPr="0089601C">
        <w:rPr>
          <w:vanish/>
        </w:rPr>
        <w:t>PE778.991</w:t>
      </w:r>
      <w:bookmarkEnd w:id="3"/>
    </w:p>
    <w:p w14:paraId="5ADBB1B2" w14:textId="10114039" w:rsidR="00625D05" w:rsidRPr="0089601C" w:rsidRDefault="00625D05" w:rsidP="00625D05">
      <w:pPr>
        <w:pStyle w:val="ATHeading3"/>
      </w:pPr>
      <w:bookmarkStart w:id="4" w:name="Sujet"/>
      <w:r w:rsidRPr="0089601C">
        <w:t xml:space="preserve">Resolução do Parlamento Europeu, de </w:t>
      </w:r>
      <w:r w:rsidR="002462E0" w:rsidRPr="0089601C">
        <w:t xml:space="preserve">27 </w:t>
      </w:r>
      <w:r w:rsidRPr="0089601C">
        <w:t xml:space="preserve">de </w:t>
      </w:r>
      <w:r w:rsidR="002462E0" w:rsidRPr="0089601C">
        <w:t xml:space="preserve">novembro </w:t>
      </w:r>
      <w:r w:rsidRPr="0089601C">
        <w:t xml:space="preserve">de 2025, sobre o Estado de direito e a situação dos direitos humanos na Tunísia, especificamente o caso de </w:t>
      </w:r>
      <w:proofErr w:type="spellStart"/>
      <w:r w:rsidRPr="0089601C">
        <w:t>Sonia</w:t>
      </w:r>
      <w:proofErr w:type="spellEnd"/>
      <w:r w:rsidRPr="0089601C">
        <w:t xml:space="preserve"> </w:t>
      </w:r>
      <w:proofErr w:type="spellStart"/>
      <w:r w:rsidRPr="0089601C">
        <w:t>Dahmani</w:t>
      </w:r>
      <w:bookmarkEnd w:id="4"/>
      <w:proofErr w:type="spellEnd"/>
      <w:r w:rsidRPr="0089601C">
        <w:t xml:space="preserve"> </w:t>
      </w:r>
      <w:bookmarkStart w:id="5" w:name="References"/>
      <w:r w:rsidRPr="0089601C">
        <w:t>(2025/2988(RSP))</w:t>
      </w:r>
      <w:bookmarkEnd w:id="5"/>
    </w:p>
    <w:p w14:paraId="09DE2E6C" w14:textId="77777777" w:rsidR="004E3818" w:rsidRPr="0089601C" w:rsidRDefault="004E3818" w:rsidP="004E3818">
      <w:pPr>
        <w:pStyle w:val="EPComma"/>
      </w:pPr>
      <w:bookmarkStart w:id="6" w:name="TextBodyBegin"/>
      <w:bookmarkEnd w:id="6"/>
      <w:r w:rsidRPr="0089601C">
        <w:rPr>
          <w:i/>
          <w:iCs/>
        </w:rPr>
        <w:t>O Parlamento Europeu</w:t>
      </w:r>
      <w:r w:rsidRPr="0089601C">
        <w:t>,</w:t>
      </w:r>
    </w:p>
    <w:p w14:paraId="2BA7A287" w14:textId="77777777" w:rsidR="004E3818" w:rsidRPr="0089601C" w:rsidRDefault="004E3818" w:rsidP="004E3818">
      <w:pPr>
        <w:pStyle w:val="NormalHanging12a"/>
        <w:rPr>
          <w:rFonts w:eastAsiaTheme="minorEastAsia"/>
        </w:rPr>
      </w:pPr>
      <w:r w:rsidRPr="0089601C">
        <w:t>–</w:t>
      </w:r>
      <w:r w:rsidRPr="0089601C">
        <w:tab/>
        <w:t>Tendo em conta as suas anteriores resoluções sobre a Tunísia,</w:t>
      </w:r>
    </w:p>
    <w:p w14:paraId="5912DED9" w14:textId="77777777" w:rsidR="004E3818" w:rsidRPr="0089601C" w:rsidRDefault="004E3818" w:rsidP="004E3818">
      <w:pPr>
        <w:pStyle w:val="NormalHanging12a"/>
        <w:rPr>
          <w:rFonts w:eastAsiaTheme="minorEastAsia"/>
        </w:rPr>
      </w:pPr>
      <w:r w:rsidRPr="0089601C">
        <w:t>–</w:t>
      </w:r>
      <w:r w:rsidRPr="0089601C">
        <w:tab/>
        <w:t>Tendo em conta o Acordo de Associação UE</w:t>
      </w:r>
      <w:r w:rsidRPr="0089601C">
        <w:noBreakHyphen/>
        <w:t>Tunísia,</w:t>
      </w:r>
    </w:p>
    <w:p w14:paraId="43FC0173" w14:textId="77777777" w:rsidR="004E3818" w:rsidRPr="0089601C" w:rsidRDefault="004E3818" w:rsidP="004E3818">
      <w:pPr>
        <w:pStyle w:val="NormalHanging12a"/>
        <w:rPr>
          <w:rFonts w:eastAsiaTheme="minorEastAsia"/>
        </w:rPr>
      </w:pPr>
      <w:r w:rsidRPr="0089601C">
        <w:t>–</w:t>
      </w:r>
      <w:r w:rsidRPr="0089601C">
        <w:tab/>
        <w:t>Tendo em conta o Memorando de Entendimento UE</w:t>
      </w:r>
      <w:r w:rsidRPr="0089601C">
        <w:noBreakHyphen/>
        <w:t>Tunísia,</w:t>
      </w:r>
    </w:p>
    <w:p w14:paraId="35D071B8" w14:textId="77777777" w:rsidR="004E3818" w:rsidRPr="0089601C" w:rsidRDefault="004E3818" w:rsidP="004E3818">
      <w:pPr>
        <w:pStyle w:val="NormalHanging12a"/>
      </w:pPr>
      <w:r w:rsidRPr="0089601C">
        <w:t>–</w:t>
      </w:r>
      <w:r w:rsidRPr="0089601C">
        <w:tab/>
        <w:t>Tendo em conta o artigo 150.º, n.º 5, e o artigo 136.º, n.º 4, do seu Regimento,</w:t>
      </w:r>
    </w:p>
    <w:p w14:paraId="18A76AA0" w14:textId="09127B30" w:rsidR="004E3818" w:rsidRPr="0089601C" w:rsidRDefault="004E3818" w:rsidP="004E3818">
      <w:pPr>
        <w:pStyle w:val="NormalHanging12a"/>
      </w:pPr>
      <w:r w:rsidRPr="0089601C">
        <w:t>A.</w:t>
      </w:r>
      <w:r w:rsidRPr="0089601C">
        <w:tab/>
        <w:t xml:space="preserve">Considerando que a advogada e jornalista </w:t>
      </w:r>
      <w:proofErr w:type="spellStart"/>
      <w:r w:rsidRPr="0089601C">
        <w:t>Sonia</w:t>
      </w:r>
      <w:proofErr w:type="spellEnd"/>
      <w:r w:rsidRPr="0089601C">
        <w:t xml:space="preserve"> </w:t>
      </w:r>
      <w:proofErr w:type="spellStart"/>
      <w:r w:rsidRPr="0089601C">
        <w:t>Dahmani</w:t>
      </w:r>
      <w:proofErr w:type="spellEnd"/>
      <w:r w:rsidRPr="0089601C">
        <w:t xml:space="preserve"> foi detida em maio de 2024 nas instalações da Ordem dos Advogados tunisina, na sequência da sua intervenção no canal de televisão </w:t>
      </w:r>
      <w:proofErr w:type="spellStart"/>
      <w:r w:rsidRPr="0089601C">
        <w:t>Carthage</w:t>
      </w:r>
      <w:proofErr w:type="spellEnd"/>
      <w:r w:rsidRPr="0089601C">
        <w:t xml:space="preserve"> +</w:t>
      </w:r>
      <w:r w:rsidR="00C657BF" w:rsidRPr="0089601C">
        <w:t>; considerando que</w:t>
      </w:r>
      <w:r w:rsidRPr="0089601C">
        <w:t>, desde a sua detenção, foi alvo de cinco processos judiciais distintos e foi condenada três vezes</w:t>
      </w:r>
      <w:r w:rsidR="00C657BF" w:rsidRPr="0089601C">
        <w:t>; considerando que</w:t>
      </w:r>
      <w:r w:rsidRPr="0089601C">
        <w:t xml:space="preserve"> estão previstos novos julgamentos e que, no total, a sua pena pode atingir 24 anos;</w:t>
      </w:r>
    </w:p>
    <w:p w14:paraId="69B23A3D" w14:textId="77777777" w:rsidR="004E3818" w:rsidRPr="0089601C" w:rsidRDefault="004E3818" w:rsidP="004E3818">
      <w:pPr>
        <w:pStyle w:val="NormalHanging12a"/>
      </w:pPr>
      <w:r w:rsidRPr="0089601C">
        <w:t>B.</w:t>
      </w:r>
      <w:r w:rsidRPr="0089601C">
        <w:tab/>
        <w:t xml:space="preserve">Considerando que </w:t>
      </w:r>
      <w:proofErr w:type="spellStart"/>
      <w:r w:rsidRPr="0089601C">
        <w:t>Sonia</w:t>
      </w:r>
      <w:proofErr w:type="spellEnd"/>
      <w:r w:rsidRPr="0089601C">
        <w:t xml:space="preserve"> </w:t>
      </w:r>
      <w:proofErr w:type="spellStart"/>
      <w:r w:rsidRPr="0089601C">
        <w:t>Dahmani</w:t>
      </w:r>
      <w:proofErr w:type="spellEnd"/>
      <w:r w:rsidRPr="0089601C">
        <w:t xml:space="preserve"> está sujeita a condições de detenção desumanas e degradantes, sem acesso a cuidados médicos;</w:t>
      </w:r>
    </w:p>
    <w:p w14:paraId="75712640" w14:textId="77777777" w:rsidR="004E3818" w:rsidRPr="0089601C" w:rsidRDefault="004E3818" w:rsidP="004E3818">
      <w:pPr>
        <w:pStyle w:val="NormalHanging12a"/>
      </w:pPr>
      <w:r w:rsidRPr="0089601C">
        <w:t>C.</w:t>
      </w:r>
      <w:r w:rsidRPr="0089601C">
        <w:tab/>
        <w:t xml:space="preserve">Considerando que a sua irmã </w:t>
      </w:r>
      <w:proofErr w:type="spellStart"/>
      <w:r w:rsidRPr="0089601C">
        <w:t>Ramla</w:t>
      </w:r>
      <w:proofErr w:type="spellEnd"/>
      <w:r w:rsidRPr="0089601C">
        <w:t xml:space="preserve"> </w:t>
      </w:r>
      <w:proofErr w:type="spellStart"/>
      <w:r w:rsidRPr="0089601C">
        <w:t>Dahmani</w:t>
      </w:r>
      <w:proofErr w:type="spellEnd"/>
      <w:r w:rsidRPr="0089601C">
        <w:t xml:space="preserve"> foi condenada à revelia em julho de 2025, acusada de divulgar notícias falsas;</w:t>
      </w:r>
    </w:p>
    <w:p w14:paraId="10D55B44" w14:textId="77777777" w:rsidR="004E3818" w:rsidRPr="0089601C" w:rsidRDefault="004E3818" w:rsidP="004E3818">
      <w:pPr>
        <w:pStyle w:val="NormalHanging12a"/>
      </w:pPr>
      <w:r w:rsidRPr="0089601C">
        <w:t>1.</w:t>
      </w:r>
      <w:r w:rsidRPr="0089601C">
        <w:tab/>
        <w:t xml:space="preserve">Condena a detenção arbitrária, o assédio judicial e a condenação de </w:t>
      </w:r>
      <w:proofErr w:type="spellStart"/>
      <w:r w:rsidRPr="0089601C">
        <w:t>Sonia</w:t>
      </w:r>
      <w:proofErr w:type="spellEnd"/>
      <w:r w:rsidRPr="0089601C">
        <w:t xml:space="preserve"> </w:t>
      </w:r>
      <w:proofErr w:type="spellStart"/>
      <w:r w:rsidRPr="0089601C">
        <w:t>Dahmani</w:t>
      </w:r>
      <w:proofErr w:type="spellEnd"/>
      <w:r w:rsidRPr="0089601C">
        <w:t>, advogada e comentadora na comunicação social;</w:t>
      </w:r>
    </w:p>
    <w:p w14:paraId="641AF679" w14:textId="77777777" w:rsidR="004E3818" w:rsidRPr="0089601C" w:rsidRDefault="004E3818" w:rsidP="004E3818">
      <w:pPr>
        <w:pStyle w:val="NormalHanging12a"/>
      </w:pPr>
      <w:r w:rsidRPr="0089601C">
        <w:t>2.</w:t>
      </w:r>
      <w:r w:rsidRPr="0089601C">
        <w:tab/>
        <w:t xml:space="preserve">Exige a libertação imediata e incondicional de </w:t>
      </w:r>
      <w:proofErr w:type="spellStart"/>
      <w:r w:rsidRPr="0089601C">
        <w:t>Sonia</w:t>
      </w:r>
      <w:proofErr w:type="spellEnd"/>
      <w:r w:rsidRPr="0089601C">
        <w:t xml:space="preserve"> </w:t>
      </w:r>
      <w:proofErr w:type="spellStart"/>
      <w:r w:rsidRPr="0089601C">
        <w:t>Dahmani</w:t>
      </w:r>
      <w:proofErr w:type="spellEnd"/>
      <w:r w:rsidRPr="0089601C">
        <w:t xml:space="preserve"> e de todas as pessoas detidas por exercerem o seu direito à liberdade de expressão, incluindo os presos políticos e os defensores dos direitos humanos; insta as autoridades tunisinas a retirarem todas as acusações contra </w:t>
      </w:r>
      <w:proofErr w:type="spellStart"/>
      <w:r w:rsidRPr="0089601C">
        <w:t>Sonia</w:t>
      </w:r>
      <w:proofErr w:type="spellEnd"/>
      <w:r w:rsidRPr="0089601C">
        <w:t xml:space="preserve"> </w:t>
      </w:r>
      <w:proofErr w:type="spellStart"/>
      <w:r w:rsidRPr="0089601C">
        <w:t>Dahmani</w:t>
      </w:r>
      <w:proofErr w:type="spellEnd"/>
      <w:r w:rsidRPr="0089601C">
        <w:t xml:space="preserve"> e contra a sua irmã e a absterem</w:t>
      </w:r>
      <w:r w:rsidRPr="0089601C">
        <w:noBreakHyphen/>
        <w:t>se de assediar a sua família;</w:t>
      </w:r>
    </w:p>
    <w:p w14:paraId="796E77B0" w14:textId="77777777" w:rsidR="004E3818" w:rsidRPr="0089601C" w:rsidRDefault="004E3818" w:rsidP="004E3818">
      <w:pPr>
        <w:pStyle w:val="NormalHanging12a"/>
      </w:pPr>
      <w:r w:rsidRPr="0089601C">
        <w:lastRenderedPageBreak/>
        <w:t>3.</w:t>
      </w:r>
      <w:r w:rsidRPr="0089601C">
        <w:tab/>
      </w:r>
      <w:bookmarkStart w:id="7" w:name="_Hlk214916283"/>
      <w:r w:rsidRPr="0089601C">
        <w:t xml:space="preserve">Denuncia as condições em que </w:t>
      </w:r>
      <w:proofErr w:type="spellStart"/>
      <w:r w:rsidRPr="0089601C">
        <w:t>Sonia</w:t>
      </w:r>
      <w:proofErr w:type="spellEnd"/>
      <w:r w:rsidRPr="0089601C">
        <w:t xml:space="preserve"> </w:t>
      </w:r>
      <w:proofErr w:type="spellStart"/>
      <w:r w:rsidRPr="0089601C">
        <w:t>Dahmani</w:t>
      </w:r>
      <w:proofErr w:type="spellEnd"/>
      <w:r w:rsidRPr="0089601C">
        <w:t xml:space="preserve"> está detida, nomeadamente os cuidados médicos insuficientes, a comunicação limitada com a sua família e com o seu advogado, as audiências adiadas, em conjunto com vários casos destinados a prolongar a sua detenção</w:t>
      </w:r>
      <w:bookmarkEnd w:id="7"/>
      <w:r w:rsidRPr="0089601C">
        <w:t>;</w:t>
      </w:r>
    </w:p>
    <w:p w14:paraId="1DF2A52F" w14:textId="77777777" w:rsidR="004E3818" w:rsidRPr="0089601C" w:rsidRDefault="004E3818" w:rsidP="004E3818">
      <w:pPr>
        <w:pStyle w:val="NormalHanging12a"/>
      </w:pPr>
      <w:r w:rsidRPr="0089601C">
        <w:t>4.</w:t>
      </w:r>
      <w:r w:rsidRPr="0089601C">
        <w:tab/>
        <w:t>Insiste em que as autoridades tunisinas protejam a liberdade de reunião e de expressão, garantam a independência judicial, impeçam a interferência do poder executivo nas funções judiciais e defendam os direitos e liberdades garantidos pela Constituição tunisina; condena a escalada das detenções arbitrárias, das perseguições por motivos políticos e das restrições às liberdades;</w:t>
      </w:r>
    </w:p>
    <w:p w14:paraId="00B7B480" w14:textId="77777777" w:rsidR="004E3818" w:rsidRPr="0089601C" w:rsidRDefault="004E3818" w:rsidP="004E3818">
      <w:pPr>
        <w:pStyle w:val="NormalHanging12a"/>
      </w:pPr>
      <w:r w:rsidRPr="0089601C">
        <w:t>5.</w:t>
      </w:r>
      <w:r w:rsidRPr="0089601C">
        <w:tab/>
        <w:t>Apela à revogação total do Decreto</w:t>
      </w:r>
      <w:r w:rsidRPr="0089601C">
        <w:noBreakHyphen/>
        <w:t>Lei n.º 54, que conduziu a que fossem instauradas ações penais com fundamento na expressão de opiniões, e de toda a legislação abusiva utilizada para limitar liberdades;</w:t>
      </w:r>
    </w:p>
    <w:p w14:paraId="22943D5C" w14:textId="77777777" w:rsidR="004E3818" w:rsidRPr="0089601C" w:rsidRDefault="004E3818" w:rsidP="004E3818">
      <w:pPr>
        <w:pStyle w:val="NormalHanging12a"/>
      </w:pPr>
      <w:r w:rsidRPr="0089601C">
        <w:t>6.</w:t>
      </w:r>
      <w:r w:rsidRPr="0089601C">
        <w:tab/>
        <w:t>Insta as instituições da UE a manifestarem a sua profunda preocupação com a deterioração dos direitos humanos na Tunísia e a prosseguirem uma ação diplomática coordenada para facilitar a libertação dos presos políticos;</w:t>
      </w:r>
    </w:p>
    <w:p w14:paraId="2C02C85E" w14:textId="77777777" w:rsidR="004E3818" w:rsidRPr="0089601C" w:rsidRDefault="004E3818" w:rsidP="004E3818">
      <w:pPr>
        <w:pStyle w:val="NormalHanging12a"/>
      </w:pPr>
      <w:r w:rsidRPr="0089601C">
        <w:t>7.</w:t>
      </w:r>
      <w:r w:rsidRPr="0089601C">
        <w:tab/>
        <w:t>Insta as autoridades tunisinas a cumprirem as obrigações que lhes incumbem por força do direito internacional em matéria de direitos humanos e do Acordo de Associação UE</w:t>
      </w:r>
      <w:r w:rsidRPr="0089601C">
        <w:noBreakHyphen/>
        <w:t>Tunísia; toma nota do recente adiamento do Conselho de Associação UE</w:t>
      </w:r>
      <w:r w:rsidRPr="0089601C">
        <w:noBreakHyphen/>
        <w:t>Tunísia e solicita à Comissão que coloque a situação dos direitos humanos no centro de qualquer diálogo político, assistência financeira, cooperação em matéria de segurança e acordos com a Tunísia;</w:t>
      </w:r>
    </w:p>
    <w:p w14:paraId="01CD8A3E" w14:textId="77777777" w:rsidR="004E3818" w:rsidRPr="0089601C" w:rsidRDefault="004E3818" w:rsidP="004E3818">
      <w:pPr>
        <w:pStyle w:val="NormalHanging12a"/>
      </w:pPr>
      <w:r w:rsidRPr="0089601C">
        <w:t>8.</w:t>
      </w:r>
      <w:r w:rsidRPr="0089601C">
        <w:tab/>
        <w:t>Manifesta a sua solidariedade inabalável para com a sociedade civil tunisina, com os defensores dos direitos humanos, os meios de comunicação social e jornalistas independentes e as associações de advogados; insta a Comissão a responder à decisão do Governo tunisino de bloquear as contas bancárias das organizações da sociedade civil; sublinha o papel fundamental que os profissionais da justiça desempenham na salvaguarda do Estado de direito e da integridade do sistema judicial;</w:t>
      </w:r>
    </w:p>
    <w:p w14:paraId="453D1E50" w14:textId="77777777" w:rsidR="004E3818" w:rsidRPr="0089601C" w:rsidRDefault="004E3818" w:rsidP="004E3818">
      <w:pPr>
        <w:pStyle w:val="NormalHanging12a"/>
      </w:pPr>
      <w:r w:rsidRPr="0089601C">
        <w:t>9.</w:t>
      </w:r>
      <w:r w:rsidRPr="0089601C">
        <w:tab/>
        <w:t>Incentiva a Tunísia a abordar os múltiplos desafios que enfrenta em toda a região, assumindo um papel na defesa dos direitos humanos e da democracia;</w:t>
      </w:r>
    </w:p>
    <w:p w14:paraId="54C0C495" w14:textId="4137AD24" w:rsidR="00FD07B0" w:rsidRPr="0089601C" w:rsidRDefault="004E3818" w:rsidP="00FD07B0">
      <w:pPr>
        <w:pStyle w:val="NormalHanging12a"/>
      </w:pPr>
      <w:r w:rsidRPr="0089601C">
        <w:t>10.</w:t>
      </w:r>
      <w:r w:rsidRPr="0089601C">
        <w:tab/>
        <w:t>Encarrega o seu Presidente de transmitir a presente resolução ao Conselho, à Comissão, à VP/AR, aos governos e parlamentos dos Estados</w:t>
      </w:r>
      <w:r w:rsidRPr="0089601C">
        <w:noBreakHyphen/>
        <w:t>Membros, e às autoridades tunisinas.</w:t>
      </w:r>
    </w:p>
    <w:p w14:paraId="33C543FF" w14:textId="77C91B7A" w:rsidR="00E365E1" w:rsidRPr="0089601C" w:rsidRDefault="00E365E1" w:rsidP="00625D05"/>
    <w:sectPr w:rsidR="00E365E1" w:rsidRPr="0089601C" w:rsidSect="00FD07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81400" w14:textId="77777777" w:rsidR="00625D05" w:rsidRPr="00FD07B0" w:rsidRDefault="00625D05">
      <w:r w:rsidRPr="00FD07B0">
        <w:separator/>
      </w:r>
    </w:p>
  </w:endnote>
  <w:endnote w:type="continuationSeparator" w:id="0">
    <w:p w14:paraId="160B336D" w14:textId="77777777" w:rsidR="00625D05" w:rsidRPr="00FD07B0" w:rsidRDefault="00625D05">
      <w:r w:rsidRPr="00FD07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D986E" w14:textId="77777777" w:rsidR="00064002" w:rsidRPr="00FD07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A9048" w14:textId="77777777" w:rsidR="00064002" w:rsidRPr="00FD07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79171" w14:textId="77777777" w:rsidR="00064002" w:rsidRPr="00FD07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84B49" w14:textId="77777777" w:rsidR="00625D05" w:rsidRPr="00FD07B0" w:rsidRDefault="00625D05">
      <w:r w:rsidRPr="00FD07B0">
        <w:separator/>
      </w:r>
    </w:p>
  </w:footnote>
  <w:footnote w:type="continuationSeparator" w:id="0">
    <w:p w14:paraId="39714167" w14:textId="77777777" w:rsidR="00625D05" w:rsidRPr="00FD07B0" w:rsidRDefault="00625D05">
      <w:r w:rsidRPr="00FD07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937C9" w14:textId="77777777" w:rsidR="00064002" w:rsidRPr="00FD07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2A84" w14:textId="77777777" w:rsidR="00064002" w:rsidRPr="00FD07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6D1D7" w14:textId="77777777" w:rsidR="00064002" w:rsidRPr="00FD07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7847406">
    <w:abstractNumId w:val="9"/>
  </w:num>
  <w:num w:numId="2" w16cid:durableId="903416100">
    <w:abstractNumId w:val="9"/>
  </w:num>
  <w:num w:numId="3" w16cid:durableId="643119653">
    <w:abstractNumId w:val="7"/>
  </w:num>
  <w:num w:numId="4" w16cid:durableId="1474516961">
    <w:abstractNumId w:val="7"/>
  </w:num>
  <w:num w:numId="5" w16cid:durableId="353968560">
    <w:abstractNumId w:val="6"/>
  </w:num>
  <w:num w:numId="6" w16cid:durableId="532964574">
    <w:abstractNumId w:val="6"/>
  </w:num>
  <w:num w:numId="7" w16cid:durableId="2070574546">
    <w:abstractNumId w:val="5"/>
  </w:num>
  <w:num w:numId="8" w16cid:durableId="2003700864">
    <w:abstractNumId w:val="5"/>
  </w:num>
  <w:num w:numId="9" w16cid:durableId="1614286553">
    <w:abstractNumId w:val="4"/>
  </w:num>
  <w:num w:numId="10" w16cid:durableId="2070375848">
    <w:abstractNumId w:val="4"/>
  </w:num>
  <w:num w:numId="11" w16cid:durableId="175385217">
    <w:abstractNumId w:val="8"/>
  </w:num>
  <w:num w:numId="12" w16cid:durableId="1533034476">
    <w:abstractNumId w:val="8"/>
  </w:num>
  <w:num w:numId="13" w16cid:durableId="539901749">
    <w:abstractNumId w:val="3"/>
  </w:num>
  <w:num w:numId="14" w16cid:durableId="1397627271">
    <w:abstractNumId w:val="3"/>
  </w:num>
  <w:num w:numId="15" w16cid:durableId="806555842">
    <w:abstractNumId w:val="2"/>
  </w:num>
  <w:num w:numId="16" w16cid:durableId="1507093567">
    <w:abstractNumId w:val="2"/>
  </w:num>
  <w:num w:numId="17" w16cid:durableId="726877965">
    <w:abstractNumId w:val="1"/>
  </w:num>
  <w:num w:numId="18" w16cid:durableId="1380127402">
    <w:abstractNumId w:val="1"/>
  </w:num>
  <w:num w:numId="19" w16cid:durableId="1984776527">
    <w:abstractNumId w:val="0"/>
  </w:num>
  <w:num w:numId="20" w16cid:durableId="334649058">
    <w:abstractNumId w:val="0"/>
  </w:num>
  <w:num w:numId="21" w16cid:durableId="1992754874">
    <w:abstractNumId w:val="9"/>
  </w:num>
  <w:num w:numId="22" w16cid:durableId="1732656243">
    <w:abstractNumId w:val="7"/>
  </w:num>
  <w:num w:numId="23" w16cid:durableId="1553468465">
    <w:abstractNumId w:val="6"/>
  </w:num>
  <w:num w:numId="24" w16cid:durableId="431976744">
    <w:abstractNumId w:val="5"/>
  </w:num>
  <w:num w:numId="25" w16cid:durableId="2026395060">
    <w:abstractNumId w:val="4"/>
  </w:num>
  <w:num w:numId="26" w16cid:durableId="1882784401">
    <w:abstractNumId w:val="8"/>
  </w:num>
  <w:num w:numId="27" w16cid:durableId="1300185098">
    <w:abstractNumId w:val="3"/>
  </w:num>
  <w:num w:numId="28" w16cid:durableId="968440843">
    <w:abstractNumId w:val="2"/>
  </w:num>
  <w:num w:numId="29" w16cid:durableId="265506703">
    <w:abstractNumId w:val="1"/>
  </w:num>
  <w:num w:numId="30" w16cid:durableId="207449409">
    <w:abstractNumId w:val="0"/>
  </w:num>
  <w:num w:numId="31" w16cid:durableId="506942748">
    <w:abstractNumId w:val="9"/>
  </w:num>
  <w:num w:numId="32" w16cid:durableId="798762416">
    <w:abstractNumId w:val="7"/>
  </w:num>
  <w:num w:numId="33" w16cid:durableId="70785781">
    <w:abstractNumId w:val="6"/>
  </w:num>
  <w:num w:numId="34" w16cid:durableId="1376001459">
    <w:abstractNumId w:val="5"/>
  </w:num>
  <w:num w:numId="35" w16cid:durableId="1970622043">
    <w:abstractNumId w:val="4"/>
  </w:num>
  <w:num w:numId="36" w16cid:durableId="1367213800">
    <w:abstractNumId w:val="8"/>
  </w:num>
  <w:num w:numId="37" w16cid:durableId="1807580045">
    <w:abstractNumId w:val="3"/>
  </w:num>
  <w:num w:numId="38" w16cid:durableId="2126734006">
    <w:abstractNumId w:val="2"/>
  </w:num>
  <w:num w:numId="39" w16cid:durableId="151802889">
    <w:abstractNumId w:val="1"/>
  </w:num>
  <w:num w:numId="40" w16cid:durableId="1904441005">
    <w:abstractNumId w:val="0"/>
  </w:num>
  <w:num w:numId="41" w16cid:durableId="674459912">
    <w:abstractNumId w:val="10"/>
  </w:num>
  <w:num w:numId="42" w16cid:durableId="392655676">
    <w:abstractNumId w:val="10"/>
  </w:num>
  <w:num w:numId="43" w16cid:durableId="1156604433">
    <w:abstractNumId w:val="10"/>
  </w:num>
  <w:num w:numId="44" w16cid:durableId="20067812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, 0520, 0525, 0532 e 0538/2025"/>
    <w:docVar w:name="dvlangue" w:val="PT"/>
    <w:docVar w:name="dvnumam" w:val="0"/>
    <w:docVar w:name="dvpe" w:val="778.991"/>
    <w:docVar w:name="dvtitre" w:val="Resolução do Parlamento Europeu, de ... de ... de 2025,_x000d__x000a_ sobre o Estado de direito e a situação dos direitos humanos na Tunísia, especificamente o caso de Sonia Dahmani(2025/2988(RSP))"/>
  </w:docVars>
  <w:rsids>
    <w:rsidRoot w:val="00625D0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62E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818"/>
    <w:rsid w:val="0050519A"/>
    <w:rsid w:val="005072A1"/>
    <w:rsid w:val="00514517"/>
    <w:rsid w:val="00545827"/>
    <w:rsid w:val="00560270"/>
    <w:rsid w:val="005C2568"/>
    <w:rsid w:val="005F1B17"/>
    <w:rsid w:val="006037C0"/>
    <w:rsid w:val="00625D0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01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57BF"/>
    <w:rsid w:val="00C941CB"/>
    <w:rsid w:val="00CC2357"/>
    <w:rsid w:val="00CF071A"/>
    <w:rsid w:val="00D058B8"/>
    <w:rsid w:val="00D56C11"/>
    <w:rsid w:val="00D8341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7B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48B24"/>
  <w15:chartTrackingRefBased/>
  <w15:docId w15:val="{497AA621-6A06-4070-9FF7-130A2A4C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E3818"/>
    <w:pPr>
      <w:spacing w:after="240"/>
      <w:ind w:left="567" w:hanging="567"/>
    </w:pPr>
  </w:style>
  <w:style w:type="paragraph" w:customStyle="1" w:styleId="EPComma">
    <w:name w:val="EPComma"/>
    <w:basedOn w:val="Normal"/>
    <w:rsid w:val="004E381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E3818"/>
    <w:rPr>
      <w:sz w:val="24"/>
      <w:lang w:val="pt-PT"/>
    </w:rPr>
  </w:style>
  <w:style w:type="paragraph" w:styleId="Revision">
    <w:name w:val="Revision"/>
    <w:hidden/>
    <w:uiPriority w:val="99"/>
    <w:semiHidden/>
    <w:rsid w:val="002462E0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2025-11-27T13:17:00Z</dcterms:created>
  <dcterms:modified xsi:type="dcterms:W3CDTF">2025-11-27T13:17:00Z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B10-0518, 0520, 0525, 0532 e 0538/2025</vt:lpwstr>
  </property>
  <property fmtid="{D5CDD505-2E9C-101B-9397-08002B2CF9AE}" pid="4" name="&lt;Type&gt;">
    <vt:lpwstr>RR</vt:lpwstr>
  </property>
</Properties>
</file>