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02FC" w14:paraId="11070020" w14:textId="77777777" w:rsidTr="0010095E">
        <w:trPr>
          <w:trHeight w:hRule="exact" w:val="1418"/>
        </w:trPr>
        <w:tc>
          <w:tcPr>
            <w:tcW w:w="6804" w:type="dxa"/>
            <w:shd w:val="clear" w:color="auto" w:fill="auto"/>
            <w:vAlign w:val="center"/>
          </w:tcPr>
          <w:p w14:paraId="098F37E3" w14:textId="77777777" w:rsidR="00751A4A" w:rsidRPr="004802FC" w:rsidRDefault="00B402CF" w:rsidP="0010095E">
            <w:pPr>
              <w:pStyle w:val="EPName"/>
            </w:pPr>
            <w:r w:rsidRPr="004802FC">
              <w:t>Parlamentul European</w:t>
            </w:r>
          </w:p>
          <w:p w14:paraId="565FA5E7" w14:textId="77777777" w:rsidR="00751A4A" w:rsidRPr="004802FC" w:rsidRDefault="005F1B17" w:rsidP="005F1B17">
            <w:pPr>
              <w:pStyle w:val="EPTerm"/>
              <w:rPr>
                <w:rStyle w:val="HideTWBExt"/>
                <w:noProof w:val="0"/>
                <w:vanish w:val="0"/>
                <w:color w:val="auto"/>
              </w:rPr>
            </w:pPr>
            <w:r w:rsidRPr="004802FC">
              <w:t>2024</w:t>
            </w:r>
            <w:r w:rsidR="00817416" w:rsidRPr="004802FC">
              <w:t>-202</w:t>
            </w:r>
            <w:r w:rsidRPr="004802FC">
              <w:t>9</w:t>
            </w:r>
          </w:p>
        </w:tc>
        <w:tc>
          <w:tcPr>
            <w:tcW w:w="2268" w:type="dxa"/>
            <w:shd w:val="clear" w:color="auto" w:fill="auto"/>
          </w:tcPr>
          <w:p w14:paraId="2E6C6FBA" w14:textId="77777777" w:rsidR="00751A4A" w:rsidRPr="004802FC" w:rsidRDefault="00187494" w:rsidP="0010095E">
            <w:pPr>
              <w:pStyle w:val="EPLogo"/>
            </w:pPr>
            <w:r w:rsidRPr="004802FC">
              <w:rPr>
                <w:noProof/>
                <w:lang w:eastAsia="ja-JP"/>
              </w:rPr>
              <w:drawing>
                <wp:inline distT="0" distB="0" distL="0" distR="0" wp14:anchorId="542C2980" wp14:editId="3D40F4E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9C7F06" w14:textId="77777777" w:rsidR="00D058B8" w:rsidRPr="004802FC" w:rsidRDefault="00D058B8" w:rsidP="004C5D52">
      <w:pPr>
        <w:pStyle w:val="LineTop"/>
      </w:pPr>
    </w:p>
    <w:p w14:paraId="12C1FA40" w14:textId="77777777" w:rsidR="00680577" w:rsidRPr="004802FC" w:rsidRDefault="00B402CF" w:rsidP="00680577">
      <w:pPr>
        <w:pStyle w:val="EPBodyTA1"/>
      </w:pPr>
      <w:r w:rsidRPr="004802FC">
        <w:t>TEXTE ADOPTATE</w:t>
      </w:r>
    </w:p>
    <w:p w14:paraId="36AA2066" w14:textId="77777777" w:rsidR="00D058B8" w:rsidRPr="004802FC" w:rsidRDefault="00D058B8" w:rsidP="00D058B8">
      <w:pPr>
        <w:pStyle w:val="LineBottom"/>
      </w:pPr>
    </w:p>
    <w:p w14:paraId="37A9B6E8" w14:textId="0B2898D7" w:rsidR="00B402CF" w:rsidRPr="004802FC" w:rsidRDefault="00B402CF" w:rsidP="00B402CF">
      <w:pPr>
        <w:pStyle w:val="ATHeading1"/>
      </w:pPr>
      <w:bookmarkStart w:id="0" w:name="TANumber"/>
      <w:r w:rsidRPr="004802FC">
        <w:t>P10_TA(2025)0</w:t>
      </w:r>
      <w:bookmarkEnd w:id="0"/>
      <w:r w:rsidR="00FD469D" w:rsidRPr="004802FC">
        <w:t>304</w:t>
      </w:r>
    </w:p>
    <w:p w14:paraId="04DAB18F" w14:textId="77777777" w:rsidR="00B402CF" w:rsidRPr="004802FC" w:rsidRDefault="00B402CF" w:rsidP="00B402CF">
      <w:pPr>
        <w:pStyle w:val="ATHeading2"/>
      </w:pPr>
      <w:bookmarkStart w:id="1" w:name="title"/>
      <w:r w:rsidRPr="004802FC">
        <w:t xml:space="preserve">Situația statului de drept și a drepturilor omului în Tunisia, în special cazul Soniei </w:t>
      </w:r>
      <w:proofErr w:type="spellStart"/>
      <w:r w:rsidRPr="004802FC">
        <w:t>Dahmani</w:t>
      </w:r>
      <w:bookmarkEnd w:id="1"/>
      <w:proofErr w:type="spellEnd"/>
    </w:p>
    <w:p w14:paraId="54DA752B" w14:textId="6848F848" w:rsidR="00B402CF" w:rsidRPr="004802FC" w:rsidRDefault="00B402CF" w:rsidP="00B402CF">
      <w:pPr>
        <w:rPr>
          <w:i/>
          <w:vanish/>
        </w:rPr>
      </w:pPr>
      <w:r w:rsidRPr="004802FC">
        <w:rPr>
          <w:i/>
        </w:rPr>
        <w:fldChar w:fldCharType="begin"/>
      </w:r>
      <w:r w:rsidRPr="004802FC">
        <w:rPr>
          <w:i/>
        </w:rPr>
        <w:instrText xml:space="preserve"> TC"(</w:instrText>
      </w:r>
      <w:bookmarkStart w:id="2" w:name="DocNumber"/>
      <w:r w:rsidRPr="004802FC">
        <w:rPr>
          <w:i/>
        </w:rPr>
        <w:instrText>B10-0518</w:instrText>
      </w:r>
      <w:r w:rsidR="00FD469D" w:rsidRPr="004802FC">
        <w:rPr>
          <w:i/>
        </w:rPr>
        <w:instrText xml:space="preserve">, 0520, 0525, 0532 </w:instrText>
      </w:r>
      <w:r w:rsidR="00FD469D" w:rsidRPr="004802FC">
        <w:rPr>
          <w:i/>
        </w:rPr>
        <w:instrText>și</w:instrText>
      </w:r>
      <w:r w:rsidR="00FD469D" w:rsidRPr="004802FC">
        <w:rPr>
          <w:i/>
        </w:rPr>
        <w:instrText xml:space="preserve"> 0538</w:instrText>
      </w:r>
      <w:r w:rsidRPr="004802FC">
        <w:rPr>
          <w:i/>
        </w:rPr>
        <w:instrText>/2025</w:instrText>
      </w:r>
      <w:bookmarkEnd w:id="2"/>
      <w:r w:rsidRPr="004802FC">
        <w:rPr>
          <w:i/>
        </w:rPr>
        <w:instrText xml:space="preserve">)"\l3 \n&gt; \* MERGEFORMAT </w:instrText>
      </w:r>
      <w:r w:rsidRPr="004802FC">
        <w:rPr>
          <w:i/>
        </w:rPr>
        <w:fldChar w:fldCharType="end"/>
      </w:r>
    </w:p>
    <w:p w14:paraId="5BCDD1A1" w14:textId="77777777" w:rsidR="00B402CF" w:rsidRPr="004802FC" w:rsidRDefault="00B402CF" w:rsidP="00B402CF">
      <w:pPr>
        <w:rPr>
          <w:vanish/>
        </w:rPr>
      </w:pPr>
      <w:bookmarkStart w:id="3" w:name="PE"/>
      <w:r w:rsidRPr="004802FC">
        <w:rPr>
          <w:vanish/>
        </w:rPr>
        <w:t>PE778.991</w:t>
      </w:r>
      <w:bookmarkEnd w:id="3"/>
    </w:p>
    <w:p w14:paraId="01EFF39F" w14:textId="77777777" w:rsidR="00B402CF" w:rsidRPr="004802FC" w:rsidRDefault="00B402CF" w:rsidP="00B402CF">
      <w:pPr>
        <w:pStyle w:val="ATHeading3"/>
      </w:pPr>
      <w:bookmarkStart w:id="4" w:name="Sujet"/>
      <w:r w:rsidRPr="004802FC">
        <w:t xml:space="preserve">Rezoluția Parlamentului European din 27 noiembrie 2025 referitoare la situația statului de drept și a drepturilor omului în Tunisia, în special cazul Soniei </w:t>
      </w:r>
      <w:proofErr w:type="spellStart"/>
      <w:r w:rsidRPr="004802FC">
        <w:t>Dahmani</w:t>
      </w:r>
      <w:bookmarkEnd w:id="4"/>
      <w:proofErr w:type="spellEnd"/>
      <w:r w:rsidRPr="004802FC">
        <w:t xml:space="preserve"> </w:t>
      </w:r>
      <w:bookmarkStart w:id="5" w:name="References"/>
      <w:r w:rsidRPr="004802FC">
        <w:t>(2025/2988(RSP))</w:t>
      </w:r>
      <w:bookmarkEnd w:id="5"/>
    </w:p>
    <w:p w14:paraId="728CA95C" w14:textId="77777777" w:rsidR="00AF606D" w:rsidRPr="004802FC" w:rsidRDefault="00AF606D" w:rsidP="00AF606D">
      <w:pPr>
        <w:pStyle w:val="EPComma"/>
      </w:pPr>
      <w:bookmarkStart w:id="6" w:name="TextBodyBegin"/>
      <w:bookmarkEnd w:id="6"/>
      <w:r w:rsidRPr="004802FC">
        <w:rPr>
          <w:i/>
          <w:iCs/>
        </w:rPr>
        <w:t>Parlamentul European</w:t>
      </w:r>
      <w:r w:rsidRPr="004802FC">
        <w:t>,</w:t>
      </w:r>
    </w:p>
    <w:p w14:paraId="194A30F3" w14:textId="77777777" w:rsidR="00AF606D" w:rsidRPr="004802FC" w:rsidRDefault="00AF606D" w:rsidP="00AF606D">
      <w:pPr>
        <w:pStyle w:val="NormalHanging12a"/>
        <w:rPr>
          <w:rFonts w:eastAsiaTheme="minorEastAsia"/>
        </w:rPr>
      </w:pPr>
      <w:r w:rsidRPr="004802FC">
        <w:t>–</w:t>
      </w:r>
      <w:r w:rsidRPr="004802FC">
        <w:tab/>
        <w:t>având în vedere rezoluțiile sale anterioare referitoare la Tunisia,</w:t>
      </w:r>
    </w:p>
    <w:p w14:paraId="4E449DF0" w14:textId="77777777" w:rsidR="00AF606D" w:rsidRPr="004802FC" w:rsidRDefault="00AF606D" w:rsidP="00AF606D">
      <w:pPr>
        <w:pStyle w:val="NormalHanging12a"/>
        <w:rPr>
          <w:rFonts w:eastAsiaTheme="minorEastAsia"/>
        </w:rPr>
      </w:pPr>
      <w:r w:rsidRPr="004802FC">
        <w:t>–</w:t>
      </w:r>
      <w:r w:rsidRPr="004802FC">
        <w:tab/>
        <w:t>având în vedere Acordul de asociere UE-Tunisia,</w:t>
      </w:r>
    </w:p>
    <w:p w14:paraId="396BDADA" w14:textId="77777777" w:rsidR="00AF606D" w:rsidRPr="004802FC" w:rsidRDefault="00AF606D" w:rsidP="00AF606D">
      <w:pPr>
        <w:pStyle w:val="NormalHanging12a"/>
        <w:rPr>
          <w:rFonts w:eastAsiaTheme="minorEastAsia"/>
        </w:rPr>
      </w:pPr>
      <w:r w:rsidRPr="004802FC">
        <w:t>–</w:t>
      </w:r>
      <w:r w:rsidRPr="004802FC">
        <w:tab/>
        <w:t>având în vedere Memorandumul de înțelegere UE-Tunisia,</w:t>
      </w:r>
    </w:p>
    <w:p w14:paraId="79B7AECA" w14:textId="77777777" w:rsidR="00AF606D" w:rsidRPr="004802FC" w:rsidRDefault="00AF606D" w:rsidP="00AF606D">
      <w:pPr>
        <w:pStyle w:val="NormalHanging12a"/>
      </w:pPr>
      <w:r w:rsidRPr="004802FC">
        <w:t>–</w:t>
      </w:r>
      <w:r w:rsidRPr="004802FC">
        <w:tab/>
        <w:t>având în vedere articolul 150 alineatul (5) și articolul 136 alineatul (4) din Regulamentul său de procedură,</w:t>
      </w:r>
    </w:p>
    <w:p w14:paraId="16B9742C" w14:textId="77777777" w:rsidR="00AF606D" w:rsidRPr="004802FC" w:rsidRDefault="00AF606D" w:rsidP="00AF606D">
      <w:pPr>
        <w:pStyle w:val="NormalHanging12a"/>
      </w:pPr>
      <w:r w:rsidRPr="004802FC">
        <w:t>A.</w:t>
      </w:r>
      <w:r w:rsidRPr="004802FC">
        <w:tab/>
        <w:t xml:space="preserve">întrucât avocata și jurnalista Sonia </w:t>
      </w:r>
      <w:proofErr w:type="spellStart"/>
      <w:r w:rsidRPr="004802FC">
        <w:t>Dahmani</w:t>
      </w:r>
      <w:proofErr w:type="spellEnd"/>
      <w:r w:rsidRPr="004802FC">
        <w:t xml:space="preserve"> a fost arestată în mai 2024 la biroul Asociației Barourilor din Tunisia în urma apariției sale pe canalul de televiziune </w:t>
      </w:r>
      <w:proofErr w:type="spellStart"/>
      <w:r w:rsidRPr="004802FC">
        <w:t>Carthage</w:t>
      </w:r>
      <w:proofErr w:type="spellEnd"/>
      <w:r w:rsidRPr="004802FC">
        <w:t>+; întrucât, de la arestarea sa, ea s-a confruntat cu cinci proceduri judiciare separate și a fost condamnată de trei ori; întrucât sunt planificate noi procese, iar sentința sa totală ar putea ajunge până la 24 de ani;</w:t>
      </w:r>
    </w:p>
    <w:p w14:paraId="63AA67F7" w14:textId="77777777" w:rsidR="00AF606D" w:rsidRPr="004802FC" w:rsidRDefault="00AF606D" w:rsidP="00AF606D">
      <w:pPr>
        <w:pStyle w:val="NormalHanging12a"/>
      </w:pPr>
      <w:r w:rsidRPr="004802FC">
        <w:t>B.</w:t>
      </w:r>
      <w:r w:rsidRPr="004802FC">
        <w:tab/>
        <w:t xml:space="preserve">întrucât Sonia </w:t>
      </w:r>
      <w:proofErr w:type="spellStart"/>
      <w:r w:rsidRPr="004802FC">
        <w:t>Dahmani</w:t>
      </w:r>
      <w:proofErr w:type="spellEnd"/>
      <w:r w:rsidRPr="004802FC">
        <w:t xml:space="preserve"> este supusă unor condiții de detenție inumane și degradante, fără acces la asistență medicală;</w:t>
      </w:r>
    </w:p>
    <w:p w14:paraId="1B636079" w14:textId="77777777" w:rsidR="00AF606D" w:rsidRPr="004802FC" w:rsidRDefault="00AF606D" w:rsidP="00AF606D">
      <w:pPr>
        <w:pStyle w:val="NormalHanging12a"/>
      </w:pPr>
      <w:r w:rsidRPr="004802FC">
        <w:t>C.</w:t>
      </w:r>
      <w:r w:rsidRPr="004802FC">
        <w:tab/>
        <w:t xml:space="preserve">întrucât sora ei, </w:t>
      </w:r>
      <w:proofErr w:type="spellStart"/>
      <w:r w:rsidRPr="004802FC">
        <w:t>Ramla</w:t>
      </w:r>
      <w:proofErr w:type="spellEnd"/>
      <w:r w:rsidRPr="004802FC">
        <w:t xml:space="preserve"> </w:t>
      </w:r>
      <w:proofErr w:type="spellStart"/>
      <w:r w:rsidRPr="004802FC">
        <w:t>Dahmani</w:t>
      </w:r>
      <w:proofErr w:type="spellEnd"/>
      <w:r w:rsidRPr="004802FC">
        <w:t>, a fost condamnată i</w:t>
      </w:r>
      <w:r w:rsidRPr="004802FC">
        <w:rPr>
          <w:i/>
          <w:iCs/>
        </w:rPr>
        <w:t xml:space="preserve">n </w:t>
      </w:r>
      <w:proofErr w:type="spellStart"/>
      <w:r w:rsidRPr="004802FC">
        <w:rPr>
          <w:i/>
          <w:iCs/>
        </w:rPr>
        <w:t>absentia</w:t>
      </w:r>
      <w:proofErr w:type="spellEnd"/>
      <w:r w:rsidRPr="004802FC">
        <w:t xml:space="preserve"> în iulie 2025 sub acuzația de răspândire de știri false,</w:t>
      </w:r>
    </w:p>
    <w:p w14:paraId="4E78D175" w14:textId="77777777" w:rsidR="00AF606D" w:rsidRPr="004802FC" w:rsidRDefault="00AF606D" w:rsidP="00AF606D">
      <w:pPr>
        <w:pStyle w:val="NormalHanging12a"/>
      </w:pPr>
      <w:r w:rsidRPr="004802FC">
        <w:t>1.</w:t>
      </w:r>
      <w:r w:rsidRPr="004802FC">
        <w:tab/>
        <w:t xml:space="preserve">condamnă detenția arbitrară, hărțuirea judiciară și condamnarea avocatei și comentatoarei mass-media Sonia </w:t>
      </w:r>
      <w:proofErr w:type="spellStart"/>
      <w:r w:rsidRPr="004802FC">
        <w:t>Dahmani</w:t>
      </w:r>
      <w:proofErr w:type="spellEnd"/>
      <w:r w:rsidRPr="004802FC">
        <w:t>;</w:t>
      </w:r>
    </w:p>
    <w:p w14:paraId="0C0844A2" w14:textId="77777777" w:rsidR="00AF606D" w:rsidRPr="004802FC" w:rsidRDefault="00AF606D" w:rsidP="00AF606D">
      <w:pPr>
        <w:pStyle w:val="NormalHanging12a"/>
      </w:pPr>
      <w:r w:rsidRPr="004802FC">
        <w:t>2.</w:t>
      </w:r>
      <w:r w:rsidRPr="004802FC">
        <w:tab/>
        <w:t xml:space="preserve">solicită eliberarea imediată și necondiționată a Soniei </w:t>
      </w:r>
      <w:proofErr w:type="spellStart"/>
      <w:r w:rsidRPr="004802FC">
        <w:t>Dahmani</w:t>
      </w:r>
      <w:proofErr w:type="spellEnd"/>
      <w:r w:rsidRPr="004802FC">
        <w:t xml:space="preserve"> și a tuturor persoanelor deținute pentru că și-au exercitat dreptul la libertatea de exprimare, inclusiv a prizonierilor politici și a apărătorilor drepturilor omului; îndeamnă autoritățile tunisiene să renunțe la toate acuzațiile împotriva Soniei </w:t>
      </w:r>
      <w:proofErr w:type="spellStart"/>
      <w:r w:rsidRPr="004802FC">
        <w:t>Dahmani</w:t>
      </w:r>
      <w:proofErr w:type="spellEnd"/>
      <w:r w:rsidRPr="004802FC">
        <w:t xml:space="preserve"> și a surorii sale și să se abțină de la hărțuirea familiei lor;</w:t>
      </w:r>
    </w:p>
    <w:p w14:paraId="343DA723" w14:textId="77777777" w:rsidR="00AF606D" w:rsidRPr="004802FC" w:rsidRDefault="00AF606D" w:rsidP="00AF606D">
      <w:pPr>
        <w:pStyle w:val="NormalHanging12a"/>
      </w:pPr>
      <w:r w:rsidRPr="004802FC">
        <w:t>3.</w:t>
      </w:r>
      <w:r w:rsidRPr="004802FC">
        <w:tab/>
      </w:r>
      <w:bookmarkStart w:id="7" w:name="_Hlk214916283"/>
      <w:r w:rsidRPr="004802FC">
        <w:t xml:space="preserve">denunță condițiile în care este deținută Sonia </w:t>
      </w:r>
      <w:proofErr w:type="spellStart"/>
      <w:r w:rsidRPr="004802FC">
        <w:t>Dahmani</w:t>
      </w:r>
      <w:proofErr w:type="spellEnd"/>
      <w:r w:rsidRPr="004802FC">
        <w:t>, inclusiv asistența medicală inadecvată, comunicarea limitată cu familia și cu consilierul său juridic, precum și audierile întârziate, alături de numeroasele cazuri care vizează prelungirea detenției sale</w:t>
      </w:r>
      <w:bookmarkEnd w:id="7"/>
      <w:r w:rsidRPr="004802FC">
        <w:t>;</w:t>
      </w:r>
    </w:p>
    <w:p w14:paraId="3C41AA9A" w14:textId="77777777" w:rsidR="00AF606D" w:rsidRPr="004802FC" w:rsidRDefault="00AF606D" w:rsidP="00AF606D">
      <w:pPr>
        <w:pStyle w:val="NormalHanging12a"/>
      </w:pPr>
      <w:r w:rsidRPr="004802FC">
        <w:t>4.</w:t>
      </w:r>
      <w:r w:rsidRPr="004802FC">
        <w:tab/>
        <w:t>insistă ca autoritățile tunisiene să protejeze libertatea de întrunire și de exprimare, să garanteze independența sistemului judiciar, să prevină ingerințele executive în funcțiile judiciare și să respecte drepturile și libertățile garantate de Constituția Tunisiei; condamnă escaladarea detențiilor arbitrare, a persecuțiilor motivate politic și a restricțiilor privind libertățile;</w:t>
      </w:r>
    </w:p>
    <w:p w14:paraId="3E3ABB53" w14:textId="77777777" w:rsidR="00AF606D" w:rsidRPr="004802FC" w:rsidRDefault="00AF606D" w:rsidP="00AF606D">
      <w:pPr>
        <w:pStyle w:val="NormalHanging12a"/>
      </w:pPr>
      <w:r w:rsidRPr="004802FC">
        <w:t>5.</w:t>
      </w:r>
      <w:r w:rsidRPr="004802FC">
        <w:tab/>
        <w:t>solicită abrogarea completă a Decretului-lege nr. 54, care a condus la urmăriri penale pentru exprimarea opiniilor, precum și a întregii legislații abuzive utilizate pentru a limita libertățile;</w:t>
      </w:r>
    </w:p>
    <w:p w14:paraId="6E312FC6" w14:textId="77777777" w:rsidR="00AF606D" w:rsidRPr="004802FC" w:rsidRDefault="00AF606D" w:rsidP="00AF606D">
      <w:pPr>
        <w:pStyle w:val="NormalHanging12a"/>
      </w:pPr>
      <w:r w:rsidRPr="004802FC">
        <w:t>6.</w:t>
      </w:r>
      <w:r w:rsidRPr="004802FC">
        <w:tab/>
        <w:t>invită instituțiile UE să își exprime profunda îngrijorare cu privire la deteriorarea drepturilor omului în Tunisia și să desfășoare acțiuni diplomatice coordonate, menite să faciliteze eliberarea deținuților politici;</w:t>
      </w:r>
    </w:p>
    <w:p w14:paraId="7002A9DA" w14:textId="77777777" w:rsidR="00AF606D" w:rsidRPr="004802FC" w:rsidRDefault="00AF606D" w:rsidP="00AF606D">
      <w:pPr>
        <w:pStyle w:val="NormalHanging12a"/>
      </w:pPr>
      <w:r w:rsidRPr="004802FC">
        <w:t>7.</w:t>
      </w:r>
      <w:r w:rsidRPr="004802FC">
        <w:tab/>
        <w:t>invită autoritățile tunisiene să își respecte obligațiile care le revin în temeiul dreptului internațional al drepturilor omului și al Acordului de asociere UE-Tunisia; ia act de recenta amânare a Consiliului de asociere UE-Tunisia și solicită Comisiei să plaseze situația drepturilor omului în centrul oricărui dialog politic, al asistenței financiare, al cooperării în materie de securitate și al acordurilor cu Tunisia;</w:t>
      </w:r>
    </w:p>
    <w:p w14:paraId="313AF1D4" w14:textId="77777777" w:rsidR="00AF606D" w:rsidRPr="004802FC" w:rsidRDefault="00AF606D" w:rsidP="00AF606D">
      <w:pPr>
        <w:pStyle w:val="NormalHanging12a"/>
      </w:pPr>
      <w:r w:rsidRPr="004802FC">
        <w:t>8.</w:t>
      </w:r>
      <w:r w:rsidRPr="004802FC">
        <w:tab/>
        <w:t>își exprimă solidaritatea de neclintit cu societatea civilă tunisiană, cu apărătorii drepturilor omului, cu mass-media independentă și cu jurnaliștii independenți, precum și cu asociațiile de avocați; invită Comisia să răspundă deciziei guvernului tunisian de a bloca conturile bancare ale organizațiilor societății civile; subliniază rolul esențial pe care îl joacă profesioniștii din domeniul juridic în protejarea statului de drept și a integrității sistemului judiciar;</w:t>
      </w:r>
    </w:p>
    <w:p w14:paraId="3D5C1F91" w14:textId="77777777" w:rsidR="00AF606D" w:rsidRPr="004802FC" w:rsidRDefault="00AF606D" w:rsidP="00AF606D">
      <w:pPr>
        <w:pStyle w:val="NormalHanging12a"/>
      </w:pPr>
      <w:r w:rsidRPr="004802FC">
        <w:t>9.</w:t>
      </w:r>
      <w:r w:rsidRPr="004802FC">
        <w:tab/>
        <w:t>încurajează Tunisia să abordeze multiplele provocări din întreaga regiune, asumându-și un rol în apărarea drepturilor omului și a democrației;</w:t>
      </w:r>
    </w:p>
    <w:p w14:paraId="1233D771" w14:textId="088D3D75" w:rsidR="00EB229F" w:rsidRPr="004802FC" w:rsidRDefault="00AF606D" w:rsidP="00EB229F">
      <w:pPr>
        <w:pStyle w:val="NormalHanging12a"/>
      </w:pPr>
      <w:r w:rsidRPr="004802FC">
        <w:t>10.</w:t>
      </w:r>
      <w:r w:rsidRPr="004802FC">
        <w:tab/>
        <w:t>încredințează Președintei sarcina de a transmite prezenta rezoluție Consiliului, Comisiei, VP/ÎR, guvernelor și parlamentelor statelor membre și autorităților tunisiene.</w:t>
      </w:r>
    </w:p>
    <w:p w14:paraId="03B5D880" w14:textId="2CD41243" w:rsidR="00E365E1" w:rsidRPr="004802FC" w:rsidRDefault="00E365E1" w:rsidP="00B402CF"/>
    <w:sectPr w:rsidR="00E365E1" w:rsidRPr="004802FC" w:rsidSect="00EB229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FD139" w14:textId="77777777" w:rsidR="00B402CF" w:rsidRPr="00EB229F" w:rsidRDefault="00B402CF">
      <w:r w:rsidRPr="00EB229F">
        <w:separator/>
      </w:r>
    </w:p>
  </w:endnote>
  <w:endnote w:type="continuationSeparator" w:id="0">
    <w:p w14:paraId="28A1E59E" w14:textId="77777777" w:rsidR="00B402CF" w:rsidRPr="00EB229F" w:rsidRDefault="00B402CF">
      <w:r w:rsidRPr="00EB22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A3535" w14:textId="77777777" w:rsidR="00064002" w:rsidRPr="00EB229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0E35C" w14:textId="77777777" w:rsidR="00064002" w:rsidRPr="00EB229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63C2E" w14:textId="77777777" w:rsidR="00064002" w:rsidRPr="00EB22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8E824" w14:textId="77777777" w:rsidR="00B402CF" w:rsidRPr="00EB229F" w:rsidRDefault="00B402CF">
      <w:r w:rsidRPr="00EB229F">
        <w:separator/>
      </w:r>
    </w:p>
  </w:footnote>
  <w:footnote w:type="continuationSeparator" w:id="0">
    <w:p w14:paraId="5DA919C7" w14:textId="77777777" w:rsidR="00B402CF" w:rsidRPr="00EB229F" w:rsidRDefault="00B402CF">
      <w:r w:rsidRPr="00EB229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28033" w14:textId="77777777" w:rsidR="00064002" w:rsidRPr="00EB229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7CB4E" w14:textId="77777777" w:rsidR="00064002" w:rsidRPr="00EB229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A0AA6" w14:textId="77777777" w:rsidR="00064002" w:rsidRPr="00EB22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3113384">
    <w:abstractNumId w:val="9"/>
  </w:num>
  <w:num w:numId="2" w16cid:durableId="1775242376">
    <w:abstractNumId w:val="9"/>
  </w:num>
  <w:num w:numId="3" w16cid:durableId="403992504">
    <w:abstractNumId w:val="7"/>
  </w:num>
  <w:num w:numId="4" w16cid:durableId="1707218533">
    <w:abstractNumId w:val="7"/>
  </w:num>
  <w:num w:numId="5" w16cid:durableId="1486162647">
    <w:abstractNumId w:val="6"/>
  </w:num>
  <w:num w:numId="6" w16cid:durableId="138233522">
    <w:abstractNumId w:val="6"/>
  </w:num>
  <w:num w:numId="7" w16cid:durableId="1422721255">
    <w:abstractNumId w:val="5"/>
  </w:num>
  <w:num w:numId="8" w16cid:durableId="827139540">
    <w:abstractNumId w:val="5"/>
  </w:num>
  <w:num w:numId="9" w16cid:durableId="901670995">
    <w:abstractNumId w:val="4"/>
  </w:num>
  <w:num w:numId="10" w16cid:durableId="1335183047">
    <w:abstractNumId w:val="4"/>
  </w:num>
  <w:num w:numId="11" w16cid:durableId="194463458">
    <w:abstractNumId w:val="8"/>
  </w:num>
  <w:num w:numId="12" w16cid:durableId="949168580">
    <w:abstractNumId w:val="8"/>
  </w:num>
  <w:num w:numId="13" w16cid:durableId="153372789">
    <w:abstractNumId w:val="3"/>
  </w:num>
  <w:num w:numId="14" w16cid:durableId="780105115">
    <w:abstractNumId w:val="3"/>
  </w:num>
  <w:num w:numId="15" w16cid:durableId="1468663898">
    <w:abstractNumId w:val="2"/>
  </w:num>
  <w:num w:numId="16" w16cid:durableId="2052725188">
    <w:abstractNumId w:val="2"/>
  </w:num>
  <w:num w:numId="17" w16cid:durableId="1938050667">
    <w:abstractNumId w:val="1"/>
  </w:num>
  <w:num w:numId="18" w16cid:durableId="1870680392">
    <w:abstractNumId w:val="1"/>
  </w:num>
  <w:num w:numId="19" w16cid:durableId="502089868">
    <w:abstractNumId w:val="0"/>
  </w:num>
  <w:num w:numId="20" w16cid:durableId="2006127515">
    <w:abstractNumId w:val="0"/>
  </w:num>
  <w:num w:numId="21" w16cid:durableId="50269660">
    <w:abstractNumId w:val="9"/>
  </w:num>
  <w:num w:numId="22" w16cid:durableId="793407605">
    <w:abstractNumId w:val="7"/>
  </w:num>
  <w:num w:numId="23" w16cid:durableId="1716809705">
    <w:abstractNumId w:val="6"/>
  </w:num>
  <w:num w:numId="24" w16cid:durableId="198393493">
    <w:abstractNumId w:val="5"/>
  </w:num>
  <w:num w:numId="25" w16cid:durableId="1507133752">
    <w:abstractNumId w:val="4"/>
  </w:num>
  <w:num w:numId="26" w16cid:durableId="1968000496">
    <w:abstractNumId w:val="8"/>
  </w:num>
  <w:num w:numId="27" w16cid:durableId="263267033">
    <w:abstractNumId w:val="3"/>
  </w:num>
  <w:num w:numId="28" w16cid:durableId="2056343082">
    <w:abstractNumId w:val="2"/>
  </w:num>
  <w:num w:numId="29" w16cid:durableId="909198270">
    <w:abstractNumId w:val="1"/>
  </w:num>
  <w:num w:numId="30" w16cid:durableId="1744788458">
    <w:abstractNumId w:val="0"/>
  </w:num>
  <w:num w:numId="31" w16cid:durableId="1351643451">
    <w:abstractNumId w:val="9"/>
  </w:num>
  <w:num w:numId="32" w16cid:durableId="873081782">
    <w:abstractNumId w:val="7"/>
  </w:num>
  <w:num w:numId="33" w16cid:durableId="406729273">
    <w:abstractNumId w:val="6"/>
  </w:num>
  <w:num w:numId="34" w16cid:durableId="329480659">
    <w:abstractNumId w:val="5"/>
  </w:num>
  <w:num w:numId="35" w16cid:durableId="467625002">
    <w:abstractNumId w:val="4"/>
  </w:num>
  <w:num w:numId="36" w16cid:durableId="1114443864">
    <w:abstractNumId w:val="8"/>
  </w:num>
  <w:num w:numId="37" w16cid:durableId="891044653">
    <w:abstractNumId w:val="3"/>
  </w:num>
  <w:num w:numId="38" w16cid:durableId="1306349579">
    <w:abstractNumId w:val="2"/>
  </w:num>
  <w:num w:numId="39" w16cid:durableId="2135709832">
    <w:abstractNumId w:val="1"/>
  </w:num>
  <w:num w:numId="40" w16cid:durableId="1909655003">
    <w:abstractNumId w:val="0"/>
  </w:num>
  <w:num w:numId="41" w16cid:durableId="323631938">
    <w:abstractNumId w:val="10"/>
  </w:num>
  <w:num w:numId="42" w16cid:durableId="4865933">
    <w:abstractNumId w:val="10"/>
  </w:num>
  <w:num w:numId="43" w16cid:durableId="5789520">
    <w:abstractNumId w:val="10"/>
  </w:num>
  <w:num w:numId="44" w16cid:durableId="4886002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18/2025"/>
    <w:docVar w:name="dvlangue" w:val="RO"/>
    <w:docVar w:name="dvnumam" w:val="0"/>
    <w:docVar w:name="dvpe" w:val="778.991"/>
    <w:docVar w:name="dvtitre" w:val="Rezoluția Parlamentului European din 27 noiembrie 2025 referitoare la situația statului de drept și a drepturilor omului în Tunisia, în special cazul Soniei Dahmani(2025/2988(RSP))"/>
  </w:docVars>
  <w:rsids>
    <w:rsidRoot w:val="00B402C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083C"/>
    <w:rsid w:val="00411CCE"/>
    <w:rsid w:val="0041666E"/>
    <w:rsid w:val="00421060"/>
    <w:rsid w:val="00471C19"/>
    <w:rsid w:val="004802FC"/>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606D"/>
    <w:rsid w:val="00B12E95"/>
    <w:rsid w:val="00B22876"/>
    <w:rsid w:val="00B402CF"/>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229F"/>
    <w:rsid w:val="00EB4772"/>
    <w:rsid w:val="00ED169E"/>
    <w:rsid w:val="00ED4235"/>
    <w:rsid w:val="00F04346"/>
    <w:rsid w:val="00F075DC"/>
    <w:rsid w:val="00F149E9"/>
    <w:rsid w:val="00F5134D"/>
    <w:rsid w:val="00F74202"/>
    <w:rsid w:val="00F87713"/>
    <w:rsid w:val="00FB4360"/>
    <w:rsid w:val="00FD0C70"/>
    <w:rsid w:val="00FD469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D0072C"/>
  <w15:chartTrackingRefBased/>
  <w15:docId w15:val="{33118BDA-C99A-4A30-9B3D-E6E366CF0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F606D"/>
    <w:pPr>
      <w:spacing w:after="240"/>
      <w:ind w:left="567" w:hanging="567"/>
    </w:pPr>
  </w:style>
  <w:style w:type="paragraph" w:customStyle="1" w:styleId="EPComma">
    <w:name w:val="EPComma"/>
    <w:basedOn w:val="Normal"/>
    <w:rsid w:val="00AF606D"/>
    <w:pPr>
      <w:spacing w:before="480" w:after="240"/>
    </w:pPr>
  </w:style>
  <w:style w:type="character" w:customStyle="1" w:styleId="NormalHanging12aChar">
    <w:name w:val="NormalHanging12a Char"/>
    <w:basedOn w:val="DefaultParagraphFont"/>
    <w:link w:val="NormalHanging12a"/>
    <w:locked/>
    <w:rsid w:val="00AF606D"/>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567</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2025-11-27T12:54:00Z</dcterms:created>
  <dcterms:modified xsi:type="dcterms:W3CDTF">2025-11-27T12:54:00Z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B10-0518/2025</vt:lpwstr>
  </property>
  <property fmtid="{D5CDD505-2E9C-101B-9397-08002B2CF9AE}" pid="4" name="&lt;Type&gt;">
    <vt:lpwstr>RR</vt:lpwstr>
  </property>
</Properties>
</file>