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5466" w14:paraId="392DF4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3F2F36" w14:textId="77777777" w:rsidR="00751A4A" w:rsidRPr="008A5466" w:rsidRDefault="00664F2B" w:rsidP="0010095E">
            <w:pPr>
              <w:pStyle w:val="EPName"/>
            </w:pPr>
            <w:r w:rsidRPr="008A5466">
              <w:t>Európsky parlament</w:t>
            </w:r>
          </w:p>
          <w:p w14:paraId="3C02FFA9" w14:textId="77777777" w:rsidR="00751A4A" w:rsidRPr="008A54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5466">
              <w:t>2024</w:t>
            </w:r>
            <w:r w:rsidR="00817416" w:rsidRPr="008A5466">
              <w:t>-202</w:t>
            </w:r>
            <w:r w:rsidRPr="008A5466">
              <w:t>9</w:t>
            </w:r>
          </w:p>
        </w:tc>
        <w:tc>
          <w:tcPr>
            <w:tcW w:w="2268" w:type="dxa"/>
            <w:shd w:val="clear" w:color="auto" w:fill="auto"/>
          </w:tcPr>
          <w:p w14:paraId="5A16D674" w14:textId="77777777" w:rsidR="00751A4A" w:rsidRPr="008A5466" w:rsidRDefault="00187494" w:rsidP="0010095E">
            <w:pPr>
              <w:pStyle w:val="EPLogo"/>
            </w:pPr>
            <w:r w:rsidRPr="008A5466">
              <w:rPr>
                <w:noProof/>
                <w:lang w:eastAsia="ja-JP"/>
              </w:rPr>
              <w:drawing>
                <wp:inline distT="0" distB="0" distL="0" distR="0" wp14:anchorId="6615589E" wp14:editId="5BF58B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2ACE9" w14:textId="77777777" w:rsidR="00D058B8" w:rsidRPr="008A5466" w:rsidRDefault="00D058B8" w:rsidP="004C5D52">
      <w:pPr>
        <w:pStyle w:val="LineTop"/>
      </w:pPr>
    </w:p>
    <w:p w14:paraId="6E802D99" w14:textId="77777777" w:rsidR="00680577" w:rsidRPr="008A5466" w:rsidRDefault="00664F2B" w:rsidP="00680577">
      <w:pPr>
        <w:pStyle w:val="EPBodyTA1"/>
      </w:pPr>
      <w:r w:rsidRPr="008A5466">
        <w:t>PRIJATÉ TEXTY</w:t>
      </w:r>
    </w:p>
    <w:p w14:paraId="4662474F" w14:textId="77777777" w:rsidR="00D058B8" w:rsidRPr="008A5466" w:rsidRDefault="00D058B8" w:rsidP="00D058B8">
      <w:pPr>
        <w:pStyle w:val="LineBottom"/>
      </w:pPr>
    </w:p>
    <w:p w14:paraId="43567DF0" w14:textId="4C7FF2EE" w:rsidR="00664F2B" w:rsidRPr="008A5466" w:rsidRDefault="00664F2B" w:rsidP="00664F2B">
      <w:pPr>
        <w:pStyle w:val="ATHeading1"/>
      </w:pPr>
      <w:bookmarkStart w:id="0" w:name="TANumber"/>
      <w:r w:rsidRPr="008A5466">
        <w:t>P10_TA(2025)0</w:t>
      </w:r>
      <w:r w:rsidR="008A5466" w:rsidRPr="008A5466">
        <w:t>304</w:t>
      </w:r>
      <w:bookmarkEnd w:id="0"/>
    </w:p>
    <w:p w14:paraId="682A2AAA" w14:textId="77777777" w:rsidR="00664F2B" w:rsidRPr="008A5466" w:rsidRDefault="00664F2B" w:rsidP="00664F2B">
      <w:pPr>
        <w:pStyle w:val="ATHeading2"/>
      </w:pPr>
      <w:bookmarkStart w:id="1" w:name="title"/>
      <w:r w:rsidRPr="008A5466">
        <w:t xml:space="preserve">Situácia v oblasti právneho štátu a ľudských práv v Tunisku, najmä prípad </w:t>
      </w:r>
      <w:proofErr w:type="spellStart"/>
      <w:r w:rsidRPr="008A5466">
        <w:t>Sonie</w:t>
      </w:r>
      <w:proofErr w:type="spellEnd"/>
      <w:r w:rsidRPr="008A5466">
        <w:t xml:space="preserve"> </w:t>
      </w:r>
      <w:proofErr w:type="spellStart"/>
      <w:r w:rsidRPr="008A5466">
        <w:t>Dahmáníovej</w:t>
      </w:r>
      <w:bookmarkEnd w:id="1"/>
      <w:proofErr w:type="spellEnd"/>
    </w:p>
    <w:p w14:paraId="34B3AABA" w14:textId="77777777" w:rsidR="00664F2B" w:rsidRPr="008A5466" w:rsidRDefault="00664F2B" w:rsidP="00664F2B">
      <w:pPr>
        <w:rPr>
          <w:i/>
          <w:vanish/>
        </w:rPr>
      </w:pPr>
      <w:r w:rsidRPr="008A5466">
        <w:rPr>
          <w:i/>
        </w:rPr>
        <w:fldChar w:fldCharType="begin"/>
      </w:r>
      <w:r w:rsidRPr="008A5466">
        <w:rPr>
          <w:i/>
        </w:rPr>
        <w:instrText xml:space="preserve"> TC"(</w:instrText>
      </w:r>
      <w:bookmarkStart w:id="2" w:name="DocNumber"/>
      <w:r w:rsidRPr="008A5466">
        <w:rPr>
          <w:i/>
        </w:rPr>
        <w:instrText>B10-0518, 0520, 0525, 0532 a 0538/2025</w:instrText>
      </w:r>
      <w:bookmarkEnd w:id="2"/>
      <w:r w:rsidRPr="008A5466">
        <w:rPr>
          <w:i/>
        </w:rPr>
        <w:instrText xml:space="preserve">)"\l3 \n&gt; \* MERGEFORMAT </w:instrText>
      </w:r>
      <w:r w:rsidRPr="008A5466">
        <w:rPr>
          <w:i/>
        </w:rPr>
        <w:fldChar w:fldCharType="end"/>
      </w:r>
    </w:p>
    <w:p w14:paraId="6BA97BC8" w14:textId="77777777" w:rsidR="00664F2B" w:rsidRPr="008A5466" w:rsidRDefault="00664F2B" w:rsidP="00664F2B">
      <w:pPr>
        <w:rPr>
          <w:vanish/>
        </w:rPr>
      </w:pPr>
      <w:bookmarkStart w:id="3" w:name="PE"/>
      <w:r w:rsidRPr="008A5466">
        <w:rPr>
          <w:vanish/>
        </w:rPr>
        <w:t>PE778.991</w:t>
      </w:r>
      <w:bookmarkEnd w:id="3"/>
    </w:p>
    <w:p w14:paraId="5FFE9C2B" w14:textId="1648D8AF" w:rsidR="00664F2B" w:rsidRPr="008A5466" w:rsidRDefault="00664F2B" w:rsidP="00664F2B">
      <w:pPr>
        <w:pStyle w:val="ATHeading3"/>
      </w:pPr>
      <w:bookmarkStart w:id="4" w:name="Sujet"/>
      <w:r w:rsidRPr="008A5466">
        <w:t>Uznesenie Európskeho parlamentu z</w:t>
      </w:r>
      <w:r w:rsidR="00122911" w:rsidRPr="008A5466">
        <w:t> 27</w:t>
      </w:r>
      <w:r w:rsidRPr="008A5466">
        <w:t xml:space="preserve">. novembra 2025 o situácii v oblasti právneho štátu a ľudských práv v Tunisku, najmä prípade </w:t>
      </w:r>
      <w:proofErr w:type="spellStart"/>
      <w:r w:rsidRPr="008A5466">
        <w:t>Sonie</w:t>
      </w:r>
      <w:proofErr w:type="spellEnd"/>
      <w:r w:rsidRPr="008A5466">
        <w:t xml:space="preserve"> </w:t>
      </w:r>
      <w:proofErr w:type="spellStart"/>
      <w:r w:rsidRPr="008A5466">
        <w:t>Dahmáníovej</w:t>
      </w:r>
      <w:bookmarkEnd w:id="4"/>
      <w:proofErr w:type="spellEnd"/>
      <w:r w:rsidRPr="008A5466">
        <w:t xml:space="preserve"> </w:t>
      </w:r>
      <w:bookmarkStart w:id="5" w:name="References"/>
      <w:r w:rsidRPr="008A5466">
        <w:t>(2025/2988(RSP))</w:t>
      </w:r>
      <w:bookmarkEnd w:id="5"/>
    </w:p>
    <w:p w14:paraId="62C27258" w14:textId="77777777" w:rsidR="00477815" w:rsidRPr="008A5466" w:rsidRDefault="00477815" w:rsidP="00477815">
      <w:pPr>
        <w:pStyle w:val="EPComma"/>
      </w:pPr>
      <w:bookmarkStart w:id="6" w:name="TextBodyBegin"/>
      <w:bookmarkEnd w:id="6"/>
      <w:r w:rsidRPr="008A5466">
        <w:rPr>
          <w:i/>
        </w:rPr>
        <w:t>Európsky parlament</w:t>
      </w:r>
      <w:r w:rsidRPr="008A5466">
        <w:t>,</w:t>
      </w:r>
    </w:p>
    <w:p w14:paraId="58A97F32" w14:textId="77777777" w:rsidR="00477815" w:rsidRPr="008A5466" w:rsidRDefault="00477815" w:rsidP="00477815">
      <w:pPr>
        <w:pStyle w:val="NormalHanging12a"/>
        <w:rPr>
          <w:rFonts w:eastAsiaTheme="minorEastAsia"/>
        </w:rPr>
      </w:pPr>
      <w:r w:rsidRPr="008A5466">
        <w:t>–</w:t>
      </w:r>
      <w:r w:rsidRPr="008A5466">
        <w:tab/>
        <w:t>so zreteľom na svoje predchádzajúce uznesenia o Tunisku,</w:t>
      </w:r>
    </w:p>
    <w:p w14:paraId="79818A36" w14:textId="77777777" w:rsidR="00477815" w:rsidRPr="008A5466" w:rsidRDefault="00477815" w:rsidP="00477815">
      <w:pPr>
        <w:pStyle w:val="NormalHanging12a"/>
        <w:rPr>
          <w:rFonts w:eastAsiaTheme="minorEastAsia"/>
        </w:rPr>
      </w:pPr>
      <w:r w:rsidRPr="008A5466">
        <w:t>–</w:t>
      </w:r>
      <w:r w:rsidRPr="008A5466">
        <w:tab/>
        <w:t>so zreteľom na dohodu o pridružení medzi EÚ a Tuniskom,</w:t>
      </w:r>
    </w:p>
    <w:p w14:paraId="79A02CC7" w14:textId="77777777" w:rsidR="00477815" w:rsidRPr="008A5466" w:rsidRDefault="00477815" w:rsidP="00477815">
      <w:pPr>
        <w:pStyle w:val="NormalHanging12a"/>
        <w:rPr>
          <w:rFonts w:eastAsiaTheme="minorEastAsia"/>
        </w:rPr>
      </w:pPr>
      <w:r w:rsidRPr="008A5466">
        <w:t>–</w:t>
      </w:r>
      <w:r w:rsidRPr="008A5466">
        <w:tab/>
        <w:t>so zreteľom na memorandum o porozumení medzi EÚ a Tuniskom,</w:t>
      </w:r>
    </w:p>
    <w:p w14:paraId="10E2D58B" w14:textId="77777777" w:rsidR="00477815" w:rsidRPr="008A5466" w:rsidRDefault="00477815" w:rsidP="00477815">
      <w:pPr>
        <w:pStyle w:val="NormalHanging12a"/>
      </w:pPr>
      <w:r w:rsidRPr="008A5466">
        <w:t>–</w:t>
      </w:r>
      <w:r w:rsidRPr="008A5466">
        <w:tab/>
        <w:t>so zreteľom na článok 150 ods. 5 a článok 136 ods. 4 rokovacieho poriadku,</w:t>
      </w:r>
    </w:p>
    <w:p w14:paraId="6926E3BA" w14:textId="77777777" w:rsidR="00477815" w:rsidRPr="008A5466" w:rsidRDefault="00477815" w:rsidP="00477815">
      <w:pPr>
        <w:pStyle w:val="NormalHanging12a"/>
      </w:pPr>
      <w:r w:rsidRPr="008A5466">
        <w:t>A.</w:t>
      </w:r>
      <w:r w:rsidRPr="008A5466">
        <w:tab/>
        <w:t xml:space="preserve">keďže právnička a novinárka Sonia </w:t>
      </w:r>
      <w:proofErr w:type="spellStart"/>
      <w:r w:rsidRPr="008A5466">
        <w:t>Dahmání</w:t>
      </w:r>
      <w:proofErr w:type="spellEnd"/>
      <w:r w:rsidRPr="008A5466">
        <w:t xml:space="preserve"> bola v máji 2024 zatknutá v kancelárii Advokátskej komory Tuniska potom ako vystúpila vo vysielaní televízneho kanála </w:t>
      </w:r>
      <w:proofErr w:type="spellStart"/>
      <w:r w:rsidRPr="008A5466">
        <w:t>Carthage</w:t>
      </w:r>
      <w:proofErr w:type="spellEnd"/>
      <w:r w:rsidRPr="008A5466">
        <w:t>+; keďže od svojho zatknutia bolo proti nej začatých päť samostatným súdnych konaní a bola trikrát odsúdená; keďže sa plánujú ďalšie súdne konania a jej celkový trest by mohol dosiahnuť až 24 rokov odňatia slobody;</w:t>
      </w:r>
    </w:p>
    <w:p w14:paraId="13FB332F" w14:textId="77777777" w:rsidR="00477815" w:rsidRPr="008A5466" w:rsidRDefault="00477815" w:rsidP="00477815">
      <w:pPr>
        <w:pStyle w:val="NormalHanging12a"/>
      </w:pPr>
      <w:r w:rsidRPr="008A5466">
        <w:t>B.</w:t>
      </w:r>
      <w:r w:rsidRPr="008A5466">
        <w:tab/>
        <w:t xml:space="preserve">keďže Sonia </w:t>
      </w:r>
      <w:proofErr w:type="spellStart"/>
      <w:r w:rsidRPr="008A5466">
        <w:t>Dahmání</w:t>
      </w:r>
      <w:proofErr w:type="spellEnd"/>
      <w:r w:rsidRPr="008A5466">
        <w:t xml:space="preserve"> je vystavená neľudským a ponižujúcim väzenským podmienkam bez prístupu k zdravotnej starostlivosti;</w:t>
      </w:r>
    </w:p>
    <w:p w14:paraId="26E75908" w14:textId="77777777" w:rsidR="00477815" w:rsidRPr="008A5466" w:rsidRDefault="00477815" w:rsidP="00477815">
      <w:pPr>
        <w:pStyle w:val="NormalHanging12a"/>
      </w:pPr>
      <w:r w:rsidRPr="008A5466">
        <w:t>C.</w:t>
      </w:r>
      <w:r w:rsidRPr="008A5466">
        <w:tab/>
        <w:t xml:space="preserve">keďže jej sestra </w:t>
      </w:r>
      <w:proofErr w:type="spellStart"/>
      <w:r w:rsidRPr="008A5466">
        <w:t>Ramla</w:t>
      </w:r>
      <w:proofErr w:type="spellEnd"/>
      <w:r w:rsidRPr="008A5466">
        <w:t xml:space="preserve"> </w:t>
      </w:r>
      <w:proofErr w:type="spellStart"/>
      <w:r w:rsidRPr="008A5466">
        <w:t>Dahmání</w:t>
      </w:r>
      <w:proofErr w:type="spellEnd"/>
      <w:r w:rsidRPr="008A5466">
        <w:t xml:space="preserve"> bola v júli 2025 odsúdená v neprítomnosti na základe obvinení zo šírenia falošných správ;</w:t>
      </w:r>
    </w:p>
    <w:p w14:paraId="144F6246" w14:textId="77777777" w:rsidR="00477815" w:rsidRPr="008A5466" w:rsidRDefault="00477815" w:rsidP="00477815">
      <w:pPr>
        <w:pStyle w:val="NormalHanging12a"/>
      </w:pPr>
      <w:r w:rsidRPr="008A5466">
        <w:t>1.</w:t>
      </w:r>
      <w:r w:rsidRPr="008A5466">
        <w:tab/>
        <w:t xml:space="preserve">odsudzuje svojvoľné zadržiavanie, súdne obťažovanie a odsúdenie právničky a komentátorky </w:t>
      </w:r>
      <w:proofErr w:type="spellStart"/>
      <w:r w:rsidRPr="008A5466">
        <w:t>Sonie</w:t>
      </w:r>
      <w:proofErr w:type="spellEnd"/>
      <w:r w:rsidRPr="008A5466">
        <w:t xml:space="preserve"> </w:t>
      </w:r>
      <w:proofErr w:type="spellStart"/>
      <w:r w:rsidRPr="008A5466">
        <w:t>Dahmáníovej</w:t>
      </w:r>
      <w:proofErr w:type="spellEnd"/>
      <w:r w:rsidRPr="008A5466">
        <w:t>;</w:t>
      </w:r>
    </w:p>
    <w:p w14:paraId="4479CD27" w14:textId="77777777" w:rsidR="00477815" w:rsidRPr="008A5466" w:rsidRDefault="00477815" w:rsidP="00477815">
      <w:pPr>
        <w:pStyle w:val="NormalHanging12a"/>
      </w:pPr>
      <w:r w:rsidRPr="008A5466">
        <w:t>2.</w:t>
      </w:r>
      <w:r w:rsidRPr="008A5466">
        <w:tab/>
        <w:t xml:space="preserve">požaduje okamžité a bezpodmienečné prepustenie </w:t>
      </w:r>
      <w:proofErr w:type="spellStart"/>
      <w:r w:rsidRPr="008A5466">
        <w:t>Sonie</w:t>
      </w:r>
      <w:proofErr w:type="spellEnd"/>
      <w:r w:rsidRPr="008A5466">
        <w:t xml:space="preserve"> </w:t>
      </w:r>
      <w:proofErr w:type="spellStart"/>
      <w:r w:rsidRPr="008A5466">
        <w:t>Dahmáníovej</w:t>
      </w:r>
      <w:proofErr w:type="spellEnd"/>
      <w:r w:rsidRPr="008A5466">
        <w:t xml:space="preserve"> a všetkých osôb zadržiavaných za uplatňovanie svojho práva na slobodu prejavu vrátane politických väzňov a obhajcov ľudských práv; naliehavo vyzýva tuniské orgány, aby stiahli všetky obvinenia proti </w:t>
      </w:r>
      <w:proofErr w:type="spellStart"/>
      <w:r w:rsidRPr="008A5466">
        <w:t>Sonii</w:t>
      </w:r>
      <w:proofErr w:type="spellEnd"/>
      <w:r w:rsidRPr="008A5466">
        <w:t xml:space="preserve"> </w:t>
      </w:r>
      <w:proofErr w:type="spellStart"/>
      <w:r w:rsidRPr="008A5466">
        <w:t>Dahmáníovej</w:t>
      </w:r>
      <w:proofErr w:type="spellEnd"/>
      <w:r w:rsidRPr="008A5466">
        <w:t xml:space="preserve"> a jej sestre a aby upustili od obťažovania ich rodiny;</w:t>
      </w:r>
    </w:p>
    <w:p w14:paraId="0FC03414" w14:textId="77777777" w:rsidR="00477815" w:rsidRPr="008A5466" w:rsidRDefault="00477815" w:rsidP="00477815">
      <w:pPr>
        <w:pStyle w:val="NormalHanging12a"/>
      </w:pPr>
      <w:r w:rsidRPr="008A5466">
        <w:t>3.</w:t>
      </w:r>
      <w:r w:rsidRPr="008A5466">
        <w:tab/>
      </w:r>
      <w:bookmarkStart w:id="7" w:name="_Hlk214916283"/>
      <w:r w:rsidRPr="008A5466">
        <w:t xml:space="preserve">odsudzuje podmienky, za ktorých je Sonia </w:t>
      </w:r>
      <w:proofErr w:type="spellStart"/>
      <w:r w:rsidRPr="008A5466">
        <w:t>Dahmání</w:t>
      </w:r>
      <w:proofErr w:type="spellEnd"/>
      <w:r w:rsidRPr="008A5466">
        <w:t xml:space="preserve"> zadržiavaná, vrátane nedostatočnej lekárskej starostlivosti, obmedzenej komunikácie s rodinou a právnym poradcom a </w:t>
      </w:r>
      <w:r w:rsidRPr="008A5466">
        <w:lastRenderedPageBreak/>
        <w:t>oneskorených výsluchov, ako aj viaceré súdne veci, ktorých cieľom je predĺžiť jej zadržiavanie</w:t>
      </w:r>
      <w:bookmarkEnd w:id="7"/>
      <w:r w:rsidRPr="008A5466">
        <w:t>;</w:t>
      </w:r>
    </w:p>
    <w:p w14:paraId="5B9A8DC0" w14:textId="77777777" w:rsidR="00477815" w:rsidRPr="008A5466" w:rsidRDefault="00477815" w:rsidP="00477815">
      <w:pPr>
        <w:pStyle w:val="NormalHanging12a"/>
      </w:pPr>
      <w:r w:rsidRPr="008A5466">
        <w:t>4.</w:t>
      </w:r>
      <w:r w:rsidRPr="008A5466">
        <w:tab/>
        <w:t>trvá na tom, aby tuniské orgány chránili slobodu zhromažďovania a prejavu, zaručili nezávislosť súdnictva, zabránili zasahovaniu výkonnej moci do súdnych funkcií a dodržiavali práva a slobody zaručené tuniskou ústavou; odsudzuje stupňujúce sa svojvoľné zadržiavanie, politicky motivované prenasledovanie a obmedzovanie slobôd;</w:t>
      </w:r>
    </w:p>
    <w:p w14:paraId="533CD837" w14:textId="77777777" w:rsidR="00477815" w:rsidRPr="008A5466" w:rsidRDefault="00477815" w:rsidP="00477815">
      <w:pPr>
        <w:pStyle w:val="NormalHanging12a"/>
      </w:pPr>
      <w:r w:rsidRPr="008A5466">
        <w:t>5.</w:t>
      </w:r>
      <w:r w:rsidRPr="008A5466">
        <w:tab/>
        <w:t>vyzýva na úplné zrušenie zákonného dekrétu č. 54, ktorý viedol k trestnému stíhaniu za vyjadrenie názoru, a všetkých protiprávnych právnych predpisov používaných na obmedzenie slobôd;</w:t>
      </w:r>
    </w:p>
    <w:p w14:paraId="603F8B2C" w14:textId="77777777" w:rsidR="00477815" w:rsidRPr="008A5466" w:rsidRDefault="00477815" w:rsidP="00477815">
      <w:pPr>
        <w:pStyle w:val="NormalHanging12a"/>
      </w:pPr>
      <w:r w:rsidRPr="008A5466">
        <w:t>6.</w:t>
      </w:r>
      <w:r w:rsidRPr="008A5466">
        <w:tab/>
        <w:t>žiada inštitúcie EÚ, aby vyjadrili hlboké znepokojenie nad zhoršovaním situácie v oblasti ľudských práv v Tunisku a aby podnikli koordinované diplomatické kroky zamerané na uľahčenie prepustenia politických väzňov;</w:t>
      </w:r>
    </w:p>
    <w:p w14:paraId="00CB04FC" w14:textId="77777777" w:rsidR="00477815" w:rsidRPr="008A5466" w:rsidRDefault="00477815" w:rsidP="00477815">
      <w:pPr>
        <w:pStyle w:val="NormalHanging12a"/>
      </w:pPr>
      <w:r w:rsidRPr="008A5466">
        <w:t>7.</w:t>
      </w:r>
      <w:r w:rsidRPr="008A5466">
        <w:tab/>
        <w:t>vyzýva tuniské orgány, aby dodržiavali svoje záväzky vyplývajúce z medzinárodného práva v oblasti ľudských práv a z dohody o pridružení medzi EÚ a Tuniskom; berie na vedomie nedávny odklad zasadnutia Asociačnej rady EÚ – Tunisko a žiada Komisiu, aby sa situácia v oblasti ľudských práv stala stredobodom každého politického dialógu, finančnej pomoci, bezpečnostnej spolupráce a dohôd s Tuniskom;</w:t>
      </w:r>
    </w:p>
    <w:p w14:paraId="078ADD8A" w14:textId="77777777" w:rsidR="00477815" w:rsidRPr="008A5466" w:rsidRDefault="00477815" w:rsidP="00477815">
      <w:pPr>
        <w:pStyle w:val="NormalHanging12a"/>
      </w:pPr>
      <w:r w:rsidRPr="008A5466">
        <w:t>8.</w:t>
      </w:r>
      <w:r w:rsidRPr="008A5466">
        <w:tab/>
        <w:t>vyjadruje neochvejnú solidaritu s tuniskou občianskou spoločnosťou, obhajcami ľudských práv, nezávislými médiami a novinármi a združeniami právnikov; vyzýva Komisiu, aby reagovala na rozhodnutie tuniskej vlády zablokovať bankové účty organizácií občianskej spoločnosti; zdôrazňuje kľúčovú úlohu, ktorú zohrávajú odborníci pracujúci v oblasti práva pri ochrane právneho štátu a integrity súdneho systému;</w:t>
      </w:r>
    </w:p>
    <w:p w14:paraId="7561AE21" w14:textId="77777777" w:rsidR="00477815" w:rsidRPr="008A5466" w:rsidRDefault="00477815" w:rsidP="00477815">
      <w:pPr>
        <w:pStyle w:val="NormalHanging12a"/>
      </w:pPr>
      <w:r w:rsidRPr="008A5466">
        <w:t>9.</w:t>
      </w:r>
      <w:r w:rsidRPr="008A5466">
        <w:tab/>
        <w:t>nabáda Tunisko, aby riešilo početné výzvy v celom regióne tým, že prevezme úlohu pri presadzovaní ľudských práv a demokracie;</w:t>
      </w:r>
    </w:p>
    <w:p w14:paraId="3F63ED28" w14:textId="1918DA68" w:rsidR="00E365E1" w:rsidRPr="008A5466" w:rsidRDefault="00477815" w:rsidP="0004001E">
      <w:pPr>
        <w:pStyle w:val="NormalHanging12a"/>
      </w:pPr>
      <w:r w:rsidRPr="008A5466">
        <w:t>10.</w:t>
      </w:r>
      <w:r w:rsidRPr="008A5466">
        <w:tab/>
        <w:t xml:space="preserve">poveruje svoju predsedníčku, aby postúpila toto uznesenie Rade, Komisii, </w:t>
      </w:r>
      <w:r w:rsidR="00122911" w:rsidRPr="008A5466">
        <w:t>PK/VP</w:t>
      </w:r>
      <w:r w:rsidRPr="008A5466">
        <w:t xml:space="preserve"> a vládam a parlamentom členských štátov a tuniským orgánom.</w:t>
      </w:r>
    </w:p>
    <w:sectPr w:rsidR="00E365E1" w:rsidRPr="008A5466" w:rsidSect="006257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230BC" w14:textId="77777777" w:rsidR="00664F2B" w:rsidRPr="00625799" w:rsidRDefault="00664F2B">
      <w:r w:rsidRPr="00625799">
        <w:separator/>
      </w:r>
    </w:p>
  </w:endnote>
  <w:endnote w:type="continuationSeparator" w:id="0">
    <w:p w14:paraId="24B6B64B" w14:textId="77777777" w:rsidR="00664F2B" w:rsidRPr="00625799" w:rsidRDefault="00664F2B">
      <w:r w:rsidRPr="006257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71A08" w14:textId="77777777" w:rsidR="00064002" w:rsidRPr="006257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1B370" w14:textId="77777777" w:rsidR="00064002" w:rsidRPr="006257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CE136" w14:textId="77777777" w:rsidR="00064002" w:rsidRPr="006257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C3565" w14:textId="77777777" w:rsidR="00664F2B" w:rsidRPr="00625799" w:rsidRDefault="00664F2B">
      <w:r w:rsidRPr="00625799">
        <w:separator/>
      </w:r>
    </w:p>
  </w:footnote>
  <w:footnote w:type="continuationSeparator" w:id="0">
    <w:p w14:paraId="4FF8ACC7" w14:textId="77777777" w:rsidR="00664F2B" w:rsidRPr="00625799" w:rsidRDefault="00664F2B">
      <w:r w:rsidRPr="006257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9B18D" w14:textId="77777777" w:rsidR="00064002" w:rsidRPr="006257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FB76E" w14:textId="77777777" w:rsidR="00064002" w:rsidRPr="006257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0B303" w14:textId="77777777" w:rsidR="00064002" w:rsidRPr="006257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7648287">
    <w:abstractNumId w:val="9"/>
  </w:num>
  <w:num w:numId="2" w16cid:durableId="1950113763">
    <w:abstractNumId w:val="9"/>
  </w:num>
  <w:num w:numId="3" w16cid:durableId="1366099491">
    <w:abstractNumId w:val="7"/>
  </w:num>
  <w:num w:numId="4" w16cid:durableId="1851293505">
    <w:abstractNumId w:val="7"/>
  </w:num>
  <w:num w:numId="5" w16cid:durableId="2045321280">
    <w:abstractNumId w:val="6"/>
  </w:num>
  <w:num w:numId="6" w16cid:durableId="840002025">
    <w:abstractNumId w:val="6"/>
  </w:num>
  <w:num w:numId="7" w16cid:durableId="817645511">
    <w:abstractNumId w:val="5"/>
  </w:num>
  <w:num w:numId="8" w16cid:durableId="1329282538">
    <w:abstractNumId w:val="5"/>
  </w:num>
  <w:num w:numId="9" w16cid:durableId="345793867">
    <w:abstractNumId w:val="4"/>
  </w:num>
  <w:num w:numId="10" w16cid:durableId="838159168">
    <w:abstractNumId w:val="4"/>
  </w:num>
  <w:num w:numId="11" w16cid:durableId="618292929">
    <w:abstractNumId w:val="8"/>
  </w:num>
  <w:num w:numId="12" w16cid:durableId="1454442391">
    <w:abstractNumId w:val="8"/>
  </w:num>
  <w:num w:numId="13" w16cid:durableId="1718967831">
    <w:abstractNumId w:val="3"/>
  </w:num>
  <w:num w:numId="14" w16cid:durableId="807819293">
    <w:abstractNumId w:val="3"/>
  </w:num>
  <w:num w:numId="15" w16cid:durableId="5402772">
    <w:abstractNumId w:val="2"/>
  </w:num>
  <w:num w:numId="16" w16cid:durableId="839395711">
    <w:abstractNumId w:val="2"/>
  </w:num>
  <w:num w:numId="17" w16cid:durableId="383993031">
    <w:abstractNumId w:val="1"/>
  </w:num>
  <w:num w:numId="18" w16cid:durableId="1061906643">
    <w:abstractNumId w:val="1"/>
  </w:num>
  <w:num w:numId="19" w16cid:durableId="1937320166">
    <w:abstractNumId w:val="0"/>
  </w:num>
  <w:num w:numId="20" w16cid:durableId="929047371">
    <w:abstractNumId w:val="0"/>
  </w:num>
  <w:num w:numId="21" w16cid:durableId="894852852">
    <w:abstractNumId w:val="9"/>
  </w:num>
  <w:num w:numId="22" w16cid:durableId="1441804973">
    <w:abstractNumId w:val="7"/>
  </w:num>
  <w:num w:numId="23" w16cid:durableId="826089146">
    <w:abstractNumId w:val="6"/>
  </w:num>
  <w:num w:numId="24" w16cid:durableId="69351461">
    <w:abstractNumId w:val="5"/>
  </w:num>
  <w:num w:numId="25" w16cid:durableId="1925340790">
    <w:abstractNumId w:val="4"/>
  </w:num>
  <w:num w:numId="26" w16cid:durableId="785005210">
    <w:abstractNumId w:val="8"/>
  </w:num>
  <w:num w:numId="27" w16cid:durableId="380129412">
    <w:abstractNumId w:val="3"/>
  </w:num>
  <w:num w:numId="28" w16cid:durableId="1297024358">
    <w:abstractNumId w:val="2"/>
  </w:num>
  <w:num w:numId="29" w16cid:durableId="2118326539">
    <w:abstractNumId w:val="1"/>
  </w:num>
  <w:num w:numId="30" w16cid:durableId="1831291343">
    <w:abstractNumId w:val="0"/>
  </w:num>
  <w:num w:numId="31" w16cid:durableId="1803619685">
    <w:abstractNumId w:val="9"/>
  </w:num>
  <w:num w:numId="32" w16cid:durableId="1488088805">
    <w:abstractNumId w:val="7"/>
  </w:num>
  <w:num w:numId="33" w16cid:durableId="1905598388">
    <w:abstractNumId w:val="6"/>
  </w:num>
  <w:num w:numId="34" w16cid:durableId="1265184696">
    <w:abstractNumId w:val="5"/>
  </w:num>
  <w:num w:numId="35" w16cid:durableId="707486341">
    <w:abstractNumId w:val="4"/>
  </w:num>
  <w:num w:numId="36" w16cid:durableId="110559840">
    <w:abstractNumId w:val="8"/>
  </w:num>
  <w:num w:numId="37" w16cid:durableId="1943685513">
    <w:abstractNumId w:val="3"/>
  </w:num>
  <w:num w:numId="38" w16cid:durableId="190801422">
    <w:abstractNumId w:val="2"/>
  </w:num>
  <w:num w:numId="39" w16cid:durableId="55980181">
    <w:abstractNumId w:val="1"/>
  </w:num>
  <w:num w:numId="40" w16cid:durableId="986545467">
    <w:abstractNumId w:val="0"/>
  </w:num>
  <w:num w:numId="41" w16cid:durableId="741219277">
    <w:abstractNumId w:val="10"/>
  </w:num>
  <w:num w:numId="42" w16cid:durableId="1212108650">
    <w:abstractNumId w:val="10"/>
  </w:num>
  <w:num w:numId="43" w16cid:durableId="2068796397">
    <w:abstractNumId w:val="10"/>
  </w:num>
  <w:num w:numId="44" w16cid:durableId="13520267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, 0520, 0525, 0532 a 0538/2025"/>
    <w:docVar w:name="dvlangue" w:val="SK"/>
    <w:docVar w:name="dvnumam" w:val="0"/>
    <w:docVar w:name="dvpe" w:val="778.991"/>
    <w:docVar w:name="dvtitre" w:val="Uznesenie Európskeho parlamentu z xx. novembra 2025 o situácii v oblasti právneho štátu a ľudských práv v Tunisku, najmä prípade Sonie Dahmáníovej(2025/2988(RSP))"/>
  </w:docVars>
  <w:rsids>
    <w:rsidRoot w:val="00664F2B"/>
    <w:rsid w:val="00002272"/>
    <w:rsid w:val="0004001E"/>
    <w:rsid w:val="00064002"/>
    <w:rsid w:val="000677B9"/>
    <w:rsid w:val="000831BA"/>
    <w:rsid w:val="000A42CC"/>
    <w:rsid w:val="000E7DD9"/>
    <w:rsid w:val="0010095E"/>
    <w:rsid w:val="0012291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81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5799"/>
    <w:rsid w:val="006631B6"/>
    <w:rsid w:val="00664F2B"/>
    <w:rsid w:val="00680577"/>
    <w:rsid w:val="006D631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46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A5059"/>
  <w15:chartTrackingRefBased/>
  <w15:docId w15:val="{A7CFF568-5675-44A3-9B18-2FBEE367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77815"/>
    <w:pPr>
      <w:spacing w:after="240"/>
      <w:ind w:left="567" w:hanging="567"/>
    </w:pPr>
  </w:style>
  <w:style w:type="paragraph" w:customStyle="1" w:styleId="EPComma">
    <w:name w:val="EPComma"/>
    <w:basedOn w:val="Normal"/>
    <w:rsid w:val="0047781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77815"/>
    <w:rPr>
      <w:sz w:val="24"/>
      <w:lang w:val="sk-SK"/>
    </w:rPr>
  </w:style>
  <w:style w:type="paragraph" w:styleId="Revision">
    <w:name w:val="Revision"/>
    <w:hidden/>
    <w:uiPriority w:val="99"/>
    <w:semiHidden/>
    <w:rsid w:val="0004001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2025-11-27T10:04:00Z</dcterms:created>
  <dcterms:modified xsi:type="dcterms:W3CDTF">2025-11-27T10:04:00Z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B10-0518, 0520, 0525, 0532 a 0538/2025</vt:lpwstr>
  </property>
  <property fmtid="{D5CDD505-2E9C-101B-9397-08002B2CF9AE}" pid="4" name="&lt;Type&gt;">
    <vt:lpwstr>RR</vt:lpwstr>
  </property>
</Properties>
</file>