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5AF9" w14:paraId="2EE593F2" w14:textId="77777777" w:rsidTr="0010095E">
        <w:trPr>
          <w:trHeight w:hRule="exact" w:val="1418"/>
        </w:trPr>
        <w:tc>
          <w:tcPr>
            <w:tcW w:w="6804" w:type="dxa"/>
            <w:shd w:val="clear" w:color="auto" w:fill="auto"/>
            <w:vAlign w:val="center"/>
          </w:tcPr>
          <w:p w14:paraId="2C0F0A0A" w14:textId="71178314" w:rsidR="00751A4A" w:rsidRPr="007A5AF9" w:rsidRDefault="00FA4C08" w:rsidP="0010095E">
            <w:pPr>
              <w:pStyle w:val="EPName"/>
            </w:pPr>
            <w:r w:rsidRPr="007A5AF9">
              <w:t>Europaparlamentet</w:t>
            </w:r>
          </w:p>
          <w:p w14:paraId="5800E6DE" w14:textId="77777777" w:rsidR="00751A4A" w:rsidRPr="007A5AF9" w:rsidRDefault="005F1B17" w:rsidP="005F1B17">
            <w:pPr>
              <w:pStyle w:val="EPTerm"/>
              <w:rPr>
                <w:rStyle w:val="HideTWBExt"/>
                <w:noProof w:val="0"/>
                <w:vanish w:val="0"/>
                <w:color w:val="auto"/>
              </w:rPr>
            </w:pPr>
            <w:r w:rsidRPr="007A5AF9">
              <w:t>2024</w:t>
            </w:r>
            <w:r w:rsidR="00817416" w:rsidRPr="007A5AF9">
              <w:t>-202</w:t>
            </w:r>
            <w:r w:rsidRPr="007A5AF9">
              <w:t>9</w:t>
            </w:r>
          </w:p>
        </w:tc>
        <w:tc>
          <w:tcPr>
            <w:tcW w:w="2268" w:type="dxa"/>
            <w:shd w:val="clear" w:color="auto" w:fill="auto"/>
          </w:tcPr>
          <w:p w14:paraId="35A5A632" w14:textId="77777777" w:rsidR="00751A4A" w:rsidRPr="007A5AF9" w:rsidRDefault="00187494" w:rsidP="0010095E">
            <w:pPr>
              <w:pStyle w:val="EPLogo"/>
            </w:pPr>
            <w:r w:rsidRPr="007A5AF9">
              <w:rPr>
                <w:noProof/>
                <w:lang w:eastAsia="ja-JP"/>
              </w:rPr>
              <w:drawing>
                <wp:inline distT="0" distB="0" distL="0" distR="0" wp14:anchorId="48BB9D5C" wp14:editId="6090B9B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698534" w14:textId="77777777" w:rsidR="00D058B8" w:rsidRPr="007A5AF9" w:rsidRDefault="00D058B8" w:rsidP="004C5D52">
      <w:pPr>
        <w:pStyle w:val="LineTop"/>
      </w:pPr>
    </w:p>
    <w:p w14:paraId="4327F102" w14:textId="3276FC9E" w:rsidR="00680577" w:rsidRPr="007A5AF9" w:rsidRDefault="00FA4C08" w:rsidP="00680577">
      <w:pPr>
        <w:pStyle w:val="EPBodyTA1"/>
      </w:pPr>
      <w:r w:rsidRPr="007A5AF9">
        <w:t>ANTAGNA TEXTER</w:t>
      </w:r>
    </w:p>
    <w:p w14:paraId="6E55C0C0" w14:textId="77777777" w:rsidR="00D058B8" w:rsidRPr="007A5AF9" w:rsidRDefault="00D058B8" w:rsidP="00D058B8">
      <w:pPr>
        <w:pStyle w:val="LineBottom"/>
      </w:pPr>
    </w:p>
    <w:p w14:paraId="339B9B0E" w14:textId="6C54C765" w:rsidR="00FA4C08" w:rsidRPr="007A5AF9" w:rsidRDefault="00FA4C08" w:rsidP="00FA4C08">
      <w:pPr>
        <w:pStyle w:val="ATHeading1"/>
      </w:pPr>
      <w:bookmarkStart w:id="0" w:name="TANumber"/>
      <w:r w:rsidRPr="007A5AF9">
        <w:t>P10_TA(2025)0</w:t>
      </w:r>
      <w:bookmarkEnd w:id="0"/>
      <w:r w:rsidR="001565F2">
        <w:t>304</w:t>
      </w:r>
    </w:p>
    <w:p w14:paraId="10AD9CDD" w14:textId="77777777" w:rsidR="00FA4C08" w:rsidRPr="007A5AF9" w:rsidRDefault="00FA4C08" w:rsidP="00FA4C08">
      <w:pPr>
        <w:pStyle w:val="ATHeading2"/>
      </w:pPr>
      <w:bookmarkStart w:id="1" w:name="title"/>
      <w:r w:rsidRPr="007A5AF9">
        <w:t>Rättsstatligheten och människorättssituationen i Tunisien, särskilt fallet Sonia Dahmani</w:t>
      </w:r>
      <w:bookmarkEnd w:id="1"/>
    </w:p>
    <w:p w14:paraId="4731F63C" w14:textId="2889110D" w:rsidR="00FA4C08" w:rsidRPr="007A5AF9" w:rsidRDefault="00FA4C08" w:rsidP="00FA4C08">
      <w:pPr>
        <w:rPr>
          <w:i/>
          <w:vanish/>
        </w:rPr>
      </w:pPr>
      <w:r w:rsidRPr="007A5AF9">
        <w:rPr>
          <w:i/>
        </w:rPr>
        <w:fldChar w:fldCharType="begin"/>
      </w:r>
      <w:r w:rsidRPr="007A5AF9">
        <w:rPr>
          <w:i/>
        </w:rPr>
        <w:instrText xml:space="preserve"> TC"(</w:instrText>
      </w:r>
      <w:bookmarkStart w:id="2" w:name="DocNumber"/>
      <w:r w:rsidRPr="007A5AF9">
        <w:rPr>
          <w:i/>
        </w:rPr>
        <w:instrText>B10-0518</w:instrText>
      </w:r>
      <w:r w:rsidR="00642AEE">
        <w:rPr>
          <w:i/>
        </w:rPr>
        <w:instrText>, 0520, 0525, 0532 och 0538</w:instrText>
      </w:r>
      <w:r w:rsidRPr="007A5AF9">
        <w:rPr>
          <w:i/>
        </w:rPr>
        <w:instrText>/2025</w:instrText>
      </w:r>
      <w:bookmarkEnd w:id="2"/>
      <w:r w:rsidRPr="007A5AF9">
        <w:rPr>
          <w:i/>
        </w:rPr>
        <w:instrText xml:space="preserve">)"\l3 \n&gt; \* MERGEFORMAT </w:instrText>
      </w:r>
      <w:r w:rsidRPr="007A5AF9">
        <w:rPr>
          <w:i/>
        </w:rPr>
        <w:fldChar w:fldCharType="end"/>
      </w:r>
    </w:p>
    <w:p w14:paraId="6E2E5126" w14:textId="77777777" w:rsidR="00FA4C08" w:rsidRPr="007A5AF9" w:rsidRDefault="00FA4C08" w:rsidP="00FA4C08">
      <w:pPr>
        <w:rPr>
          <w:vanish/>
        </w:rPr>
      </w:pPr>
      <w:bookmarkStart w:id="3" w:name="PE"/>
      <w:r w:rsidRPr="007A5AF9">
        <w:rPr>
          <w:vanish/>
        </w:rPr>
        <w:t>PE778.991</w:t>
      </w:r>
      <w:bookmarkEnd w:id="3"/>
    </w:p>
    <w:p w14:paraId="006F57F1" w14:textId="5CA7E579" w:rsidR="00FA4C08" w:rsidRPr="007A5AF9" w:rsidRDefault="00FA4C08" w:rsidP="00FA4C08">
      <w:pPr>
        <w:pStyle w:val="ATHeading3"/>
      </w:pPr>
      <w:bookmarkStart w:id="4" w:name="Sujet"/>
      <w:r w:rsidRPr="007A5AF9">
        <w:t xml:space="preserve">Europaparlamentets resolution av den </w:t>
      </w:r>
      <w:r w:rsidR="00642AEE">
        <w:t>27</w:t>
      </w:r>
      <w:r w:rsidR="00642AEE" w:rsidRPr="007A5AF9">
        <w:t xml:space="preserve"> </w:t>
      </w:r>
      <w:r w:rsidR="00642AEE">
        <w:t>november</w:t>
      </w:r>
      <w:r w:rsidR="00642AEE" w:rsidRPr="007A5AF9">
        <w:t xml:space="preserve"> </w:t>
      </w:r>
      <w:r w:rsidRPr="007A5AF9">
        <w:t>2025 om rättsstatligheten och människorättssituationen i Tunisien, särskilt fallet Sonia Dahmani</w:t>
      </w:r>
      <w:bookmarkEnd w:id="4"/>
      <w:r w:rsidRPr="007A5AF9">
        <w:t xml:space="preserve"> </w:t>
      </w:r>
      <w:bookmarkStart w:id="5" w:name="References"/>
      <w:r w:rsidRPr="007A5AF9">
        <w:t>(2025/2988(RSP))</w:t>
      </w:r>
      <w:bookmarkEnd w:id="5"/>
    </w:p>
    <w:p w14:paraId="212348C9" w14:textId="77777777" w:rsidR="00BF4DD9" w:rsidRPr="007A5AF9" w:rsidRDefault="00BF4DD9" w:rsidP="00BF4DD9">
      <w:pPr>
        <w:pStyle w:val="EPComma"/>
      </w:pPr>
      <w:bookmarkStart w:id="6" w:name="TextBodyBegin"/>
      <w:bookmarkEnd w:id="6"/>
      <w:r w:rsidRPr="007A5AF9">
        <w:rPr>
          <w:i/>
        </w:rPr>
        <w:t>Europaparlamentet utfärdar denna resolution</w:t>
      </w:r>
    </w:p>
    <w:p w14:paraId="61AC0116" w14:textId="77777777" w:rsidR="00BF4DD9" w:rsidRPr="007A5AF9" w:rsidRDefault="00BF4DD9" w:rsidP="00BF4DD9">
      <w:pPr>
        <w:pStyle w:val="NormalHanging12a"/>
        <w:rPr>
          <w:rFonts w:eastAsiaTheme="minorEastAsia"/>
        </w:rPr>
      </w:pPr>
      <w:r w:rsidRPr="007A5AF9">
        <w:t>–</w:t>
      </w:r>
      <w:r w:rsidRPr="007A5AF9">
        <w:tab/>
        <w:t>med beaktande av sina tidigare resolutioner om Tunisien,</w:t>
      </w:r>
    </w:p>
    <w:p w14:paraId="1EB2A06E" w14:textId="77777777" w:rsidR="00BF4DD9" w:rsidRPr="007A5AF9" w:rsidRDefault="00BF4DD9" w:rsidP="00BF4DD9">
      <w:pPr>
        <w:pStyle w:val="NormalHanging12a"/>
        <w:rPr>
          <w:rFonts w:eastAsiaTheme="minorEastAsia"/>
        </w:rPr>
      </w:pPr>
      <w:r w:rsidRPr="007A5AF9">
        <w:t>–</w:t>
      </w:r>
      <w:r w:rsidRPr="007A5AF9">
        <w:tab/>
        <w:t>med beaktande av associeringsavtalet mellan EU och Tunisien,</w:t>
      </w:r>
    </w:p>
    <w:p w14:paraId="45C163F8" w14:textId="77777777" w:rsidR="00BF4DD9" w:rsidRPr="007A5AF9" w:rsidRDefault="00BF4DD9" w:rsidP="00BF4DD9">
      <w:pPr>
        <w:pStyle w:val="NormalHanging12a"/>
        <w:rPr>
          <w:rFonts w:eastAsiaTheme="minorEastAsia"/>
        </w:rPr>
      </w:pPr>
      <w:r w:rsidRPr="007A5AF9">
        <w:t>–</w:t>
      </w:r>
      <w:r w:rsidRPr="007A5AF9">
        <w:tab/>
        <w:t>med beaktande av samförståndsavtalet mellan EU och Tunisien,</w:t>
      </w:r>
    </w:p>
    <w:p w14:paraId="2724E9ED" w14:textId="77777777" w:rsidR="00BF4DD9" w:rsidRPr="007A5AF9" w:rsidRDefault="00BF4DD9" w:rsidP="00BF4DD9">
      <w:pPr>
        <w:pStyle w:val="NormalHanging12a"/>
      </w:pPr>
      <w:r w:rsidRPr="007A5AF9">
        <w:t>–</w:t>
      </w:r>
      <w:r w:rsidRPr="007A5AF9">
        <w:tab/>
        <w:t>med beaktande av artiklarna 150.5 och 136.4 i arbetsordningen, och av följande skäl:</w:t>
      </w:r>
    </w:p>
    <w:p w14:paraId="4E2EF1DA" w14:textId="77777777" w:rsidR="00BF4DD9" w:rsidRPr="007A5AF9" w:rsidRDefault="00BF4DD9" w:rsidP="00BF4DD9">
      <w:pPr>
        <w:pStyle w:val="NormalHanging12a"/>
      </w:pPr>
      <w:r w:rsidRPr="007A5AF9">
        <w:t>A.</w:t>
      </w:r>
      <w:r w:rsidRPr="007A5AF9">
        <w:tab/>
        <w:t>Advokaten och journalisten Sonia Dahmani greps i maj 2024 på det tunisiska advokatsamfundets kontor efter sitt framträdande i tv-kanalen Carthage+. Sedan gripandet har hon varit föremål för fem separata domstolsförfaranden och hon har dömts tre gånger. Ytterligare rättegångar planeras och hennes totala straff kan komma att uppgå till 24 år.</w:t>
      </w:r>
    </w:p>
    <w:p w14:paraId="7A012058" w14:textId="77777777" w:rsidR="00BF4DD9" w:rsidRPr="007A5AF9" w:rsidRDefault="00BF4DD9" w:rsidP="00BF4DD9">
      <w:pPr>
        <w:pStyle w:val="NormalHanging12a"/>
      </w:pPr>
      <w:r w:rsidRPr="007A5AF9">
        <w:t>B.</w:t>
      </w:r>
      <w:r w:rsidRPr="007A5AF9">
        <w:tab/>
        <w:t>Sonia Dahmani utsätts för omänskliga och förnedrande förhållanden under frihetsberövandet och har inte tillgång till sjukvård.</w:t>
      </w:r>
    </w:p>
    <w:p w14:paraId="1842BC3E" w14:textId="77777777" w:rsidR="00BF4DD9" w:rsidRPr="007A5AF9" w:rsidRDefault="00BF4DD9" w:rsidP="00BF4DD9">
      <w:pPr>
        <w:pStyle w:val="NormalHanging12a"/>
      </w:pPr>
      <w:r w:rsidRPr="007A5AF9">
        <w:t>C.</w:t>
      </w:r>
      <w:r w:rsidRPr="007A5AF9">
        <w:tab/>
        <w:t>Hennes syster Ramla Dahmani dömdes i sin frånvaro i juli 2025, anklagad för att ha spridit falska nyheter.</w:t>
      </w:r>
    </w:p>
    <w:p w14:paraId="533C5C22" w14:textId="77777777" w:rsidR="00BF4DD9" w:rsidRPr="007A5AF9" w:rsidRDefault="00BF4DD9" w:rsidP="00BF4DD9">
      <w:pPr>
        <w:pStyle w:val="NormalHanging12a"/>
      </w:pPr>
      <w:r w:rsidRPr="007A5AF9">
        <w:t>1.</w:t>
      </w:r>
      <w:r w:rsidRPr="007A5AF9">
        <w:tab/>
        <w:t>Europaparlamentet fördömer det godtyckliga frihetsberövandet och de rättsliga trakasserierna av samt domarna mot advokaten och mediekommentatorn Sonia Dahmani.</w:t>
      </w:r>
    </w:p>
    <w:p w14:paraId="4DA75460" w14:textId="77777777" w:rsidR="00BF4DD9" w:rsidRPr="007A5AF9" w:rsidRDefault="00BF4DD9" w:rsidP="00BF4DD9">
      <w:pPr>
        <w:pStyle w:val="NormalHanging12a"/>
      </w:pPr>
      <w:r w:rsidRPr="007A5AF9">
        <w:t>2.</w:t>
      </w:r>
      <w:r w:rsidRPr="007A5AF9">
        <w:tab/>
        <w:t>Europaparlamentet kräver ett omedelbart och villkorslöst frigivande av Sonia Dahmani och alla de som är frihetsberövade för att ha utövat sin rätt till yttrandefrihet, inbegripet politiska fångar och människorättsförsvarare. Parlamentet riktar en kraftfull uppmaning till de tunisiska myndigheterna att dra tillbaka alla anklagelser mot Sonia Dahmani och hennes syster och att avstå från att trakassera deras familj.</w:t>
      </w:r>
    </w:p>
    <w:p w14:paraId="275CC06B" w14:textId="77777777" w:rsidR="00BF4DD9" w:rsidRPr="007A5AF9" w:rsidRDefault="00BF4DD9" w:rsidP="00BF4DD9">
      <w:pPr>
        <w:pStyle w:val="NormalHanging12a"/>
      </w:pPr>
      <w:r w:rsidRPr="007A5AF9">
        <w:lastRenderedPageBreak/>
        <w:t>3.</w:t>
      </w:r>
      <w:r w:rsidRPr="007A5AF9">
        <w:tab/>
      </w:r>
      <w:bookmarkStart w:id="7" w:name="_Hlk214916283"/>
      <w:r w:rsidRPr="007A5AF9">
        <w:t>Europaparlamentet fördömer de förhållanden under vilka Sonia Dahmani hålls frihetsberövad, bland annat med otillräcklig sjukvård, begränsad kommunikation med sin familj och sitt juridiska ombud samt försenade domstolsförhandlingar parallellt med flera fall som syftar till att förlänga hennes frihetsberövande</w:t>
      </w:r>
      <w:bookmarkEnd w:id="7"/>
      <w:r w:rsidRPr="007A5AF9">
        <w:t>.</w:t>
      </w:r>
    </w:p>
    <w:p w14:paraId="2C4E7EAC" w14:textId="77777777" w:rsidR="00BF4DD9" w:rsidRPr="007A5AF9" w:rsidRDefault="00BF4DD9" w:rsidP="00BF4DD9">
      <w:pPr>
        <w:pStyle w:val="NormalHanging12a"/>
      </w:pPr>
      <w:r w:rsidRPr="007A5AF9">
        <w:t>4.</w:t>
      </w:r>
      <w:r w:rsidRPr="007A5AF9">
        <w:tab/>
        <w:t>Europaparlamentet insisterar på att de tunisiska myndigheterna ska skydda mötes- och yttrandefriheten, garantera rättsväsendets oberoende, förhindra verkställande inblandning i rättsliga funktioner och upprätthålla de rättigheter och friheter som garanteras i Tunisiens konstitution. Parlamentet fördömer de eskalerande godtyckliga frihetsberövandena, de politiskt motiverade förföljelserna samt inskränkningarna av friheter.</w:t>
      </w:r>
    </w:p>
    <w:p w14:paraId="5A5E4FFE" w14:textId="77777777" w:rsidR="00BF4DD9" w:rsidRPr="007A5AF9" w:rsidRDefault="00BF4DD9" w:rsidP="00BF4DD9">
      <w:pPr>
        <w:pStyle w:val="NormalHanging12a"/>
        <w:keepNext/>
        <w:keepLines/>
        <w:widowControl/>
      </w:pPr>
      <w:r w:rsidRPr="007A5AF9">
        <w:t>5.</w:t>
      </w:r>
      <w:r w:rsidRPr="007A5AF9">
        <w:tab/>
        <w:t>Europaparlamentet efterlyser ett fullständigt upphävande av lagdekret 54, som har lett till åtal för åsiktsyttringar, och av all otillbörlig lagstiftning som används för att begränsa friheter.</w:t>
      </w:r>
    </w:p>
    <w:p w14:paraId="6F2FB65C" w14:textId="77777777" w:rsidR="00BF4DD9" w:rsidRPr="007A5AF9" w:rsidRDefault="00BF4DD9" w:rsidP="00BF4DD9">
      <w:pPr>
        <w:pStyle w:val="NormalHanging12a"/>
      </w:pPr>
      <w:r w:rsidRPr="007A5AF9">
        <w:t>6.</w:t>
      </w:r>
      <w:r w:rsidRPr="007A5AF9">
        <w:tab/>
        <w:t>Europaparlamentet uppmanar EU-institutionerna att uttrycka djupa farhågor rörande försämringen av de mänskliga rättigheterna i Tunisien och att vidta samordnade diplomatiska åtgärder som syftar till att underlätta frigivningen av politiska fångar.</w:t>
      </w:r>
    </w:p>
    <w:p w14:paraId="1473E7A1" w14:textId="77777777" w:rsidR="00BF4DD9" w:rsidRPr="007A5AF9" w:rsidRDefault="00BF4DD9" w:rsidP="00BF4DD9">
      <w:pPr>
        <w:pStyle w:val="NormalHanging12a"/>
      </w:pPr>
      <w:r w:rsidRPr="007A5AF9">
        <w:t>7.</w:t>
      </w:r>
      <w:r w:rsidRPr="007A5AF9">
        <w:tab/>
        <w:t>Europaparlamentet uppmanar de tunisiska myndigheterna att fullgöra sina skyldigheter enligt internationell människorättslagstiftning och enligt associeringsavtalet mellan EU och Tunisien. Parlamentet noterar att associeringsrådet EU-Tunisien nyligen skjutits upp och uppmanar kommissionen att sätta människorättssituationen i centrum för all politisk dialog, allt ekonomiskt stöd, allt säkerhetssamarbete och alla avtal med Tunisien.</w:t>
      </w:r>
    </w:p>
    <w:p w14:paraId="3D89B6DF" w14:textId="77777777" w:rsidR="00BF4DD9" w:rsidRPr="007A5AF9" w:rsidRDefault="00BF4DD9" w:rsidP="00BF4DD9">
      <w:pPr>
        <w:pStyle w:val="NormalHanging12a"/>
      </w:pPr>
      <w:r w:rsidRPr="007A5AF9">
        <w:t>8.</w:t>
      </w:r>
      <w:r w:rsidRPr="007A5AF9">
        <w:tab/>
        <w:t>Europaparlamentet uttrycker sin orubbliga solidaritet med Tunisiens civila samhälle, människorättsförsvarare, oberoende medier och journalister samt advokatsamfund. Parlamentet uppmanar kommissionen att reagera på den tunisiska regeringens beslut att blockera bankkonton för organisationer i det civila samhället. Parlamentet understryker den avgörande roll som yrkesverksamma inom rättsväsendet spelar för att skydda rättsstaten och rättsväsendets integritet.</w:t>
      </w:r>
    </w:p>
    <w:p w14:paraId="6739695E" w14:textId="77777777" w:rsidR="00BF4DD9" w:rsidRPr="007A5AF9" w:rsidRDefault="00BF4DD9" w:rsidP="00BF4DD9">
      <w:pPr>
        <w:pStyle w:val="NormalHanging12a"/>
      </w:pPr>
      <w:r w:rsidRPr="007A5AF9">
        <w:t>9.</w:t>
      </w:r>
      <w:r w:rsidRPr="007A5AF9">
        <w:tab/>
        <w:t>Europaparlamentet uppmuntrar Tunisien att hantera de många utmaningarna i hela regionen genom att ta ett ansvar för att upprätthålla mänskliga rättigheter och demokrati.</w:t>
      </w:r>
    </w:p>
    <w:p w14:paraId="208C2B9E" w14:textId="315152C1" w:rsidR="007A5AF9" w:rsidRPr="007A5AF9" w:rsidRDefault="00BF4DD9" w:rsidP="007A5AF9">
      <w:pPr>
        <w:pStyle w:val="NormalHanging12a"/>
      </w:pPr>
      <w:r w:rsidRPr="007A5AF9">
        <w:t>10.</w:t>
      </w:r>
      <w:r w:rsidRPr="007A5AF9">
        <w:tab/>
        <w:t>Europaparlamentet uppdrar åt talmannen att översända denna resolution till rådet, kommissionen, vice ordföranden/den höga representanten, regeringarna och parlamenten i medlemsstaterna samt till de tunisiska myndigheterna.</w:t>
      </w:r>
    </w:p>
    <w:p w14:paraId="7D32F920" w14:textId="7D14CBAA" w:rsidR="00E365E1" w:rsidRPr="007A5AF9" w:rsidRDefault="00E365E1" w:rsidP="00FA4C08"/>
    <w:sectPr w:rsidR="00E365E1" w:rsidRPr="007A5AF9" w:rsidSect="007A5AF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06698" w14:textId="77777777" w:rsidR="00FA4C08" w:rsidRPr="007A5AF9" w:rsidRDefault="00FA4C08">
      <w:r w:rsidRPr="007A5AF9">
        <w:separator/>
      </w:r>
    </w:p>
  </w:endnote>
  <w:endnote w:type="continuationSeparator" w:id="0">
    <w:p w14:paraId="5BFC4D2C" w14:textId="77777777" w:rsidR="00FA4C08" w:rsidRPr="007A5AF9" w:rsidRDefault="00FA4C08">
      <w:r w:rsidRPr="007A5A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030D1" w14:textId="77777777" w:rsidR="00064002" w:rsidRPr="007A5AF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72EF2" w14:textId="77777777" w:rsidR="00064002" w:rsidRPr="007A5AF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06167" w14:textId="77777777" w:rsidR="00064002" w:rsidRPr="007A5AF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18B8CC" w14:textId="77777777" w:rsidR="00FA4C08" w:rsidRPr="007A5AF9" w:rsidRDefault="00FA4C08">
      <w:r w:rsidRPr="007A5AF9">
        <w:separator/>
      </w:r>
    </w:p>
  </w:footnote>
  <w:footnote w:type="continuationSeparator" w:id="0">
    <w:p w14:paraId="46B754D1" w14:textId="77777777" w:rsidR="00FA4C08" w:rsidRPr="007A5AF9" w:rsidRDefault="00FA4C08">
      <w:r w:rsidRPr="007A5AF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11CDB" w14:textId="77777777" w:rsidR="00064002" w:rsidRPr="007A5AF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62B62" w14:textId="77777777" w:rsidR="00064002" w:rsidRPr="007A5AF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C5CB2" w14:textId="77777777" w:rsidR="00064002" w:rsidRPr="007A5AF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64666256">
    <w:abstractNumId w:val="9"/>
  </w:num>
  <w:num w:numId="2" w16cid:durableId="967467378">
    <w:abstractNumId w:val="9"/>
  </w:num>
  <w:num w:numId="3" w16cid:durableId="843282484">
    <w:abstractNumId w:val="7"/>
  </w:num>
  <w:num w:numId="4" w16cid:durableId="1560744028">
    <w:abstractNumId w:val="7"/>
  </w:num>
  <w:num w:numId="5" w16cid:durableId="1496800245">
    <w:abstractNumId w:val="6"/>
  </w:num>
  <w:num w:numId="6" w16cid:durableId="1903758973">
    <w:abstractNumId w:val="6"/>
  </w:num>
  <w:num w:numId="7" w16cid:durableId="630093822">
    <w:abstractNumId w:val="5"/>
  </w:num>
  <w:num w:numId="8" w16cid:durableId="253130706">
    <w:abstractNumId w:val="5"/>
  </w:num>
  <w:num w:numId="9" w16cid:durableId="1733382446">
    <w:abstractNumId w:val="4"/>
  </w:num>
  <w:num w:numId="10" w16cid:durableId="96172805">
    <w:abstractNumId w:val="4"/>
  </w:num>
  <w:num w:numId="11" w16cid:durableId="1456558697">
    <w:abstractNumId w:val="8"/>
  </w:num>
  <w:num w:numId="12" w16cid:durableId="300615375">
    <w:abstractNumId w:val="8"/>
  </w:num>
  <w:num w:numId="13" w16cid:durableId="976449889">
    <w:abstractNumId w:val="3"/>
  </w:num>
  <w:num w:numId="14" w16cid:durableId="691492552">
    <w:abstractNumId w:val="3"/>
  </w:num>
  <w:num w:numId="15" w16cid:durableId="508524309">
    <w:abstractNumId w:val="2"/>
  </w:num>
  <w:num w:numId="16" w16cid:durableId="650907370">
    <w:abstractNumId w:val="2"/>
  </w:num>
  <w:num w:numId="17" w16cid:durableId="1528788447">
    <w:abstractNumId w:val="1"/>
  </w:num>
  <w:num w:numId="18" w16cid:durableId="398290511">
    <w:abstractNumId w:val="1"/>
  </w:num>
  <w:num w:numId="19" w16cid:durableId="1970627909">
    <w:abstractNumId w:val="0"/>
  </w:num>
  <w:num w:numId="20" w16cid:durableId="995376132">
    <w:abstractNumId w:val="0"/>
  </w:num>
  <w:num w:numId="21" w16cid:durableId="1360858042">
    <w:abstractNumId w:val="9"/>
  </w:num>
  <w:num w:numId="22" w16cid:durableId="1957056278">
    <w:abstractNumId w:val="7"/>
  </w:num>
  <w:num w:numId="23" w16cid:durableId="2078478164">
    <w:abstractNumId w:val="6"/>
  </w:num>
  <w:num w:numId="24" w16cid:durableId="561522562">
    <w:abstractNumId w:val="5"/>
  </w:num>
  <w:num w:numId="25" w16cid:durableId="91901448">
    <w:abstractNumId w:val="4"/>
  </w:num>
  <w:num w:numId="26" w16cid:durableId="1548712366">
    <w:abstractNumId w:val="8"/>
  </w:num>
  <w:num w:numId="27" w16cid:durableId="1574703153">
    <w:abstractNumId w:val="3"/>
  </w:num>
  <w:num w:numId="28" w16cid:durableId="1663001502">
    <w:abstractNumId w:val="2"/>
  </w:num>
  <w:num w:numId="29" w16cid:durableId="2122913621">
    <w:abstractNumId w:val="1"/>
  </w:num>
  <w:num w:numId="30" w16cid:durableId="1714887704">
    <w:abstractNumId w:val="0"/>
  </w:num>
  <w:num w:numId="31" w16cid:durableId="580916680">
    <w:abstractNumId w:val="9"/>
  </w:num>
  <w:num w:numId="32" w16cid:durableId="1435401069">
    <w:abstractNumId w:val="7"/>
  </w:num>
  <w:num w:numId="33" w16cid:durableId="498156309">
    <w:abstractNumId w:val="6"/>
  </w:num>
  <w:num w:numId="34" w16cid:durableId="527715472">
    <w:abstractNumId w:val="5"/>
  </w:num>
  <w:num w:numId="35" w16cid:durableId="1948612307">
    <w:abstractNumId w:val="4"/>
  </w:num>
  <w:num w:numId="36" w16cid:durableId="309752137">
    <w:abstractNumId w:val="8"/>
  </w:num>
  <w:num w:numId="37" w16cid:durableId="1184202387">
    <w:abstractNumId w:val="3"/>
  </w:num>
  <w:num w:numId="38" w16cid:durableId="631135468">
    <w:abstractNumId w:val="2"/>
  </w:num>
  <w:num w:numId="39" w16cid:durableId="1758210534">
    <w:abstractNumId w:val="1"/>
  </w:num>
  <w:num w:numId="40" w16cid:durableId="1642998310">
    <w:abstractNumId w:val="0"/>
  </w:num>
  <w:num w:numId="41" w16cid:durableId="1509564755">
    <w:abstractNumId w:val="10"/>
  </w:num>
  <w:num w:numId="42" w16cid:durableId="3024196">
    <w:abstractNumId w:val="10"/>
  </w:num>
  <w:num w:numId="43" w16cid:durableId="1220821734">
    <w:abstractNumId w:val="10"/>
  </w:num>
  <w:num w:numId="44" w16cid:durableId="19956446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18/2025"/>
    <w:docVar w:name="dvlangue" w:val="SV"/>
    <w:docVar w:name="dvnumam" w:val="0"/>
    <w:docVar w:name="dvpe" w:val="778.991"/>
    <w:docVar w:name="dvtitre" w:val="Europaparlamentets resolution av den xx xx 2025 om rättsstatligheten och människorättssituationen i Tunisien, särskilt fallet Sonia Dahmani(2025/2988(RSP))"/>
  </w:docVars>
  <w:rsids>
    <w:rsidRoot w:val="00FA4C08"/>
    <w:rsid w:val="00002272"/>
    <w:rsid w:val="00064002"/>
    <w:rsid w:val="000677B9"/>
    <w:rsid w:val="000831BA"/>
    <w:rsid w:val="000A42CC"/>
    <w:rsid w:val="000E7DD9"/>
    <w:rsid w:val="0010095E"/>
    <w:rsid w:val="00125B37"/>
    <w:rsid w:val="001565F2"/>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4A65"/>
    <w:rsid w:val="005F1B17"/>
    <w:rsid w:val="006037C0"/>
    <w:rsid w:val="00642AEE"/>
    <w:rsid w:val="006631B6"/>
    <w:rsid w:val="00680577"/>
    <w:rsid w:val="006F74FA"/>
    <w:rsid w:val="00731ADD"/>
    <w:rsid w:val="00734777"/>
    <w:rsid w:val="00747932"/>
    <w:rsid w:val="00751A4A"/>
    <w:rsid w:val="00756632"/>
    <w:rsid w:val="00762C74"/>
    <w:rsid w:val="00786EC0"/>
    <w:rsid w:val="007942DE"/>
    <w:rsid w:val="007A5AF9"/>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4DD9"/>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2677"/>
    <w:rsid w:val="00ED4235"/>
    <w:rsid w:val="00F04346"/>
    <w:rsid w:val="00F075DC"/>
    <w:rsid w:val="00F149E9"/>
    <w:rsid w:val="00F5134D"/>
    <w:rsid w:val="00F74202"/>
    <w:rsid w:val="00F87713"/>
    <w:rsid w:val="00FA4C0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8F6335"/>
  <w15:chartTrackingRefBased/>
  <w15:docId w15:val="{B4DCB27B-B6EE-4404-A70D-3A339711D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F4DD9"/>
    <w:pPr>
      <w:spacing w:after="240"/>
      <w:ind w:left="567" w:hanging="567"/>
    </w:pPr>
  </w:style>
  <w:style w:type="paragraph" w:customStyle="1" w:styleId="EPComma">
    <w:name w:val="EPComma"/>
    <w:basedOn w:val="Normal"/>
    <w:rsid w:val="00BF4DD9"/>
    <w:pPr>
      <w:spacing w:before="480" w:after="240"/>
    </w:pPr>
  </w:style>
  <w:style w:type="character" w:customStyle="1" w:styleId="NormalHanging12aChar">
    <w:name w:val="NormalHanging12a Char"/>
    <w:basedOn w:val="DefaultParagraphFont"/>
    <w:link w:val="NormalHanging12a"/>
    <w:locked/>
    <w:rsid w:val="00BF4DD9"/>
    <w:rPr>
      <w:sz w:val="24"/>
      <w:lang w:val="sv-SE"/>
    </w:rPr>
  </w:style>
  <w:style w:type="paragraph" w:styleId="Revision">
    <w:name w:val="Revision"/>
    <w:hidden/>
    <w:uiPriority w:val="99"/>
    <w:semiHidden/>
    <w:rsid w:val="00642AEE"/>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534</Words>
  <Characters>3843</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2025-11-27T11:33:00Z</dcterms:created>
  <dcterms:modified xsi:type="dcterms:W3CDTF">2025-11-27T11:33:00Z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B10-0518/2025</vt:lpwstr>
  </property>
  <property fmtid="{D5CDD505-2E9C-101B-9397-08002B2CF9AE}" pid="4" name="&lt;Type&gt;">
    <vt:lpwstr>RR</vt:lpwstr>
  </property>
</Properties>
</file>