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D1F16" w14:paraId="66E9FE5E" w14:textId="77777777" w:rsidTr="0010095E">
        <w:trPr>
          <w:trHeight w:hRule="exact" w:val="1418"/>
        </w:trPr>
        <w:tc>
          <w:tcPr>
            <w:tcW w:w="6804" w:type="dxa"/>
            <w:shd w:val="clear" w:color="auto" w:fill="auto"/>
            <w:vAlign w:val="center"/>
          </w:tcPr>
          <w:p w14:paraId="166D0556" w14:textId="5D0753A8" w:rsidR="00751A4A" w:rsidRPr="007D1F16" w:rsidRDefault="003A358B" w:rsidP="0010095E">
            <w:pPr>
              <w:pStyle w:val="EPName"/>
            </w:pPr>
            <w:r w:rsidRPr="007D1F16">
              <w:t>Europa-Parlamentet</w:t>
            </w:r>
          </w:p>
          <w:p w14:paraId="6F726BE9" w14:textId="77777777" w:rsidR="00751A4A" w:rsidRPr="007D1F16" w:rsidRDefault="005F1B17" w:rsidP="005F1B17">
            <w:pPr>
              <w:pStyle w:val="EPTerm"/>
              <w:rPr>
                <w:rStyle w:val="HideTWBExt"/>
                <w:noProof w:val="0"/>
                <w:vanish w:val="0"/>
                <w:color w:val="auto"/>
              </w:rPr>
            </w:pPr>
            <w:r w:rsidRPr="007D1F16">
              <w:t>2024</w:t>
            </w:r>
            <w:r w:rsidR="00817416" w:rsidRPr="007D1F16">
              <w:t>-202</w:t>
            </w:r>
            <w:r w:rsidRPr="007D1F16">
              <w:t>9</w:t>
            </w:r>
          </w:p>
        </w:tc>
        <w:tc>
          <w:tcPr>
            <w:tcW w:w="2268" w:type="dxa"/>
            <w:shd w:val="clear" w:color="auto" w:fill="auto"/>
          </w:tcPr>
          <w:p w14:paraId="13A2C847" w14:textId="77777777" w:rsidR="00751A4A" w:rsidRPr="007D1F16" w:rsidRDefault="00187494" w:rsidP="0010095E">
            <w:pPr>
              <w:pStyle w:val="EPLogo"/>
            </w:pPr>
            <w:r w:rsidRPr="007D1F16">
              <w:rPr>
                <w:noProof/>
                <w:lang w:eastAsia="ja-JP"/>
              </w:rPr>
              <w:drawing>
                <wp:inline distT="0" distB="0" distL="0" distR="0" wp14:anchorId="048319CE" wp14:editId="3481A7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D04D4A" w14:textId="77777777" w:rsidR="00D058B8" w:rsidRPr="007D1F16" w:rsidRDefault="00D058B8" w:rsidP="004C5D52">
      <w:pPr>
        <w:pStyle w:val="LineTop"/>
      </w:pPr>
    </w:p>
    <w:p w14:paraId="0731F45E" w14:textId="7DE96A2C" w:rsidR="00680577" w:rsidRPr="007D1F16" w:rsidRDefault="003A358B" w:rsidP="00680577">
      <w:pPr>
        <w:pStyle w:val="EPBodyTA1"/>
      </w:pPr>
      <w:r w:rsidRPr="007D1F16">
        <w:t>VEDTAGNE TEKSTER</w:t>
      </w:r>
    </w:p>
    <w:p w14:paraId="22785D84" w14:textId="77777777" w:rsidR="00D058B8" w:rsidRPr="007D1F16" w:rsidRDefault="00D058B8" w:rsidP="00D058B8">
      <w:pPr>
        <w:pStyle w:val="LineBottom"/>
      </w:pPr>
    </w:p>
    <w:p w14:paraId="6E0D8686" w14:textId="6CE4923A" w:rsidR="003A358B" w:rsidRPr="007D1F16" w:rsidRDefault="003A358B" w:rsidP="003A358B">
      <w:pPr>
        <w:pStyle w:val="ATHeading1"/>
      </w:pPr>
      <w:bookmarkStart w:id="0" w:name="TANumber"/>
      <w:r w:rsidRPr="007D1F16">
        <w:t>P10_TA(2025)0</w:t>
      </w:r>
      <w:bookmarkEnd w:id="0"/>
      <w:r w:rsidR="008C1165">
        <w:t>307</w:t>
      </w:r>
    </w:p>
    <w:p w14:paraId="333DBC47" w14:textId="54E69650" w:rsidR="003A358B" w:rsidRPr="00AD582A" w:rsidRDefault="00AD582A" w:rsidP="00AD582A">
      <w:pPr>
        <w:pStyle w:val="ATHeading2"/>
      </w:pPr>
      <w:r w:rsidRPr="00686BDF">
        <w:rPr>
          <w:bCs/>
        </w:rPr>
        <w:t>Gennemførelse af handels- og samarbejdsaftalen mellem EU og Det Forenede</w:t>
      </w:r>
      <w:r>
        <w:rPr>
          <w:bCs/>
        </w:rPr>
        <w:t xml:space="preserve"> </w:t>
      </w:r>
      <w:r w:rsidRPr="00686BDF">
        <w:rPr>
          <w:bCs/>
        </w:rPr>
        <w:t>Kongerige</w:t>
      </w:r>
    </w:p>
    <w:p w14:paraId="221D8D86" w14:textId="25E03AAA" w:rsidR="003A358B" w:rsidRPr="007D1F16" w:rsidRDefault="003A358B" w:rsidP="003A358B">
      <w:pPr>
        <w:rPr>
          <w:i/>
          <w:vanish/>
        </w:rPr>
      </w:pPr>
      <w:r w:rsidRPr="007D1F16">
        <w:rPr>
          <w:i/>
        </w:rPr>
        <w:fldChar w:fldCharType="begin"/>
      </w:r>
      <w:r w:rsidRPr="007D1F16">
        <w:rPr>
          <w:i/>
        </w:rPr>
        <w:instrText xml:space="preserve"> TC"(</w:instrText>
      </w:r>
      <w:bookmarkStart w:id="1" w:name="DocNumber"/>
      <w:r w:rsidRPr="007D1F16">
        <w:rPr>
          <w:i/>
        </w:rPr>
        <w:instrText>A10-0226/2025</w:instrText>
      </w:r>
      <w:bookmarkEnd w:id="1"/>
      <w:r w:rsidRPr="007D1F16">
        <w:rPr>
          <w:i/>
        </w:rPr>
        <w:instrText xml:space="preserve"> - Ordfører</w:instrText>
      </w:r>
      <w:r w:rsidR="00116266">
        <w:rPr>
          <w:i/>
        </w:rPr>
        <w:instrText>e</w:instrText>
      </w:r>
      <w:r w:rsidRPr="007D1F16">
        <w:rPr>
          <w:i/>
        </w:rPr>
        <w:instrText xml:space="preserve">: Thijs Reuten, Nina Carberry)"\l3 \n&gt; \* MERGEFORMAT </w:instrText>
      </w:r>
      <w:r w:rsidRPr="007D1F16">
        <w:rPr>
          <w:i/>
        </w:rPr>
        <w:fldChar w:fldCharType="end"/>
      </w:r>
    </w:p>
    <w:p w14:paraId="3FC43AD8" w14:textId="77777777" w:rsidR="003A358B" w:rsidRPr="007D1F16" w:rsidRDefault="003A358B" w:rsidP="003A358B">
      <w:pPr>
        <w:rPr>
          <w:vanish/>
        </w:rPr>
      </w:pPr>
      <w:bookmarkStart w:id="2" w:name="Commission"/>
      <w:r w:rsidRPr="007D1F16">
        <w:rPr>
          <w:vanish/>
        </w:rPr>
        <w:t>Udenrigsudvalget, Udvalget om International Handel</w:t>
      </w:r>
      <w:bookmarkEnd w:id="2"/>
    </w:p>
    <w:p w14:paraId="224B2E97" w14:textId="77777777" w:rsidR="003A358B" w:rsidRPr="007D1F16" w:rsidRDefault="003A358B" w:rsidP="003A358B">
      <w:pPr>
        <w:rPr>
          <w:vanish/>
        </w:rPr>
      </w:pPr>
      <w:bookmarkStart w:id="3" w:name="PE"/>
      <w:r w:rsidRPr="007D1F16">
        <w:rPr>
          <w:vanish/>
        </w:rPr>
        <w:t>PE768.086</w:t>
      </w:r>
      <w:bookmarkEnd w:id="3"/>
    </w:p>
    <w:p w14:paraId="31A081B5" w14:textId="79EBE1A8" w:rsidR="003A358B" w:rsidRPr="007D1F16" w:rsidRDefault="003A358B" w:rsidP="003A358B">
      <w:pPr>
        <w:pStyle w:val="ATHeading3"/>
      </w:pPr>
      <w:bookmarkStart w:id="4" w:name="Sujet"/>
      <w:r w:rsidRPr="007D1F16">
        <w:t xml:space="preserve">Europa-Parlamentets beslutning af </w:t>
      </w:r>
      <w:r w:rsidR="00680CC1">
        <w:t>27</w:t>
      </w:r>
      <w:r w:rsidRPr="007D1F16">
        <w:t>.</w:t>
      </w:r>
      <w:r w:rsidR="00116266">
        <w:t xml:space="preserve"> november</w:t>
      </w:r>
      <w:r w:rsidRPr="007D1F16">
        <w:t xml:space="preserve"> 2025 om gennemførelsen af handels- og samarbejdsaftalen mellem EU og Det Forenede Kongerige</w:t>
      </w:r>
      <w:bookmarkEnd w:id="4"/>
      <w:r w:rsidRPr="007D1F16">
        <w:t xml:space="preserve"> </w:t>
      </w:r>
      <w:bookmarkStart w:id="5" w:name="References"/>
      <w:r w:rsidRPr="007D1F16">
        <w:t>(2024/2108(INI))</w:t>
      </w:r>
      <w:bookmarkEnd w:id="5"/>
    </w:p>
    <w:p w14:paraId="7FD6D38E" w14:textId="77777777" w:rsidR="00C16740" w:rsidRPr="007D1F16" w:rsidRDefault="00C16740" w:rsidP="00C16740">
      <w:pPr>
        <w:pStyle w:val="EPComma"/>
      </w:pPr>
      <w:bookmarkStart w:id="6" w:name="TextBodyBegin"/>
      <w:bookmarkEnd w:id="6"/>
      <w:r w:rsidRPr="007D1F16">
        <w:rPr>
          <w:i/>
        </w:rPr>
        <w:t>Europa-Parlamentet,</w:t>
      </w:r>
    </w:p>
    <w:p w14:paraId="6F7EE2B9" w14:textId="77777777" w:rsidR="00C16740" w:rsidRPr="007D1F16" w:rsidRDefault="00C16740" w:rsidP="00C16740">
      <w:pPr>
        <w:pStyle w:val="NormalHanging12a"/>
      </w:pPr>
      <w:r w:rsidRPr="007D1F16">
        <w:t>–</w:t>
      </w:r>
      <w:r w:rsidRPr="007D1F16">
        <w:tab/>
        <w:t>der henviser til traktaten om Den Europæiske Union og traktaten om Den Europæiske Unions funktionsmåde (TEUF),</w:t>
      </w:r>
    </w:p>
    <w:p w14:paraId="71CCC206" w14:textId="77777777" w:rsidR="00C16740" w:rsidRPr="007D1F16" w:rsidRDefault="00C16740" w:rsidP="00C16740">
      <w:pPr>
        <w:pStyle w:val="NormalHanging12a"/>
      </w:pPr>
      <w:r w:rsidRPr="007D1F16">
        <w:t>–</w:t>
      </w:r>
      <w:r w:rsidRPr="007D1F16">
        <w:tab/>
        <w:t>der henviser til handels- og samarbejdsaftalen mellem Den Europæiske Union og Det Europæiske Atomenergifællesskab på den ene side og Det Forenede Kongerige Storbritannien og Nordirland på den anden side</w:t>
      </w:r>
      <w:r w:rsidRPr="007D1F16">
        <w:rPr>
          <w:rStyle w:val="FootnoteReference"/>
          <w:color w:val="000000"/>
        </w:rPr>
        <w:footnoteReference w:id="1"/>
      </w:r>
      <w:r w:rsidRPr="007D1F16">
        <w:t xml:space="preserve"> ("handels- og samarbejdsaftalen"),</w:t>
      </w:r>
    </w:p>
    <w:p w14:paraId="573C52E5" w14:textId="77777777" w:rsidR="00C16740" w:rsidRPr="007D1F16" w:rsidRDefault="00C16740" w:rsidP="00C16740">
      <w:pPr>
        <w:pStyle w:val="NormalHanging12a"/>
      </w:pPr>
      <w:r w:rsidRPr="007D1F16">
        <w:t>–</w:t>
      </w:r>
      <w:r w:rsidRPr="007D1F16">
        <w:tab/>
        <w:t>der henviser til aftalen om Det Forenede Kongerige Storbritannien og Nordirlands udtræden af Den Europæiske Union og Det Europæiske Atomenergifællesskab</w:t>
      </w:r>
      <w:r w:rsidRPr="007D1F16">
        <w:rPr>
          <w:rStyle w:val="FootnoteReference"/>
        </w:rPr>
        <w:footnoteReference w:id="2"/>
      </w:r>
      <w:r w:rsidRPr="007D1F16">
        <w:t xml:space="preserve"> (udtrædelsesaftalen),</w:t>
      </w:r>
    </w:p>
    <w:p w14:paraId="4044F8A1" w14:textId="77777777" w:rsidR="00C16740" w:rsidRPr="007D1F16" w:rsidRDefault="00C16740" w:rsidP="00C16740">
      <w:pPr>
        <w:pStyle w:val="NormalHanging12a"/>
      </w:pPr>
      <w:r w:rsidRPr="007D1F16">
        <w:t>–</w:t>
      </w:r>
      <w:r w:rsidRPr="007D1F16">
        <w:tab/>
        <w:t>der henviser til Windsorrammen</w:t>
      </w:r>
      <w:r w:rsidRPr="007D1F16">
        <w:rPr>
          <w:rStyle w:val="FootnoteReference"/>
          <w:color w:val="000000"/>
        </w:rPr>
        <w:footnoteReference w:id="3"/>
      </w:r>
      <w:r w:rsidRPr="007D1F16">
        <w:t xml:space="preserve">, som indeholder en liste over de </w:t>
      </w:r>
      <w:proofErr w:type="spellStart"/>
      <w:r w:rsidRPr="007D1F16">
        <w:t>EU-retlige</w:t>
      </w:r>
      <w:proofErr w:type="spellEnd"/>
      <w:r w:rsidRPr="007D1F16">
        <w:t xml:space="preserve"> bestemmelser, der finder anvendelse på og i Det Forenede Kongerige for så vidt angår Nordirland,</w:t>
      </w:r>
    </w:p>
    <w:p w14:paraId="3102FF5F" w14:textId="77777777" w:rsidR="00C16740" w:rsidRPr="007D1F16" w:rsidRDefault="00C16740" w:rsidP="00C16740">
      <w:pPr>
        <w:pStyle w:val="NormalHanging12a"/>
      </w:pPr>
      <w:r w:rsidRPr="007D1F16">
        <w:t>–</w:t>
      </w:r>
      <w:r w:rsidRPr="007D1F16">
        <w:tab/>
        <w:t xml:space="preserve">der henviser til hhv. den fælles erklæring, sikkerheds- og forsvarspartnerskabet og den fælles forståelse om en fornyet dagsorden for samarbejdet mellem EU og Det Forenede Kongerige af 19. maj 2025, </w:t>
      </w:r>
    </w:p>
    <w:p w14:paraId="5B0BB2E8" w14:textId="77777777" w:rsidR="00C16740" w:rsidRPr="007D1F16" w:rsidRDefault="00C16740" w:rsidP="00C16740">
      <w:pPr>
        <w:pStyle w:val="NormalHanging12a"/>
      </w:pPr>
      <w:r w:rsidRPr="007D1F16">
        <w:lastRenderedPageBreak/>
        <w:t xml:space="preserve">– </w:t>
      </w:r>
      <w:r w:rsidRPr="007D1F16">
        <w:tab/>
        <w:t xml:space="preserve">der henviser til langfredagsaftalen fra 1998 og de efterfølgende gennemførelsesaftaler, </w:t>
      </w:r>
    </w:p>
    <w:p w14:paraId="6ADB4E7D" w14:textId="77777777" w:rsidR="00C16740" w:rsidRPr="007D1F16" w:rsidRDefault="00C16740" w:rsidP="00C16740">
      <w:pPr>
        <w:pStyle w:val="NormalHanging12a"/>
      </w:pPr>
      <w:r w:rsidRPr="007D1F16">
        <w:t>–</w:t>
      </w:r>
      <w:r w:rsidRPr="007D1F16">
        <w:tab/>
        <w:t>der henviser til Kommissionens rapport af 21. marts 2024 om gennemførelsen og anvendelsen af handels- og samarbejdsaftalen mellem Den Europæiske Union og Det Forenede Kongerige Storbritannien og Nordirland: 1. januar–31. december 2023 (COM(2024)0127),</w:t>
      </w:r>
    </w:p>
    <w:p w14:paraId="7A5EF3F0" w14:textId="77777777" w:rsidR="00C16740" w:rsidRPr="007D1F16" w:rsidRDefault="00C16740" w:rsidP="00C16740">
      <w:pPr>
        <w:pStyle w:val="NormalHanging12a"/>
      </w:pPr>
      <w:r w:rsidRPr="007D1F16">
        <w:t>–</w:t>
      </w:r>
      <w:r w:rsidRPr="007D1F16">
        <w:tab/>
        <w:t>der henviser til Kommissionens rapport af 4. april 2025 om gennemførelsen og anvendelsen af handels- og samarbejdsaftalen mellem Den Europæiske Union og Det Forenede Kongerige Storbritannien og Nordirland: 1. januar–31. december 2024 (COM(2025)0149),</w:t>
      </w:r>
    </w:p>
    <w:p w14:paraId="27C138FF" w14:textId="5A50875A" w:rsidR="00C16740" w:rsidRPr="007D1F16" w:rsidRDefault="00C16740" w:rsidP="00C16740">
      <w:pPr>
        <w:pStyle w:val="NormalHanging12a"/>
      </w:pPr>
      <w:r w:rsidRPr="007D1F16">
        <w:t>–</w:t>
      </w:r>
      <w:r w:rsidRPr="007D1F16">
        <w:tab/>
        <w:t>der henviser til sine beslutninger af 2. april 2025 om gennemførelsen af den fælles udenrigs- og sikkerhedspolitik – årlig betænkning 2024</w:t>
      </w:r>
      <w:r w:rsidRPr="007D1F16">
        <w:rPr>
          <w:rStyle w:val="FootnoteReference"/>
          <w:color w:val="000000"/>
        </w:rPr>
        <w:footnoteReference w:id="4"/>
      </w:r>
      <w:r w:rsidRPr="007D1F16">
        <w:t xml:space="preserve"> og om gennemførelsen af den fælles sikkerheds- og forsvarspolitik </w:t>
      </w:r>
      <w:r w:rsidR="00680CC1" w:rsidRPr="007D1F16">
        <w:t>–</w:t>
      </w:r>
      <w:r w:rsidR="00680CC1">
        <w:t xml:space="preserve"> </w:t>
      </w:r>
      <w:r w:rsidRPr="007D1F16">
        <w:t>årlig betænkning 2024</w:t>
      </w:r>
      <w:r w:rsidRPr="007D1F16">
        <w:rPr>
          <w:rStyle w:val="FootnoteReference"/>
          <w:color w:val="000000"/>
        </w:rPr>
        <w:footnoteReference w:id="5"/>
      </w:r>
      <w:r w:rsidRPr="007D1F16">
        <w:t>,</w:t>
      </w:r>
    </w:p>
    <w:p w14:paraId="3AB45D63" w14:textId="77777777" w:rsidR="00C16740" w:rsidRPr="007D1F16" w:rsidRDefault="00C16740" w:rsidP="00C16740">
      <w:pPr>
        <w:pStyle w:val="NormalHanging12a"/>
      </w:pPr>
      <w:r w:rsidRPr="007D1F16">
        <w:t>–</w:t>
      </w:r>
      <w:r w:rsidRPr="007D1F16">
        <w:tab/>
        <w:t>der henviser til Europa-Parlamentets og Rådets forordning (EU) 2021/1755 af 6. oktober 2021 om oprettelse af brexittilpasningsreserven</w:t>
      </w:r>
      <w:r w:rsidRPr="007D1F16">
        <w:rPr>
          <w:vertAlign w:val="superscript"/>
        </w:rPr>
        <w:footnoteReference w:id="6"/>
      </w:r>
      <w:r w:rsidRPr="007D1F16">
        <w:t xml:space="preserve"> (forordningen om brexittilpasningsreserven)</w:t>
      </w:r>
      <w:r w:rsidRPr="007D1F16">
        <w:rPr>
          <w:u w:val="single"/>
        </w:rPr>
        <w:t>,</w:t>
      </w:r>
      <w:r w:rsidRPr="007D1F16">
        <w:t xml:space="preserve"> </w:t>
      </w:r>
    </w:p>
    <w:p w14:paraId="346F7522" w14:textId="77777777" w:rsidR="00C16740" w:rsidRPr="007D1F16" w:rsidRDefault="00C16740" w:rsidP="00C16740">
      <w:pPr>
        <w:pStyle w:val="NormalHanging12a"/>
      </w:pPr>
      <w:r w:rsidRPr="007D1F16">
        <w:t>–</w:t>
      </w:r>
      <w:r w:rsidRPr="007D1F16">
        <w:tab/>
        <w:t xml:space="preserve">der henviser til Europa-Parlamentets og Rådets forordning (EU, </w:t>
      </w:r>
      <w:proofErr w:type="spellStart"/>
      <w:r w:rsidRPr="007D1F16">
        <w:t>Euratom</w:t>
      </w:r>
      <w:proofErr w:type="spellEnd"/>
      <w:r w:rsidRPr="007D1F16">
        <w:t>) 2024/2509 af 23. september 2024 om de finansielle regler vedrørende Unionens almindelige budget</w:t>
      </w:r>
      <w:r w:rsidRPr="007D1F16">
        <w:rPr>
          <w:rStyle w:val="FootnoteReference"/>
        </w:rPr>
        <w:footnoteReference w:id="7"/>
      </w:r>
      <w:r w:rsidRPr="007D1F16">
        <w:t xml:space="preserve">, </w:t>
      </w:r>
    </w:p>
    <w:p w14:paraId="32ED6ED9" w14:textId="77777777" w:rsidR="00C16740" w:rsidRPr="007D1F16" w:rsidRDefault="00C16740" w:rsidP="00C16740">
      <w:pPr>
        <w:pStyle w:val="NormalHanging12a"/>
        <w:rPr>
          <w:szCs w:val="24"/>
        </w:rPr>
      </w:pPr>
      <w:r w:rsidRPr="007D1F16">
        <w:t>–</w:t>
      </w:r>
      <w:r w:rsidRPr="007D1F16">
        <w:tab/>
        <w:t>der henviser til Europa-Parlamentets og Rådets forordning (EU) 2023/657 af 15. marts 2023 om regler for udøvelsen af Unionens rettigheder i forbindelse med gennemførelsen og håndhævelsen af aftalen om Det Forenede Kongerige Storbritannien og Nordirlands udtræden af Den Europæiske Union og Det Europæiske Atomenergifællesskab og handels- og samarbejdsaftalen mellem Den Europæiske Union og Det Europæiske Atomenergifællesskab på den ene side og Det Forenede Kongerige Storbritannien og Nordirland på den anden side</w:t>
      </w:r>
      <w:r w:rsidRPr="007D1F16">
        <w:rPr>
          <w:rStyle w:val="FootnoteReference"/>
          <w:color w:val="000000"/>
        </w:rPr>
        <w:footnoteReference w:id="8"/>
      </w:r>
      <w:r w:rsidRPr="007D1F16">
        <w:t>,</w:t>
      </w:r>
    </w:p>
    <w:p w14:paraId="59C237F9" w14:textId="77777777" w:rsidR="00C16740" w:rsidRPr="007D1F16" w:rsidRDefault="00C16740" w:rsidP="00C16740">
      <w:pPr>
        <w:pStyle w:val="NormalHanging12a"/>
      </w:pPr>
      <w:r w:rsidRPr="007D1F16">
        <w:t>–</w:t>
      </w:r>
      <w:r w:rsidRPr="007D1F16">
        <w:tab/>
        <w:t>der henviser til sin beslutning af 23. november 2023 om gennemførelsen af handels- og samarbejdsaftalen mellem EU og Det Forenede Kongerige</w:t>
      </w:r>
      <w:r w:rsidRPr="007D1F16">
        <w:rPr>
          <w:rStyle w:val="FootnoteReference"/>
          <w:color w:val="000000"/>
        </w:rPr>
        <w:footnoteReference w:id="9"/>
      </w:r>
      <w:r w:rsidRPr="007D1F16">
        <w:t>,</w:t>
      </w:r>
    </w:p>
    <w:p w14:paraId="0AEA2DB1" w14:textId="77777777" w:rsidR="00C16740" w:rsidRPr="007D1F16" w:rsidRDefault="00C16740" w:rsidP="00C16740">
      <w:pPr>
        <w:pStyle w:val="NormalHanging12a"/>
      </w:pPr>
      <w:r w:rsidRPr="007D1F16">
        <w:t>–</w:t>
      </w:r>
      <w:r w:rsidRPr="007D1F16">
        <w:tab/>
        <w:t>der henviser til møderne i Den Parlamentariske Partnerskabsforsamling EU-Det Forenede Kongerige og dennes holdninger,</w:t>
      </w:r>
    </w:p>
    <w:p w14:paraId="54E797CC" w14:textId="77777777" w:rsidR="00C16740" w:rsidRPr="007D1F16" w:rsidRDefault="00C16740" w:rsidP="00C16740">
      <w:pPr>
        <w:pStyle w:val="NormalHanging12a"/>
      </w:pPr>
      <w:r w:rsidRPr="007D1F16">
        <w:t>–</w:t>
      </w:r>
      <w:r w:rsidRPr="007D1F16">
        <w:tab/>
        <w:t>der henviser til den fælles hvidbog om europæisk forsvarsberedskab 2030 af 19. marts 2025 (JOIN(2025)0120),</w:t>
      </w:r>
    </w:p>
    <w:p w14:paraId="53B7454D" w14:textId="77777777" w:rsidR="00C16740" w:rsidRPr="007D1F16" w:rsidRDefault="00C16740" w:rsidP="00C16740">
      <w:pPr>
        <w:pStyle w:val="NormalHanging12a"/>
      </w:pPr>
      <w:r w:rsidRPr="007D1F16">
        <w:t>–</w:t>
      </w:r>
      <w:r w:rsidRPr="007D1F16">
        <w:tab/>
        <w:t>der henviser til sin beslutning af 12. marts 2025 om hvidbogen om fremtiden for det europæiske forsvar</w:t>
      </w:r>
      <w:r w:rsidRPr="007D1F16">
        <w:rPr>
          <w:rStyle w:val="FootnoteReference"/>
        </w:rPr>
        <w:footnoteReference w:id="10"/>
      </w:r>
      <w:r w:rsidRPr="007D1F16">
        <w:t>,</w:t>
      </w:r>
    </w:p>
    <w:p w14:paraId="38EA6CCC" w14:textId="77777777" w:rsidR="00C16740" w:rsidRPr="007D1F16" w:rsidRDefault="00C16740" w:rsidP="00C16740">
      <w:pPr>
        <w:pStyle w:val="NormalHanging12a"/>
      </w:pPr>
      <w:r w:rsidRPr="007D1F16">
        <w:t>–</w:t>
      </w:r>
      <w:r w:rsidRPr="007D1F16">
        <w:tab/>
        <w:t xml:space="preserve">der henviser til </w:t>
      </w:r>
      <w:proofErr w:type="spellStart"/>
      <w:r w:rsidRPr="007D1F16">
        <w:t>Sauli</w:t>
      </w:r>
      <w:proofErr w:type="spellEnd"/>
      <w:r w:rsidRPr="007D1F16">
        <w:t xml:space="preserve"> </w:t>
      </w:r>
      <w:proofErr w:type="spellStart"/>
      <w:r w:rsidRPr="007D1F16">
        <w:t>Niinistös</w:t>
      </w:r>
      <w:proofErr w:type="spellEnd"/>
      <w:r w:rsidRPr="007D1F16">
        <w:t xml:space="preserve"> rapport af 30. oktober 2024 med titlen "Safer Together – </w:t>
      </w:r>
      <w:r w:rsidRPr="007D1F16">
        <w:lastRenderedPageBreak/>
        <w:t>Strengthening Europe’s Civilian and Military Preparedness and Readiness",</w:t>
      </w:r>
    </w:p>
    <w:p w14:paraId="145C8F13" w14:textId="77777777" w:rsidR="00C16740" w:rsidRPr="007D1F16" w:rsidRDefault="00C16740" w:rsidP="00C16740">
      <w:pPr>
        <w:pStyle w:val="NormalHanging12a"/>
      </w:pPr>
      <w:r w:rsidRPr="007D1F16">
        <w:t>–</w:t>
      </w:r>
      <w:r w:rsidRPr="007D1F16">
        <w:tab/>
        <w:t>der henviser til Kommissionens forslag af 19. marts 2025 til Rådets forordning om oprettelse af instrumentet for sikkerhedstiltag for Europa gennem styrkelse af den europæiske forsvarsindustri (SAFE-instrumentet) (COM(2025)0122),</w:t>
      </w:r>
    </w:p>
    <w:p w14:paraId="3DE991E3" w14:textId="77777777" w:rsidR="00C16740" w:rsidRPr="007D1F16" w:rsidRDefault="00C16740" w:rsidP="00C16740">
      <w:pPr>
        <w:pStyle w:val="NormalHanging12a"/>
      </w:pPr>
      <w:r w:rsidRPr="007D1F16">
        <w:t>–</w:t>
      </w:r>
      <w:r w:rsidRPr="007D1F16">
        <w:tab/>
        <w:t xml:space="preserve">der henviser til aftalememorandummet af 27. juni 2023 om fastlæggelse af en ramme for reguleringssamarbejde om finansielle tjenesteydelser mellem EU og Det Forenede Kongerige og til den efterfølgende oprettelse af et fælles forum for finansiel regulering mellem EU og Det Forenede Kongerige, </w:t>
      </w:r>
    </w:p>
    <w:p w14:paraId="448E7DF7" w14:textId="77777777" w:rsidR="00C16740" w:rsidRPr="007D1F16" w:rsidRDefault="00C16740" w:rsidP="00C16740">
      <w:pPr>
        <w:pStyle w:val="NormalHanging12a"/>
        <w:rPr>
          <w:bCs/>
        </w:rPr>
      </w:pPr>
      <w:r w:rsidRPr="007D1F16">
        <w:t>–</w:t>
      </w:r>
      <w:r w:rsidRPr="007D1F16">
        <w:tab/>
        <w:t>der henviser til den europæiske menneskerettighedskonvention,</w:t>
      </w:r>
    </w:p>
    <w:p w14:paraId="29835808" w14:textId="77777777" w:rsidR="00C16740" w:rsidRPr="007D1F16" w:rsidRDefault="00C16740" w:rsidP="00C16740">
      <w:pPr>
        <w:pStyle w:val="NormalHanging12a"/>
      </w:pPr>
      <w:r w:rsidRPr="007D1F16">
        <w:t>–</w:t>
      </w:r>
      <w:r w:rsidRPr="007D1F16">
        <w:tab/>
        <w:t xml:space="preserve">der henviser til Romstatutten for Den Internationale Straffedomstol (ICC), </w:t>
      </w:r>
    </w:p>
    <w:p w14:paraId="2ED4E294" w14:textId="77777777" w:rsidR="00C16740" w:rsidRPr="007D1F16" w:rsidRDefault="00C16740" w:rsidP="00C16740">
      <w:pPr>
        <w:pStyle w:val="NormalHanging12a"/>
        <w:rPr>
          <w:bCs/>
        </w:rPr>
      </w:pPr>
      <w:r w:rsidRPr="007D1F16">
        <w:t>–</w:t>
      </w:r>
      <w:r w:rsidRPr="007D1F16">
        <w:tab/>
        <w:t>der henviser til den europæiske socialpagt,</w:t>
      </w:r>
    </w:p>
    <w:p w14:paraId="38052008" w14:textId="77777777" w:rsidR="00C16740" w:rsidRPr="007D1F16" w:rsidRDefault="00C16740" w:rsidP="00C16740">
      <w:pPr>
        <w:pStyle w:val="NormalHanging12a"/>
        <w:rPr>
          <w:bCs/>
        </w:rPr>
      </w:pPr>
      <w:r w:rsidRPr="007D1F16">
        <w:t>–</w:t>
      </w:r>
      <w:r w:rsidRPr="007D1F16">
        <w:tab/>
        <w:t>der henviser til Den Internationale Arbejdsorganisations (ILO's) konventioner og protokoller, navnlig ILO's grundlæggende instrumenter,</w:t>
      </w:r>
    </w:p>
    <w:p w14:paraId="37AAABB2" w14:textId="77777777" w:rsidR="00C16740" w:rsidRPr="007D1F16" w:rsidRDefault="00C16740" w:rsidP="00C16740">
      <w:pPr>
        <w:pStyle w:val="NormalHanging12a"/>
      </w:pPr>
      <w:r w:rsidRPr="007D1F16">
        <w:t>–</w:t>
      </w:r>
      <w:r w:rsidRPr="007D1F16">
        <w:tab/>
        <w:t xml:space="preserve">der henviser til FN's havretskonvention af 10. december 1982, kendt som Montego Bay-konventionen, </w:t>
      </w:r>
    </w:p>
    <w:p w14:paraId="2989AEDF" w14:textId="77777777" w:rsidR="00C16740" w:rsidRPr="007D1F16" w:rsidRDefault="00C16740" w:rsidP="00C16740">
      <w:pPr>
        <w:pStyle w:val="NormalHanging12a"/>
      </w:pPr>
      <w:r w:rsidRPr="007D1F16">
        <w:t>–</w:t>
      </w:r>
      <w:r w:rsidRPr="007D1F16">
        <w:tab/>
        <w:t>der henviser til voldgiftsrettens kendelse af 28. april 2025 i den voldgiftssag, der var indledt i henhold til artikel 739 i handels- og samarbejdsaftalen mellem Den Europæiske Union og Det Forenede Kongerige Storbritannien og Nordirland vedrørende Det Forenede Kongeriges afgørelse om at forbyde fiskeri af tobis</w:t>
      </w:r>
      <w:r w:rsidRPr="007D1F16">
        <w:rPr>
          <w:vertAlign w:val="superscript"/>
        </w:rPr>
        <w:footnoteReference w:id="11"/>
      </w:r>
      <w:r w:rsidRPr="007D1F16">
        <w:t xml:space="preserve">, </w:t>
      </w:r>
    </w:p>
    <w:p w14:paraId="2206675F" w14:textId="77777777" w:rsidR="00C16740" w:rsidRPr="007D1F16" w:rsidRDefault="00C16740" w:rsidP="00C16740">
      <w:pPr>
        <w:pStyle w:val="NormalHanging12a"/>
      </w:pPr>
      <w:r w:rsidRPr="007D1F16">
        <w:t>–</w:t>
      </w:r>
      <w:r w:rsidRPr="007D1F16">
        <w:tab/>
        <w:t>der henviser til afgørelse nr. 1/2023 af 10. marts 2023 vedtaget af Specialudvalget om Koordinering af Sociale Sikringsordninger, som er nedsat ved artikel 8, stk. 1, litra p), i handels- og samarbejdsaftalen mellem Den Europæiske Union og Det Europæiske Atomenergifællesskab på den ene side og Det Forenede Kongerige Storbritannien og Nordirland på den anden side, for så vidt angår anvendelsen af den elektroniske udveksling af oplysninger vedrørende socialsikring til fremsendelse af data mellem institutioner eller forbindelsesorganer</w:t>
      </w:r>
      <w:r w:rsidRPr="007D1F16">
        <w:rPr>
          <w:rStyle w:val="FootnoteReference"/>
        </w:rPr>
        <w:footnoteReference w:id="12"/>
      </w:r>
      <w:r w:rsidRPr="007D1F16">
        <w:t xml:space="preserve">, </w:t>
      </w:r>
    </w:p>
    <w:p w14:paraId="6AB8707D" w14:textId="77777777" w:rsidR="00C16740" w:rsidRPr="007D1F16" w:rsidRDefault="00C16740" w:rsidP="00C16740">
      <w:pPr>
        <w:tabs>
          <w:tab w:val="left" w:pos="567"/>
        </w:tabs>
        <w:spacing w:after="240"/>
        <w:ind w:left="567" w:hanging="567"/>
      </w:pPr>
      <w:bookmarkStart w:id="7" w:name="_Hlk210904078"/>
      <w:r w:rsidRPr="007D1F16">
        <w:t>–</w:t>
      </w:r>
      <w:r w:rsidRPr="007D1F16">
        <w:tab/>
        <w:t>der henviser til afgørelse nr. 2/2023 af 28. juni 2023 vedtaget af Specialudvalget om Koordinering af Sociale Sikringsordninger, som er nedsat ved artikel 8, stk. 1, litra p), i handels- og samarbejdsaftalen mellem Den Europæiske Union og Det Europæiske Atomenergifællesskab på den ene side og Det Forenede Kongerige Storbritannien og Nordirland på den anden side, for så vidt angår udpegelsen af den finansielle institution, der skal tjene som reference for fastsættelse af morarenter og valutaomregningskurser, samt den dato, der skal lægges til grund for fastsættelse af valutaomregningskurser</w:t>
      </w:r>
      <w:r w:rsidRPr="007D1F16">
        <w:rPr>
          <w:vertAlign w:val="superscript"/>
        </w:rPr>
        <w:footnoteReference w:id="13"/>
      </w:r>
      <w:r w:rsidRPr="007D1F16">
        <w:t xml:space="preserve">, </w:t>
      </w:r>
    </w:p>
    <w:p w14:paraId="40C06877" w14:textId="77777777" w:rsidR="00C16740" w:rsidRPr="007D1F16" w:rsidRDefault="00C16740" w:rsidP="00C16740">
      <w:pPr>
        <w:pStyle w:val="NormalHanging12a"/>
      </w:pPr>
      <w:r w:rsidRPr="007D1F16">
        <w:t>–</w:t>
      </w:r>
      <w:bookmarkEnd w:id="7"/>
      <w:r w:rsidRPr="007D1F16">
        <w:tab/>
        <w:t>der henviser til forretningsordenens artikel 55 og til artikel 1, stk. 1, litra f), i og bilag 3 til Formandskonferencens afgørelse af 11. december 2024 om proceduren for tilladelse til at udarbejde initiativbetænkninger,</w:t>
      </w:r>
    </w:p>
    <w:p w14:paraId="30747D24" w14:textId="77777777" w:rsidR="00C16740" w:rsidRPr="007D1F16" w:rsidRDefault="00C16740" w:rsidP="00C16740">
      <w:pPr>
        <w:pStyle w:val="NormalHanging12a"/>
      </w:pPr>
      <w:r w:rsidRPr="007D1F16">
        <w:lastRenderedPageBreak/>
        <w:t>–</w:t>
      </w:r>
      <w:r w:rsidRPr="007D1F16">
        <w:tab/>
        <w:t xml:space="preserve">der henviser til udtalelser fra Budgetudvalget, Økonomi- og Valutaudvalget, </w:t>
      </w:r>
      <w:r w:rsidRPr="007D1F16">
        <w:rPr>
          <w:snapToGrid w:val="0"/>
        </w:rPr>
        <w:t>Udvalget om Beskæftigelse og Sociale Anliggender, Udvalget om Miljø, Klima og Fødevaresikkerhed, Udvalget om Industri, Forskning og Energi, Udvalget om det Indre Marked og Forbrugerbeskyttelse, Transport- og Turismeudvalget, Fiskeriudvalget, Kultur- og Uddannelsesudvalget og Udvalget om Borgernes Rettigheder og Retlige og Indre Anliggender</w:t>
      </w:r>
      <w:r w:rsidRPr="007D1F16">
        <w:t>,</w:t>
      </w:r>
    </w:p>
    <w:p w14:paraId="7FF194BB" w14:textId="77777777" w:rsidR="00C16740" w:rsidRPr="007D1F16" w:rsidRDefault="00C16740" w:rsidP="00C16740">
      <w:pPr>
        <w:pStyle w:val="NormalHanging12a"/>
      </w:pPr>
      <w:r w:rsidRPr="007D1F16">
        <w:t>–</w:t>
      </w:r>
      <w:r w:rsidRPr="007D1F16">
        <w:tab/>
        <w:t>der henviser til betænkning fra Udenrigsudvalget og Udvalget om International Handel (A10-0226/2025),</w:t>
      </w:r>
    </w:p>
    <w:p w14:paraId="71E3D526" w14:textId="77777777" w:rsidR="00C16740" w:rsidRPr="007D1F16" w:rsidRDefault="00C16740" w:rsidP="00C16740">
      <w:pPr>
        <w:pStyle w:val="NormalHanging12a"/>
        <w:rPr>
          <w:szCs w:val="24"/>
        </w:rPr>
      </w:pPr>
      <w:r w:rsidRPr="007D1F16">
        <w:rPr>
          <w:caps/>
        </w:rPr>
        <w:t>A.</w:t>
      </w:r>
      <w:r w:rsidRPr="007D1F16">
        <w:rPr>
          <w:caps/>
        </w:rPr>
        <w:tab/>
      </w:r>
      <w:r w:rsidRPr="007D1F16">
        <w:t xml:space="preserve">der henviser til, at EU og Det Forenede Kongerige som en del af det samme kontinent og bundet af geografisk nærhed, fælles værdier og strategiske interesser står over for de samme udfordringer såsom klimaforandringer, et meget alvorligt og ustabilt globalt sikkerhedsmiljø og en verdensorden under forandring, som er præget af en krig på det europæiske kontinent og den hurtige udhuling af den internationale regelbaserede orden, hvilket har lagt øget pres på vores samfund, økonomier og sikkerhedsstrukturer; der henviser til, at denne situation øger behovet for at styrke det udenrigs- og forsvarspolitiske samarbejde mellem de to parter; der henviser til, at den aktuelle geopolitiske situation og de globale udfordringer viser, at et tættere samarbejde mellem EU og Det Forenede Kongerige er nødvendigt for hele kontinentets sikkerhed, stabilitet og velstand; der henviser til, at et tættere samarbejde mellem EU og Det Forenede Kongerige baseret på den forudsigelighed og struktur, som handels- og samarbejdsaftalen giver, er vigtigere end nogensinde for at beskytte fælles interesser og øge modstandsdygtigheden; </w:t>
      </w:r>
    </w:p>
    <w:p w14:paraId="4C74FF86" w14:textId="77777777" w:rsidR="00C16740" w:rsidRPr="007D1F16" w:rsidRDefault="00C16740" w:rsidP="00C16740">
      <w:pPr>
        <w:pStyle w:val="NormalHanging12a"/>
        <w:rPr>
          <w:szCs w:val="24"/>
        </w:rPr>
      </w:pPr>
      <w:r w:rsidRPr="007D1F16">
        <w:t>B.</w:t>
      </w:r>
      <w:r w:rsidRPr="007D1F16">
        <w:tab/>
        <w:t xml:space="preserve">der henviser til, at EU og Det Forenede Kongerige på det seneste har vist fornyet politisk vilje til at samarbejde og fortsat være stærke partnere i håndteringen af globale udfordringer og sikkerhedstrusler, herunder den trussel, som Rusland udgør for sikkerheden på hele det europæiske kontinent og for den regelbaserede verdensorden; der henviser til, at Det Forenede Kongeriges premierminister, Keir Starmer, i marts 2025 bekendtgjorde etableringen af en "koalition af villige" for at øge den koordinerede støtte til Ukraine, så det kan forsvare sig mod Ruslands aggression så længe, det er nødvendigt; </w:t>
      </w:r>
    </w:p>
    <w:p w14:paraId="3F7BA719" w14:textId="77777777" w:rsidR="00C16740" w:rsidRPr="007D1F16" w:rsidRDefault="00C16740" w:rsidP="00C16740">
      <w:pPr>
        <w:pStyle w:val="NormalHanging12a"/>
        <w:rPr>
          <w:szCs w:val="24"/>
        </w:rPr>
      </w:pPr>
      <w:r w:rsidRPr="007D1F16">
        <w:t>C.</w:t>
      </w:r>
      <w:r w:rsidRPr="007D1F16">
        <w:tab/>
        <w:t xml:space="preserve">der henviser til, at Det Forenede Kongeriges og EU's åbne og forbundne samfund og økonomier i stigende grad udsættes for skamløse hybridkampagner, herunder cyberangreb, udenlandsk informationsmanipulation og indblanding (FIMI), sabotage og instrumentalisering af migration; </w:t>
      </w:r>
    </w:p>
    <w:p w14:paraId="05C647BF" w14:textId="77777777" w:rsidR="00C16740" w:rsidRPr="007D1F16" w:rsidRDefault="00C16740" w:rsidP="00C16740">
      <w:pPr>
        <w:pStyle w:val="NormalHanging12a"/>
        <w:rPr>
          <w:szCs w:val="24"/>
        </w:rPr>
      </w:pPr>
      <w:r w:rsidRPr="007D1F16">
        <w:t>D.</w:t>
      </w:r>
      <w:r w:rsidRPr="007D1F16">
        <w:tab/>
        <w:t xml:space="preserve">der henviser til, at begge parter på topmødet mellem EU og Det Forenede Kongerige den 19. maj 2025 på ny bekræftede deres fornyede politiske vilje til at samarbejde som tætte og pålidelige partnere i håndteringen af de fælles globale udfordringer, vi står over for; der henviser til, at dette blev demonstreret tydeligst ved etableringen af et sikkerheds- og forsvarspartnerskab og gennem deres fortsatte og fælles støtte til Ukraine, så det kan forsvare sig mod Ruslands aggression, og for at få genoprettet omfattende, retfærdig og varig fred, herunder gennem forstærkede sikkerhedsmæssige tilsagn; </w:t>
      </w:r>
    </w:p>
    <w:p w14:paraId="22BB1FD0" w14:textId="77777777" w:rsidR="00C16740" w:rsidRPr="007D1F16" w:rsidRDefault="00C16740" w:rsidP="00C16740">
      <w:pPr>
        <w:pStyle w:val="NormalHanging12a"/>
        <w:rPr>
          <w:szCs w:val="24"/>
        </w:rPr>
      </w:pPr>
      <w:r w:rsidRPr="007D1F16">
        <w:t>E.</w:t>
      </w:r>
      <w:r w:rsidRPr="007D1F16">
        <w:tab/>
        <w:t xml:space="preserve">der henviser til, at multilateralisme, forsvaret af den regelbaserede internationale orden, fred, demokrati, retsstaten, menneskerettighederne, markedsøkonomien, bæredygtig udvikling og frihandel er kerneprincipper for både EU og Det Forenede Kongerige; der </w:t>
      </w:r>
      <w:r w:rsidRPr="007D1F16">
        <w:lastRenderedPageBreak/>
        <w:t>henviser til, at handels- og samarbejdsaftalen tilvejebringer en ramme, der med tiden kan styrkes med henblik på at opfylde fælles strategiske og økonomiske mål; der henviser til, at handels- og samarbejdsaftalen giver den nødvendige retssikkerhed til at fremme handel og et gnidningsløst samarbejde;</w:t>
      </w:r>
    </w:p>
    <w:p w14:paraId="7FC03597" w14:textId="77777777" w:rsidR="00C16740" w:rsidRPr="007D1F16" w:rsidRDefault="00C16740" w:rsidP="00C16740">
      <w:pPr>
        <w:pStyle w:val="NormalHanging12a"/>
        <w:rPr>
          <w:szCs w:val="24"/>
        </w:rPr>
      </w:pPr>
      <w:r w:rsidRPr="007D1F16">
        <w:t>F.</w:t>
      </w:r>
      <w:r w:rsidRPr="007D1F16">
        <w:tab/>
        <w:t>der henviser til, at de forvaltningsstrukturer, der er oprettet i henhold til handels- og samarbejdsaftalen, herunder Partnerskabsrådet og andre fælles organer, har fungeret effektivt, og at der i 2024 blev afholdt over 35 møder for at overvåge gennemførelsen af aftalen;</w:t>
      </w:r>
    </w:p>
    <w:p w14:paraId="0BD4E98E" w14:textId="5E657ED4" w:rsidR="00C16740" w:rsidRPr="007D1F16" w:rsidRDefault="00C16740" w:rsidP="00C16740">
      <w:pPr>
        <w:pStyle w:val="NormalHanging12a"/>
      </w:pPr>
      <w:r w:rsidRPr="007D1F16">
        <w:t>G.</w:t>
      </w:r>
      <w:r w:rsidRPr="007D1F16">
        <w:tab/>
        <w:t xml:space="preserve">der henviser til, at handels- og samarbejdsaftalen dækker områder såsom handel, energi, fiskeri, transport, retligt samarbejde og retshåndhævelsessamarbejde samt koordinering af de sociale sikringsordninger og skaber en diversificeret og omfattende ramme og sikrer fair konkurrence og lige vilkår inden for de områder, den dækker; der henviser til, at topmødet mellem EU og Det Forenede Kongerige bekræftede begge parters fornyede engagement i energisamarbejdet mellem EU og Det Forenede Kongerige, herunder planerne om at undersøge mulighederne for, at Det Forenede Kongeriges genindtræden i EU's indre marked </w:t>
      </w:r>
      <w:r w:rsidR="00EA55F5" w:rsidRPr="00EA55F5">
        <w:t>for elektricitet</w:t>
      </w:r>
      <w:r w:rsidR="00EA55F5">
        <w:t xml:space="preserve"> </w:t>
      </w:r>
      <w:r w:rsidRPr="007D1F16">
        <w:t>med henblik på at sænke omkostningerne til ren energi og forbedre konkurrenceevnen;</w:t>
      </w:r>
    </w:p>
    <w:p w14:paraId="02109E44" w14:textId="77777777" w:rsidR="00C16740" w:rsidRPr="007D1F16" w:rsidRDefault="00C16740" w:rsidP="00C16740">
      <w:pPr>
        <w:pStyle w:val="NormalHanging12a"/>
      </w:pPr>
      <w:r w:rsidRPr="007D1F16">
        <w:t>H.</w:t>
      </w:r>
      <w:r w:rsidRPr="007D1F16">
        <w:tab/>
        <w:t xml:space="preserve">der henviser til, at gennemførelsen af handels- og samarbejdsaftalen kan tjene som et værdifuldt incitament til at fremme uddannelse, udvikling af færdigheder og investeringer i immaterielle aktiver såsom menneskelig kapital, både i og uden for EU; der henviser til, at betydningen af at fremme videnudveksling og samarbejde om at forbedre den enkeltes færdigheder og bidrage til en mere konkurrencedygtig, bæredygtig og inkluderende global arbejdsstyrke er anerkendt; </w:t>
      </w:r>
    </w:p>
    <w:p w14:paraId="52945A96" w14:textId="77777777" w:rsidR="00C16740" w:rsidRPr="007D1F16" w:rsidRDefault="00C16740" w:rsidP="00C16740">
      <w:pPr>
        <w:pStyle w:val="NormalHanging12a"/>
      </w:pPr>
      <w:r w:rsidRPr="007D1F16">
        <w:t>I.</w:t>
      </w:r>
      <w:r w:rsidRPr="007D1F16">
        <w:tab/>
        <w:t xml:space="preserve">der henviser til, at handels- og samarbejdsaftalen er den første handelsaftale, som er undertegnet af EU, der indeholder Parisaftalen som en væsentlig klausul; der henviser til, at både Det Forenede Kongeriges og EU-medlemsstaternes deltagelse i den europæiske menneskerettighedskonvention ligeledes er en vigtig bestemmelse i aftalen; der henviser til, at handels- og samarbejdsaftalen ikke omfatter finansielle tjenesteydelser, migration, Erasmus+-programmet, udenrigspolitik eller forsvar; der henviser til, at topmødet mellem Det Forenede Kongerige og EU, som blev afholdt den 19. maj 2025, fastlagde vigtige skridt til at udfylde disse huller; </w:t>
      </w:r>
    </w:p>
    <w:p w14:paraId="20641C11" w14:textId="77777777" w:rsidR="00C16740" w:rsidRPr="007D1F16" w:rsidRDefault="00C16740" w:rsidP="00C16740">
      <w:pPr>
        <w:pStyle w:val="NormalHanging12a"/>
      </w:pPr>
      <w:r w:rsidRPr="007D1F16">
        <w:t>J.</w:t>
      </w:r>
      <w:r w:rsidRPr="007D1F16">
        <w:tab/>
        <w:t>der henviser til, at handels- og samarbejdsaftalen pålægger begge parter en forpligtelse til at overholde de grundlæggende rettigheder og retsprincipper, som navnlig afspejles i den europæiske menneskerettighedskonvention; der henviser til, at Den Europæiske Menneskerettighedsdomstols afgørelser udgør en væsentlig del af menneskerettighedsarkitekturen på hele det europæiske kontinent; der henviser til, at Irland i januar 2024 indgav en mellemstatslig klage over Det Forenede Kongerige til Den Europæiske Menneskerettighedsdomstol vedrørende "Northern Ireland Troubles (Legacy and Reconciliation) Act 2023" (lov om konflikten i Nordirland (arv og forsoning fra 2023);</w:t>
      </w:r>
    </w:p>
    <w:p w14:paraId="3B956E0D" w14:textId="77777777" w:rsidR="00C16740" w:rsidRPr="007D1F16" w:rsidRDefault="00C16740" w:rsidP="00C16740">
      <w:pPr>
        <w:pStyle w:val="NormalHanging12a"/>
      </w:pPr>
      <w:r w:rsidRPr="007D1F16">
        <w:t>K.</w:t>
      </w:r>
      <w:r w:rsidRPr="007D1F16">
        <w:tab/>
        <w:t xml:space="preserve">der henviser til, at handels- og samarbejdsaftalen ikke omfatter en ramme for samarbejde om udenrigs-, sikkerheds- og forsvarspolitik; der henviser til, at både EU og Det Forenede Kongerige siden udtrykkeligt har anerkendt betydningen og merværdien af et struktureret samarbejde på disse områder, navnlig i lyset af den aktuelle geopolitiske kontekst; der henviser til, at topmødet mellem EU og Det Forenede </w:t>
      </w:r>
      <w:r w:rsidRPr="007D1F16">
        <w:lastRenderedPageBreak/>
        <w:t>Kongerige, som blev afholdt den 19. maj 2025, resulterede i undertegnelsen af et sikkerheds- og forsvarspartnerskab, hvilket markerede et vigtigt skridt i retning af at formalisere et sådant samarbejde; der henviser til, at et dybere samarbejde på disse områder vil bidrage til at styrke Europas sikkerhed, modstandsdygtighed og fælles velstand for alle borgere, og at dets fordele også vil kunne mærkes uden for vores grænser;</w:t>
      </w:r>
    </w:p>
    <w:p w14:paraId="6EABB333" w14:textId="77777777" w:rsidR="00C16740" w:rsidRPr="007D1F16" w:rsidRDefault="00C16740" w:rsidP="00C16740">
      <w:pPr>
        <w:pStyle w:val="NormalHanging12a"/>
        <w:rPr>
          <w:szCs w:val="24"/>
        </w:rPr>
      </w:pPr>
      <w:r w:rsidRPr="007D1F16">
        <w:t xml:space="preserve">L. </w:t>
      </w:r>
      <w:r w:rsidRPr="007D1F16">
        <w:tab/>
        <w:t>der henviser til, at EU's medlemsstater har forskellige militær- og sikkerhedspolitikker, herunder neutralitetspolitikker; der henviser til, at sådanne politikker bør respekteres;</w:t>
      </w:r>
    </w:p>
    <w:p w14:paraId="4C069A7F" w14:textId="77777777" w:rsidR="00C16740" w:rsidRPr="007D1F16" w:rsidRDefault="00C16740" w:rsidP="00C16740">
      <w:pPr>
        <w:pStyle w:val="NormalHanging12a"/>
        <w:rPr>
          <w:szCs w:val="24"/>
        </w:rPr>
      </w:pPr>
      <w:bookmarkStart w:id="8" w:name="_Hlk210808872"/>
      <w:r w:rsidRPr="007D1F16">
        <w:t>M.</w:t>
      </w:r>
      <w:r w:rsidRPr="007D1F16">
        <w:tab/>
        <w:t>der henviser til, at Det Forenede Kongerige og Frankrig er de eneste europæiske lande, der er i besiddelse af kernevåben; der henviser til, at nuklear afskrækkelse er af afgørende betydning for at beskytte Europa som kontinent; der henviser til, at Parlamentet på ny bekræfter sin fulde opbakning til EU's og dets medlemsstaters engagement i traktaten om ikkespredning af kernevåben som hjørnestenen i ordningen for ikkespredning af kernevåben og atomnedrustning; der henviser til, at Parlamentet insisterer på nødvendigheden af at sikre, at EU spiller en stærk og konstruktiv rolle med hensyn til at udvikle og forstærke den globale regelbaserede ikkespredningsindsats og våbenkontrol- og nedrustningsarkitekturen;</w:t>
      </w:r>
    </w:p>
    <w:bookmarkEnd w:id="8"/>
    <w:p w14:paraId="3461D46D" w14:textId="77777777" w:rsidR="00C16740" w:rsidRPr="007D1F16" w:rsidRDefault="00C16740" w:rsidP="00C16740">
      <w:pPr>
        <w:pStyle w:val="NormalHanging12a"/>
        <w:rPr>
          <w:szCs w:val="24"/>
        </w:rPr>
      </w:pPr>
      <w:r w:rsidRPr="007D1F16">
        <w:t>N.</w:t>
      </w:r>
      <w:r w:rsidRPr="007D1F16">
        <w:tab/>
        <w:t>der henviser til, at udtrædelsesaftalen og handels- og samarbejdsaftalen udgør rammerne for Det Forenede Kongeriges forbindelser med EU; der henviser til, at begge aftaler er blevet ratificeret af EU og Det Forenede Kongerige og er juridisk bindende traktater i henhold til folkeretten; der henviser til, at forholdet mellem EU og Det Forenede Kongerige skal være baseret på fuld respekt for og reel anvendelse af disse internationale forpligtelser i praksis;</w:t>
      </w:r>
    </w:p>
    <w:p w14:paraId="281F2EB8" w14:textId="77777777" w:rsidR="00C16740" w:rsidRPr="007D1F16" w:rsidRDefault="00C16740" w:rsidP="00C16740">
      <w:pPr>
        <w:pStyle w:val="NormalHanging12a"/>
        <w:rPr>
          <w:szCs w:val="24"/>
        </w:rPr>
      </w:pPr>
      <w:bookmarkStart w:id="9" w:name="_Hlk210808919"/>
      <w:bookmarkStart w:id="10" w:name="_Hlk210809297"/>
      <w:r w:rsidRPr="007D1F16">
        <w:t>O.</w:t>
      </w:r>
      <w:r w:rsidRPr="007D1F16">
        <w:tab/>
        <w:t>der henviser til, at Parlamentet fortsat er særlig opmærksomt på situationen for EU-borgere, der bor i Det Forenede Kongerige, og britiske statsborgere, der bor i EU; der henviser til, at Det Forenede Kongeriges uafhængige tilsynsmyndighed (IMA) for aftaler om borgerrettigheder modtog 79 klager fra EU- og EØS-borgere i perioden 1. januar-30. juni 2023</w:t>
      </w:r>
      <w:r w:rsidRPr="007D1F16">
        <w:rPr>
          <w:rStyle w:val="FootnoteReference"/>
          <w:szCs w:val="24"/>
        </w:rPr>
        <w:footnoteReference w:id="14"/>
      </w:r>
      <w:r w:rsidRPr="007D1F16">
        <w:t>; der henviser til, at de fleste klager vedrører opholdsretten og navnlig drejer sig om lange ventetider for deres ansøgning om tidsubegrænset opholdsret for EU-borgere, tilsvarende lange ventetider for ansøgninger om opholdstilladelse til familiemedlemmer og langvarige administrative gennemgange af tidsubegrænset opholdsret for EU-borgere, efterfulgt af spørgsmålet om ligebehandling; der henviser til, at IMA i december 2024 angav en afslagsrate på 21 % for ansøgninger om tidsubegrænset opholdsret for EU-borgere i Nordirland, hvilket gør den til den højeste afslagsrate i Det Forenede Kongerige</w:t>
      </w:r>
      <w:r w:rsidRPr="007D1F16">
        <w:rPr>
          <w:rStyle w:val="FootnoteReference"/>
          <w:szCs w:val="24"/>
        </w:rPr>
        <w:footnoteReference w:id="15"/>
      </w:r>
      <w:r w:rsidRPr="007D1F16">
        <w:t>;</w:t>
      </w:r>
      <w:bookmarkEnd w:id="9"/>
      <w:r w:rsidRPr="007D1F16">
        <w:t xml:space="preserve"> </w:t>
      </w:r>
    </w:p>
    <w:bookmarkEnd w:id="10"/>
    <w:p w14:paraId="4F500982" w14:textId="77777777" w:rsidR="00C16740" w:rsidRPr="007D1F16" w:rsidRDefault="00C16740" w:rsidP="00C16740">
      <w:pPr>
        <w:pStyle w:val="NormalHanging12a"/>
        <w:rPr>
          <w:szCs w:val="24"/>
        </w:rPr>
      </w:pPr>
      <w:r w:rsidRPr="007D1F16">
        <w:t>P.</w:t>
      </w:r>
      <w:r w:rsidRPr="007D1F16">
        <w:tab/>
      </w:r>
      <w:bookmarkStart w:id="11" w:name="_Hlk210809331"/>
      <w:r w:rsidRPr="007D1F16">
        <w:t>der henviser til, at EU har et særligt ansvar for at sikre, at både langfredagsaftalen og freden i Nordirland opretholdes;</w:t>
      </w:r>
      <w:bookmarkEnd w:id="11"/>
      <w:r w:rsidRPr="007D1F16">
        <w:rPr>
          <w:b/>
          <w:i/>
        </w:rPr>
        <w:t xml:space="preserve"> </w:t>
      </w:r>
      <w:r w:rsidRPr="007D1F16">
        <w:t>der henviser til, at gennemførelsen af handels- og samarbejdsaftalen er direkte forbundet med den fulde gennemførelse af udtrædelsesaftalen; der henviser til, at aftalens fulde gennemførelse blev forsinket, mens EU og Det Forenede Kongerige fandt frem til fælles løsninger på de praktiske udfordringer, som opstod i forbindelse med gennemførelsen af protokollen om Irland/Nordirland, der blev udarbejdet som følge af brexit;</w:t>
      </w:r>
    </w:p>
    <w:p w14:paraId="4C8990B3" w14:textId="77777777" w:rsidR="00C16740" w:rsidRPr="007D1F16" w:rsidRDefault="00C16740" w:rsidP="00C16740">
      <w:pPr>
        <w:pStyle w:val="NormalHanging12a"/>
      </w:pPr>
      <w:r w:rsidRPr="007D1F16">
        <w:lastRenderedPageBreak/>
        <w:t>Q.</w:t>
      </w:r>
      <w:r w:rsidRPr="007D1F16">
        <w:tab/>
        <w:t>der henviser til, at Windsorrammen, som der blev indgået aftale om i 2023, imødegår nogle af de praktiske udfordringer, der er opstået som følge af anvendelsen af protokollen om Irland/Nordirland i de første år af dens gennemførelse, og skaber øget retssikkerhed og derfor baner vejen for fuld gennemførelse af udtrædelsesaftalen og handels- og samarbejdsaftalen i Nordirland; der henviser til, at Windsorrammen dækker en lang række områder såsom demokratisk regeringsførelse, rettigheder, beskyttelsesgarantier og lige muligheder, handel, told, landbrugsfødevarer, lægemidler, statsstøtte, moms og punktafgifter; der henviser til, at langfredagsaftalen har understøttet fred og stabilitet på øen Irland i over 25 år; der henviser til, at Nordirlands unikke status, som er anerkendt i protokollen og Windsorrammen, skal respekteres fuldt ud i fremtidige forhandlinger mellem EU og Det Forenede Kongerige for at sikre, at ingen ordninger bringer dette resultat i fare; der henviser til, at den nuværende britiske regering har forpligtet sig til at ophæve og erstatte den tidligere regerings "Legacy Act"; der henviser til, at den nuværende globale handelsuro har en unik indvirkning på Nordirland på grund af dets unikke position som følge af brexit, og til, at både Det Forenede Kongerige og EU skal være opmærksomme på denne position, når de formulerer handelspolitikken;</w:t>
      </w:r>
    </w:p>
    <w:p w14:paraId="54810003" w14:textId="77777777" w:rsidR="00C16740" w:rsidRPr="007D1F16" w:rsidRDefault="00C16740" w:rsidP="00C16740">
      <w:pPr>
        <w:pStyle w:val="NormalHanging12a"/>
      </w:pPr>
      <w:r w:rsidRPr="007D1F16">
        <w:t>R.</w:t>
      </w:r>
      <w:r w:rsidRPr="007D1F16">
        <w:tab/>
        <w:t>der henviser til, at indgåelsen af aftalen om Windsorrammen sammen med tilsagnet fra Det Forenede Kongeriges premierminister om at "omstille" Det Forenede Kongeriges forbindelser med EU i juli 2024 åbnede et nyt og ambitiøst kapitel i forbindelserne mellem EU og Det Forenede Kongerige;</w:t>
      </w:r>
    </w:p>
    <w:p w14:paraId="73EA5CE3" w14:textId="77777777" w:rsidR="00C16740" w:rsidRPr="007D1F16" w:rsidRDefault="00C16740" w:rsidP="00C16740">
      <w:pPr>
        <w:pStyle w:val="NormalHanging12a"/>
        <w:rPr>
          <w:szCs w:val="24"/>
        </w:rPr>
      </w:pPr>
      <w:r w:rsidRPr="007D1F16">
        <w:t>S.</w:t>
      </w:r>
      <w:r w:rsidRPr="007D1F16">
        <w:tab/>
      </w:r>
      <w:bookmarkStart w:id="12" w:name="_Hlk210809506"/>
      <w:r w:rsidRPr="007D1F16">
        <w:t>der henviser til, at topmødet mellem EU og Det Forenede Kongerige den 19. maj 2025 havde positive resultater for begge parter og på ny bekræftede deres politiske tilsagn om at uddybe partnerskabet, herunder gennem et strategisk partnerskab; der henviser til, at topmødet resulterede i fremskridt på en række områder, herunder sundheds- og plantesundhedsforanstaltninger (SPS-foranstaltninger), unges mobilitet og energisamarbejde;</w:t>
      </w:r>
      <w:bookmarkEnd w:id="12"/>
    </w:p>
    <w:p w14:paraId="00FA5C97" w14:textId="77777777" w:rsidR="00C16740" w:rsidRPr="007D1F16" w:rsidRDefault="00C16740" w:rsidP="00C16740">
      <w:pPr>
        <w:pStyle w:val="NormalHanging12a"/>
        <w:rPr>
          <w:szCs w:val="24"/>
        </w:rPr>
      </w:pPr>
      <w:r w:rsidRPr="007D1F16">
        <w:t>T.</w:t>
      </w:r>
      <w:r w:rsidRPr="007D1F16">
        <w:tab/>
        <w:t>der henviser til, at topmødet mellem EU og Det Forenede Kongerige lagde fundamentet til en mere struktureret og fremadskuende bilateral dagsorden; der henviser til, at hensigten med dette topmøde var at markere begyndelsen på en regelmæssig og struktureret politisk dialog, idet der forventes yderligere møder på områder som udenrigs</w:t>
      </w:r>
      <w:r w:rsidRPr="007D1F16">
        <w:noBreakHyphen/>
        <w:t>, sikkerheds</w:t>
      </w:r>
      <w:r w:rsidRPr="007D1F16">
        <w:noBreakHyphen/>
        <w:t xml:space="preserve"> og forsvarspolitik, mobilitet, energi, klima, forskning og intern sikkerhed; der henviser til, at Kommissionen har bekræftet, at de sonderende drøftelser, der blev afholdt forud for topmødet, var en del af en bredere, igangværende proces med sigte på at uddybe samarbejdet på mange områder; </w:t>
      </w:r>
    </w:p>
    <w:p w14:paraId="1FBEC488" w14:textId="77777777" w:rsidR="00C16740" w:rsidRPr="007D1F16" w:rsidRDefault="00C16740" w:rsidP="00C16740">
      <w:pPr>
        <w:pStyle w:val="NormalHanging12a"/>
        <w:rPr>
          <w:szCs w:val="24"/>
        </w:rPr>
      </w:pPr>
      <w:r w:rsidRPr="007D1F16">
        <w:t>U.</w:t>
      </w:r>
      <w:r w:rsidRPr="007D1F16">
        <w:tab/>
        <w:t xml:space="preserve">der henviser til, at de tilsagn, der blev givet under topmødet mellem EU og Det Forenede Kongerige, bør være mere end blot politiske erklæringer og også bør ledsages af konkrete og retligt bindende aftaler og delmål for både EU og Det Forenede Kongerige inden for en rimelig tidsramme, navnlig for deres borgere og deres virksomheder; </w:t>
      </w:r>
    </w:p>
    <w:p w14:paraId="7486474F" w14:textId="77777777" w:rsidR="00C16740" w:rsidRPr="007D1F16" w:rsidRDefault="00C16740" w:rsidP="00C16740">
      <w:pPr>
        <w:pStyle w:val="NormalHanging12a"/>
        <w:rPr>
          <w:szCs w:val="24"/>
        </w:rPr>
      </w:pPr>
      <w:r w:rsidRPr="007D1F16">
        <w:t>V.</w:t>
      </w:r>
      <w:r w:rsidRPr="007D1F16">
        <w:tab/>
        <w:t xml:space="preserve">der henviser til, at EU og Det Forenede Kongerige er nødt til at tilpasse sig udviklingen af dynamikken i den transatlantiske sikkerhed og skal styrke deres egne kapabiliteter sammen med andre ligesindede partnere for at håndtere denne udvikling; </w:t>
      </w:r>
    </w:p>
    <w:p w14:paraId="5E6A85FD" w14:textId="77777777" w:rsidR="00C16740" w:rsidRPr="007D1F16" w:rsidRDefault="00C16740" w:rsidP="00C16740">
      <w:pPr>
        <w:pStyle w:val="NormalHanging12a"/>
        <w:rPr>
          <w:szCs w:val="24"/>
        </w:rPr>
      </w:pPr>
      <w:r w:rsidRPr="007D1F16">
        <w:t>W.</w:t>
      </w:r>
      <w:r w:rsidRPr="007D1F16">
        <w:tab/>
        <w:t xml:space="preserve">der henviser til, at handels- og samarbejdsaftalen kræver respekt for demokratiet, retsstatsprincippet og beskyttelsen af individets grundlæggende rettigheder og </w:t>
      </w:r>
      <w:r w:rsidRPr="007D1F16">
        <w:lastRenderedPageBreak/>
        <w:t xml:space="preserve">frihedsrettigheder, herunder dem, der er fastsat i verdenserklæringen om menneskerettighederne og i den europæiske menneskerettighedskonvention; der henviser til, at disse rettigheder fungerer som vejledende principper for arbejdet i de interne rådgivende grupper, herunder om kapitlerne i handels- og samarbejdsaftalen; der henviser til, at EU's interne rådgivende grupper spiller en central rolle i at overvåge gennemførelsen af handels- og samarbejdsaftalen; der henviser til, at civilsamfundsforummet, der er oprettet i henhold til handels- og samarbejdsaftalens artikel 14, fungerer som en meget vigtig platform for civilsamfundsorganisationer, EU-virksomheder, fagforeninger og andre arbejdstagerorganisationer til at give udtryk for deres synspunkter om gennemførelsen af handels- og samarbejdsaftalen og spiller en afgørende rolle med hensyn til at støtte Kommissionens dialog med Det Forenede Kongerige; </w:t>
      </w:r>
    </w:p>
    <w:p w14:paraId="37A32CE0" w14:textId="77777777" w:rsidR="00C16740" w:rsidRPr="007D1F16" w:rsidRDefault="00C16740" w:rsidP="00C16740">
      <w:pPr>
        <w:pStyle w:val="NormalHanging12a"/>
        <w:rPr>
          <w:szCs w:val="24"/>
        </w:rPr>
      </w:pPr>
      <w:r w:rsidRPr="007D1F16">
        <w:t>X.</w:t>
      </w:r>
      <w:r w:rsidRPr="007D1F16">
        <w:tab/>
        <w:t>der henviser til, at EU og Det Forenede Kongerige den 19. maj 2025 vedtog en politisk aftale, der vil muliggøre fuld gensidig adgang til farvande med henblik på fiskeri indtil den 30. juni 2038</w:t>
      </w:r>
      <w:r w:rsidRPr="007D1F16">
        <w:rPr>
          <w:szCs w:val="24"/>
          <w:vertAlign w:val="superscript"/>
        </w:rPr>
        <w:footnoteReference w:id="16"/>
      </w:r>
      <w:r w:rsidRPr="007D1F16">
        <w:t>;</w:t>
      </w:r>
      <w:r w:rsidRPr="007D1F16">
        <w:rPr>
          <w:vertAlign w:val="superscript"/>
        </w:rPr>
        <w:t xml:space="preserve"> </w:t>
      </w:r>
    </w:p>
    <w:p w14:paraId="09FD71C8" w14:textId="77777777" w:rsidR="00C16740" w:rsidRPr="007D1F16" w:rsidRDefault="00C16740" w:rsidP="00C16740">
      <w:pPr>
        <w:pStyle w:val="NormalHanging12a"/>
        <w:rPr>
          <w:i/>
          <w:iCs/>
          <w:szCs w:val="24"/>
        </w:rPr>
      </w:pPr>
      <w:r w:rsidRPr="007D1F16">
        <w:t>Y.</w:t>
      </w:r>
      <w:r w:rsidRPr="007D1F16">
        <w:tab/>
      </w:r>
      <w:bookmarkStart w:id="13" w:name="_Hlk210813645"/>
      <w:r w:rsidRPr="007D1F16">
        <w:t>der henviser til, at EU stadig er Det Forenede Kongeriges vigtigste handelspartner;</w:t>
      </w:r>
      <w:bookmarkEnd w:id="13"/>
      <w:r w:rsidRPr="007D1F16">
        <w:t xml:space="preserve"> der henviser til, at Parlamentet anerkender, at betydningen af gennemsigtighed </w:t>
      </w:r>
      <w:bookmarkStart w:id="14" w:name="_Hlk210813661"/>
      <w:r w:rsidRPr="007D1F16">
        <w:t>og stabilitet</w:t>
      </w:r>
      <w:bookmarkEnd w:id="14"/>
      <w:r w:rsidRPr="007D1F16">
        <w:t xml:space="preserve"> i international handel og internationale investeringer er til gavn for alle interessenter og parter; der henviser til, at et forudsigeligt handelsklima, som fremmer handel og investeringer mellem EU og Det Forenede Kongerige, </w:t>
      </w:r>
      <w:bookmarkStart w:id="15" w:name="_Hlk210813699"/>
      <w:r w:rsidRPr="007D1F16">
        <w:t>og som medfører vækst og beskæftigelse, er af afgørende betydning</w:t>
      </w:r>
      <w:bookmarkEnd w:id="15"/>
      <w:r w:rsidRPr="007D1F16">
        <w:t>;</w:t>
      </w:r>
    </w:p>
    <w:p w14:paraId="5B02C86B" w14:textId="77777777" w:rsidR="00C16740" w:rsidRPr="007D1F16" w:rsidRDefault="00C16740" w:rsidP="00C16740">
      <w:pPr>
        <w:pStyle w:val="NormalHanging12a"/>
        <w:rPr>
          <w:szCs w:val="24"/>
        </w:rPr>
      </w:pPr>
      <w:bookmarkStart w:id="16" w:name="_Hlk210813727"/>
      <w:r w:rsidRPr="007D1F16">
        <w:t>Z.</w:t>
      </w:r>
      <w:r w:rsidRPr="007D1F16">
        <w:tab/>
        <w:t xml:space="preserve">der henviser til, at selv om handels- og samarbejdsaftalen sikrer nultoldsatser og toldfri kontingenter, udrydder den ikke ikketoldmæssige hindringer; der henviser til, at virksomhederne, og særligt små og mellemstore virksomheder (SMV'er), som følge af brexit er stillet over for øgede toldangivelser, overensstemmelseskontroller og lovgivningsmæssige krav, hvilket fører til højere driftsomkostninger og betydelige forsinkelser ved grænserne; der henviser til, at utilstrækkelig infrastruktur og mangel på uddannede toldklarerere har sat systemet under yderligere pres og forårsaget forstyrrelser af den rettidige godstransport; </w:t>
      </w:r>
      <w:bookmarkEnd w:id="16"/>
    </w:p>
    <w:p w14:paraId="14CF84A5" w14:textId="77777777" w:rsidR="00C16740" w:rsidRPr="007D1F16" w:rsidRDefault="00C16740" w:rsidP="00C16740">
      <w:pPr>
        <w:pStyle w:val="NormalHanging12a"/>
      </w:pPr>
      <w:r w:rsidRPr="007D1F16">
        <w:t>AA.</w:t>
      </w:r>
      <w:r w:rsidRPr="007D1F16">
        <w:tab/>
        <w:t xml:space="preserve">der henviser til, at let, effektiv og økonomisk overkommelig vej-, jernbane-, skibs- og lufttransport mellem EU og Det Forenede Kongerige er af afgørende betydning med henblik på at sikre et højt mobilitetsniveau for de mange statsborgere i EU-medlemsstater, der bor og arbejder i Det Forenede Kongerige, og også for britiske statsborgere, der rejser til EU som turister; </w:t>
      </w:r>
    </w:p>
    <w:p w14:paraId="78206443" w14:textId="77777777" w:rsidR="00C16740" w:rsidRPr="007D1F16" w:rsidRDefault="00C16740" w:rsidP="00C16740">
      <w:pPr>
        <w:pStyle w:val="NormalHanging12a"/>
        <w:rPr>
          <w:szCs w:val="24"/>
        </w:rPr>
      </w:pPr>
      <w:r w:rsidRPr="007D1F16">
        <w:t>AB.</w:t>
      </w:r>
      <w:r w:rsidRPr="007D1F16">
        <w:tab/>
        <w:t xml:space="preserve">der henviser til, at det er Kommissionens generelle vurdering, at handels- og samarbejdsaftalen er en moderne og omfattende aftale, som afspejler EU's interesser i handel og samarbejde, samtidig med at den opretholder de røde linjer, der blev fastlagt af EU-institutionerne og medlemsstaterne i forbindelse med Det Forenede Kongeriges udtrædelsesproces; der henviser til, at Kommissionen i sine årlige gennemførelsesrapporter for årene 2021-2024 fastslog, at de samhandelsordninger for varer og tjenesteydelser, der er fastsat i handels- og samarbejdsaftalen, generelt har </w:t>
      </w:r>
      <w:r w:rsidRPr="007D1F16">
        <w:lastRenderedPageBreak/>
        <w:t>fungeret godt til trods for visse problemer med gennemførelsen;</w:t>
      </w:r>
    </w:p>
    <w:p w14:paraId="0DB352A2" w14:textId="77777777" w:rsidR="00C16740" w:rsidRPr="007D1F16" w:rsidRDefault="00C16740" w:rsidP="00C16740">
      <w:pPr>
        <w:pStyle w:val="NormalHanging12a"/>
        <w:rPr>
          <w:szCs w:val="24"/>
        </w:rPr>
      </w:pPr>
      <w:r w:rsidRPr="007D1F16">
        <w:t>AC.</w:t>
      </w:r>
      <w:r w:rsidRPr="007D1F16">
        <w:tab/>
        <w:t>der henviser til, at tjenesteydere eller investorer fra EU i henhold til handels- og samarbejdsaftalen ikke må behandles mindre fordelagtigt end britiske erhvervsdrivende i Det Forenede Kongerige og omvendt; der henviser til, at princippet om ikkeforskelsbehandling finder anvendelse på en lang række økonomiske aktiviteter, herunder levering af tjenesteydelser, oprettelse af virksomheder og beskyttelse af intellektuel ejendomsret;</w:t>
      </w:r>
    </w:p>
    <w:p w14:paraId="3375C0BB" w14:textId="77777777" w:rsidR="00C16740" w:rsidRPr="007D1F16" w:rsidRDefault="00C16740" w:rsidP="00C16740">
      <w:pPr>
        <w:pStyle w:val="NormalHanging12a"/>
        <w:rPr>
          <w:szCs w:val="24"/>
        </w:rPr>
      </w:pPr>
      <w:r w:rsidRPr="007D1F16">
        <w:t>AD.</w:t>
      </w:r>
      <w:r w:rsidRPr="007D1F16">
        <w:tab/>
        <w:t>der henviser til, at Det Forenede Kongerige anvender sit sponsoreringssystem for arbejdsvisa på tjenesteydere i EU, og at en britisk arbejdsgiver, der ønsker at ansætte en EU-arbejdstager, derfor skal have tilladelse fra Det Forenede Kongeriges indenrigsministerium og derefter udstede et sponsorcertifikat til EU-arbejdstageren og betale gebyrer for, at denne arbejdstager kan ansøge om et visum (og at arbejdstageren desuden afkræves yderligere gebyrer); der henviser til, at disse begrænsninger også berører formidlende og kulturelle organisationer såsom fonde og offentlige institutter, der leverer tjenester i offentlighedens interesse, og til, at der er behov for større lettelser i den henseende; der henviser til, at dette skaber yderligere byrder, som kan begunstige britiske erhvervsdrivende;</w:t>
      </w:r>
    </w:p>
    <w:p w14:paraId="476FA265" w14:textId="77777777" w:rsidR="00C16740" w:rsidRPr="007D1F16" w:rsidRDefault="00C16740" w:rsidP="00C16740">
      <w:pPr>
        <w:pStyle w:val="NormalHanging12a"/>
        <w:rPr>
          <w:szCs w:val="24"/>
        </w:rPr>
      </w:pPr>
      <w:r w:rsidRPr="007D1F16">
        <w:t>AE.</w:t>
      </w:r>
      <w:r w:rsidRPr="007D1F16">
        <w:tab/>
        <w:t>der henviser til, at markederne for offentlige udbud i Det Forenede Kongerige fortsat er åbne på lige vilkår for tilbudsgivere fra EU og omvendt; der henviser til, at begge parter skal sikre, at udbudsprocessen er retfærdig, gennemsigtig og åben for konkurrence; der henviser til, at Det Forenede Kongerige og EU er blevet enige om at holde fast i deres eksisterende udbudsforpligtelser i henhold til Verdenshandelsorganisationens (WTO's) aftale om offentlige udbud, hvilket giver virksomheder fra andre lande yderligere adgang til deres markeder for offentlige udbud;</w:t>
      </w:r>
    </w:p>
    <w:p w14:paraId="20B5DC14" w14:textId="77777777" w:rsidR="00C16740" w:rsidRPr="007D1F16" w:rsidRDefault="00C16740" w:rsidP="00C16740">
      <w:pPr>
        <w:pStyle w:val="NormalHanging12a"/>
      </w:pPr>
      <w:r w:rsidRPr="007D1F16">
        <w:t>AF.</w:t>
      </w:r>
      <w:r w:rsidRPr="007D1F16">
        <w:tab/>
        <w:t>der henviser til, at handels- og samarbejdsaftalen er den eneste frihandelsaftale, som EU har indgået, der fastsætter nultoldsatser og toldfri kontingenter for alle varer, der overholder de behørige oprindelsesregler; der henviser til, at handelsstatistikkerne for perioden efter handels- og samarbejdsaftalens ikrafttræden viser, at handelsstrømmene mellem EU og Det Forenede Kongerige er blevet påvirket negativt af Det Forenede Kongeriges udtræden; der henviser til, at handelen med varer mellem Det Forenede Kongerige og EU fortsat er stagneret; der henviser til, at det i 2024 blev bekræftet, at EU's handel med varer og tjenesteydelser med andre handelspartnere er vokset betydeligt mere end EU's handel med Det Forenede Kongerige i en sammenlignelig periode;</w:t>
      </w:r>
    </w:p>
    <w:p w14:paraId="7BC8A781" w14:textId="77777777" w:rsidR="00C16740" w:rsidRPr="007D1F16" w:rsidRDefault="00C16740" w:rsidP="00C16740">
      <w:pPr>
        <w:pStyle w:val="NormalHanging12a"/>
        <w:rPr>
          <w:bCs/>
          <w:iCs/>
        </w:rPr>
      </w:pPr>
      <w:r w:rsidRPr="007D1F16">
        <w:t>AG.</w:t>
      </w:r>
      <w:r w:rsidRPr="007D1F16">
        <w:tab/>
        <w:t>der henviser til, at SPS-kontrol og genindførelsen af toldformaliteter har forstyrret eksporten af letfordærvelige varer, hvilket har medført øget spild og økonomiske tab samt formindsket bevægelighed for og tilgængelighed af produkter – ikke bare mellem EU og Det Forenede Kongerige, men også mellem Storbritannien og Nordirland;</w:t>
      </w:r>
    </w:p>
    <w:p w14:paraId="5BCF0190" w14:textId="77777777" w:rsidR="00C16740" w:rsidRPr="007D1F16" w:rsidRDefault="00C16740" w:rsidP="00C16740">
      <w:pPr>
        <w:pStyle w:val="NormalHanging12a"/>
        <w:rPr>
          <w:bCs/>
          <w:iCs/>
        </w:rPr>
      </w:pPr>
      <w:r w:rsidRPr="007D1F16">
        <w:t>AH.</w:t>
      </w:r>
      <w:r w:rsidRPr="007D1F16">
        <w:tab/>
        <w:t>der henviser til, at selv om Det Forenede Kongerige på topmødet mellem EU og Det Forenede Kongerige på ny bekræftede sit standpunkt om ikke at tilslutte sig EU's toldunion igen, gav begge parter udtryk for deres hensigt om at strømline toldprocedurerne for at nedbringe de operationelle forsinkelser og omkostninger og at arbejde hen imod etableringen af et fælles SPS-område;</w:t>
      </w:r>
    </w:p>
    <w:p w14:paraId="2F7BDB56" w14:textId="77777777" w:rsidR="00C16740" w:rsidRPr="007D1F16" w:rsidRDefault="00C16740" w:rsidP="00C16740">
      <w:pPr>
        <w:pStyle w:val="NormalHanging12a"/>
        <w:rPr>
          <w:bCs/>
          <w:iCs/>
        </w:rPr>
      </w:pPr>
      <w:r w:rsidRPr="007D1F16">
        <w:t>AI.</w:t>
      </w:r>
      <w:r w:rsidRPr="007D1F16">
        <w:tab/>
        <w:t xml:space="preserve">der henviser til, at handels- og samarbejdsaftalen omfatter flere forpligtelser, der er </w:t>
      </w:r>
      <w:r w:rsidRPr="007D1F16">
        <w:lastRenderedPageBreak/>
        <w:t>relevante for e-handel såsom forbuddet mod told på elektroniske transmissioner; der henviser til, at fremme af samarbejde om reguleringsmæssige spørgsmål, herunder om nye teknologier samt mekanismer, der letter dataoverførsler, er afgørende for e-handelsoperationer; der henviser til, at der er opstået praktiske udfordringer i forbindelse med gennemførelsen af handels- og samarbejdsaftalen og som følge af den store stigning i e-handelstransaktioner i den seneste tid, hvilket har påvirket virksomheder og forbrugere på begge sider af Den Engelske Kanal; der henviser til, at både EU og Det Forenede Kongerige har undertegnet WTO's fælles initiativ om e-handel;</w:t>
      </w:r>
    </w:p>
    <w:p w14:paraId="3D9A4CE8" w14:textId="77777777" w:rsidR="00C16740" w:rsidRPr="007D1F16" w:rsidRDefault="00C16740" w:rsidP="00C16740">
      <w:pPr>
        <w:pStyle w:val="NormalHanging12a"/>
        <w:rPr>
          <w:szCs w:val="24"/>
        </w:rPr>
      </w:pPr>
      <w:r w:rsidRPr="007D1F16">
        <w:t>AJ.</w:t>
      </w:r>
      <w:r w:rsidRPr="007D1F16">
        <w:tab/>
        <w:t>der henviser til, at den videre gennemførelse af handels- og samarbejdsaftalen, navnlig overvågningsindsatsen, bør være koncentreret om risikoen for yderligere reguleringsmæssige forskelle; der henviser til, at omfattende reguleringsmæssigt samarbejde mellem parterne er af allerstørste betydning; der henviser til, at det er et positivt tegn, at der kun blev modtaget to officielle klager fra interessenter over gennemførelsen af handels- og samarbejdsaftalen via Kommissionens onlineværktøj i 2024; der henviser til, at de europæiske institutioner fortsat er i regelmæssig dialog med interessenterne for at drøfte de praktiske aspekter af handels- og samarbejdsaftalens gennemførelse;</w:t>
      </w:r>
    </w:p>
    <w:p w14:paraId="638531E0" w14:textId="77777777" w:rsidR="00C16740" w:rsidRPr="007D1F16" w:rsidRDefault="00C16740" w:rsidP="00C16740">
      <w:pPr>
        <w:pStyle w:val="NormalHanging12a"/>
      </w:pPr>
      <w:r w:rsidRPr="007D1F16">
        <w:t>AK.</w:t>
      </w:r>
      <w:r w:rsidRPr="007D1F16">
        <w:tab/>
        <w:t xml:space="preserve">der henviser til, at de lovgivningsmæssige forskelle mellem EU og Det Forenede Kongerige på folkesundhedsområdet er steget siden brexit, hvilket har konsekvenser for godkendelsesprocesser for lægemidler, grænseoverskridende forsyningskæder og adgang til kritiske behandlinger; der henviser til, at denne forskel allerede har bidraget til mangel på lægemidler og øgede importomkostninger, som især har ramt mindre medlemsstater og regioner; der henviser til, at handels- og samarbejdsaftalen kun indeholder begrænsede mekanismer for sundhedssamarbejde, og fremhæver behovet for vedvarende lovgivningsmæssig tilpasning, struktureret datadeling og fælles nødberedskab for at sikre lige adgang til sikre og effektive lægemidler på tværs af begge jurisdiktioner; </w:t>
      </w:r>
    </w:p>
    <w:p w14:paraId="07D7572A" w14:textId="77777777" w:rsidR="00C16740" w:rsidRPr="007D1F16" w:rsidRDefault="00C16740" w:rsidP="00C16740">
      <w:pPr>
        <w:pStyle w:val="NormalHanging12a"/>
        <w:rPr>
          <w:szCs w:val="24"/>
        </w:rPr>
      </w:pPr>
      <w:r w:rsidRPr="007D1F16">
        <w:t>AL.</w:t>
      </w:r>
      <w:r w:rsidRPr="007D1F16">
        <w:tab/>
        <w:t>der henviser til, at Det Forenede Kongerige og De Forenede Stater den 8. maj 2025 nåede til enighed om en aftale om økonomisk velstand mellem USA og Det Forenede Kongerige; der henviser til, at sådanne aftaler kan have indvirkning på de lige konkurrencevilkår, der er etableret mellem EU og Det Forenede Kongerige inden for rammerne af handels- og samarbejdsaftalen, og kan resultere i yderligere reguleringsmæssige afvigelser fra EU's standarder, navnlig på områder som fødevaresikkerhed, digitale tjenester og beskyttelse af arbejdstagerne; der henviser til, at EU skal sikre, at ingen afvigelser af denne art underminerer de lige konkurrencevilkår, der er etableret i henhold til handels- og samarbejdsaftalen, eller svækker integriteten af EU's indre marked; der henviser til, at der i den forbindelse bør sættes særligt fokus på det planlagte fælles SPS-område mellem EU og Det Forenede Kongerige;</w:t>
      </w:r>
    </w:p>
    <w:p w14:paraId="6B37923D" w14:textId="77777777" w:rsidR="00C16740" w:rsidRPr="007D1F16" w:rsidRDefault="00C16740" w:rsidP="00C16740">
      <w:pPr>
        <w:pStyle w:val="NormalHanging12a"/>
      </w:pPr>
      <w:r w:rsidRPr="007D1F16">
        <w:t>AM.</w:t>
      </w:r>
      <w:r w:rsidRPr="007D1F16">
        <w:tab/>
        <w:t xml:space="preserve">der henviser til, at forbrugere i både EU og Det Forenede Kongerige vil drage fordel af et styrket samarbejde mellem EU's netværk for forbrugerbeskyttelsessamarbejde og Det Forenede Kongeriges konkurrence- og markedsmyndighed; der henviser til, at EU og Det Forenede Kongerige er blevet enige om at samarbejde om forskellige aspekter af reguleringen af den digitale handel, jf. handels- og samarbejdsaftalens artikel 211, stk. 1; der henviser til, at håndteringen af de udfordringer, der opstår som følge af to adskilte toldmarkeder, kræver en konstruktiv dialog og rettidig informationsudveksling mellem toldmyndighederne i EU og Det Forenede Kongerige, navnlig i forbindelse med </w:t>
      </w:r>
      <w:r w:rsidRPr="007D1F16">
        <w:lastRenderedPageBreak/>
        <w:t xml:space="preserve">gennemførelsen af nye forpligtelser; </w:t>
      </w:r>
    </w:p>
    <w:p w14:paraId="4DF21FE7" w14:textId="77777777" w:rsidR="00C16740" w:rsidRPr="007D1F16" w:rsidRDefault="00C16740" w:rsidP="00C16740">
      <w:pPr>
        <w:pStyle w:val="NormalHanging12a"/>
        <w:rPr>
          <w:szCs w:val="24"/>
        </w:rPr>
      </w:pPr>
      <w:r w:rsidRPr="007D1F16">
        <w:t>AN.</w:t>
      </w:r>
      <w:r w:rsidRPr="007D1F16">
        <w:tab/>
        <w:t>der henviser til, at EU's fælleslovgivere i henseende til EU's interne gennemførelsesproces for handels- og samarbejdsaftalen færdiggjorde den nødvendige lovramme ved at vedtage forordning (EU) 2023/657 af 15. marts 2023 om regler for udøvelsen af Unionens rettigheder i forbindelse med gennemførelsen og håndhævelsen af udtrædelsesaftalen og handels- og samarbejdsaftalen;</w:t>
      </w:r>
    </w:p>
    <w:p w14:paraId="5CBEB091" w14:textId="77777777" w:rsidR="00C16740" w:rsidRPr="007D1F16" w:rsidRDefault="00C16740" w:rsidP="00C16740">
      <w:pPr>
        <w:pStyle w:val="NormalHanging12a"/>
        <w:rPr>
          <w:szCs w:val="24"/>
        </w:rPr>
      </w:pPr>
      <w:r w:rsidRPr="007D1F16">
        <w:t>AO.</w:t>
      </w:r>
      <w:r w:rsidRPr="007D1F16">
        <w:tab/>
        <w:t xml:space="preserve">der henviser til, at EU og Det Forenede Kongerige deler fælles ambitioner på områderne miljøbeskyttelse, klima og fødevaresikkerhed; der henviser til, at stigende reguleringsmæssige forskelle inden for disse områder risikerer at forstyrre handelen og undergrave effektiviteten af miljø- og klimaindsatsen, navnlig når det gælder Nordirland og Irland; der henviser til, at den britiske regering i 2024 opfordrede til en "omstilling" af forbindelserne for at styrke det strategiske samarbejde og den reguleringsmæssige tilpasning som reaktion på vores fælles udfordringer og prioriteter; </w:t>
      </w:r>
    </w:p>
    <w:p w14:paraId="1A8887BD" w14:textId="77777777" w:rsidR="00C16740" w:rsidRPr="007D1F16" w:rsidRDefault="00C16740" w:rsidP="00C16740">
      <w:pPr>
        <w:pStyle w:val="NormalHanging12a"/>
        <w:rPr>
          <w:szCs w:val="24"/>
        </w:rPr>
      </w:pPr>
      <w:r w:rsidRPr="007D1F16">
        <w:t>AP.</w:t>
      </w:r>
      <w:r w:rsidRPr="007D1F16">
        <w:tab/>
        <w:t xml:space="preserve">der henviser til, at Kommissionen og Det Forenede Kongerige i forbindelse med topmødet mellem EU og Det Forenede Kongerige har kigget nærmere på områder, der har potentiale til at styrke det bilaterale samarbejde, og forpligtet sig til at arbejde hen imod oprettelsen af et fælles SPS-område for at lette handelen med landbrugsfødevarer; der henviser til, at EU og Det Forenede Kongerige ligeledes har forpligtet sig til at arbejde hen imod en sammenkobling af deres respektive emissionshandelssystemer (ETS) og kulstofgrænsetilpasningsmekanismer (CBAM); </w:t>
      </w:r>
    </w:p>
    <w:p w14:paraId="02CC2811" w14:textId="77777777" w:rsidR="00C16740" w:rsidRPr="007D1F16" w:rsidRDefault="00C16740" w:rsidP="00C16740">
      <w:pPr>
        <w:pStyle w:val="NormalHanging12a"/>
        <w:rPr>
          <w:szCs w:val="24"/>
        </w:rPr>
      </w:pPr>
      <w:r w:rsidRPr="007D1F16">
        <w:t xml:space="preserve">AQ. </w:t>
      </w:r>
      <w:r w:rsidRPr="007D1F16">
        <w:tab/>
        <w:t xml:space="preserve">der henviser til, at handels- og samarbejdsaftalen indeholder bestemmelser om koordinering af de sociale sikringsordninger for at beskytte socialsikringsrettighederne for personer, der flytter mellem EU og Det Forenede Kongerige efter den 1. januar 2021; der henviser til, at den også indeholder bestemmelser om lige vilkår for at sikre fair konkurrence ved at opretholde et højt beskyttelsesniveau på en række områder, herunder sociale rettigheder og arbejdstagerrettigheder, med bindende håndhævelses- og tvistbilæggelsesmekanismer til at sikre overholdelsen heraf; </w:t>
      </w:r>
    </w:p>
    <w:p w14:paraId="6D29D5CF" w14:textId="77777777" w:rsidR="00C16740" w:rsidRPr="007D1F16" w:rsidRDefault="00C16740" w:rsidP="00C16740">
      <w:pPr>
        <w:pStyle w:val="NormalHanging12a"/>
        <w:rPr>
          <w:szCs w:val="24"/>
        </w:rPr>
      </w:pPr>
      <w:r w:rsidRPr="007D1F16">
        <w:t>AR.</w:t>
      </w:r>
      <w:r w:rsidRPr="007D1F16">
        <w:tab/>
        <w:t xml:space="preserve">der henviser til, at de grundlæggende rettigheder til at organisere sig, føre kollektive forhandlinger og tage kollektive skridt er nedfældet i folkeretten og uløseligt forbundet med at sikre bæredygtig udvikling og lige vilkår som fastsat i handels- og samarbejdsaftalen; </w:t>
      </w:r>
    </w:p>
    <w:p w14:paraId="78FC6AE5" w14:textId="77777777" w:rsidR="00C16740" w:rsidRPr="007D1F16" w:rsidRDefault="00C16740" w:rsidP="00C16740">
      <w:pPr>
        <w:pStyle w:val="NormalHanging12a"/>
        <w:rPr>
          <w:szCs w:val="24"/>
        </w:rPr>
      </w:pPr>
      <w:r w:rsidRPr="007D1F16">
        <w:t>AS.</w:t>
      </w:r>
      <w:r w:rsidRPr="007D1F16">
        <w:tab/>
        <w:t xml:space="preserve">der henviser til, at Det Forenede Kongeriges "Retained EU Law (Revocation and Reform) Act 2023" (lov om bibeholdt EU-ret (tilbagekaldelse og reform)) blev stadfæstet af kongehuset den 29. juni 2023; der henviser til, at denne lov ophævede visse bibeholdte EU-love ved udgangen af 2023 og fjernede den særlige status for al bibeholdt EU-ret i Det Forenede Kongeriges retsorden; der henviser til, at loven delegerede væsentlige beføjelser til de britiske myndigheder til at ophæve, ændre eller modificere bibeholdte EU-love; </w:t>
      </w:r>
    </w:p>
    <w:p w14:paraId="069DDE56" w14:textId="77777777" w:rsidR="00C16740" w:rsidRPr="007D1F16" w:rsidRDefault="00C16740" w:rsidP="00C16740">
      <w:pPr>
        <w:pStyle w:val="NormalHanging12a"/>
        <w:rPr>
          <w:szCs w:val="24"/>
        </w:rPr>
      </w:pPr>
      <w:r w:rsidRPr="007D1F16">
        <w:t>AT.</w:t>
      </w:r>
      <w:r w:rsidRPr="007D1F16">
        <w:tab/>
        <w:t xml:space="preserve">der henviser til, at arbejdskraftens frie bevægelighed udgør en grundlæggende rettighed i EU; der henviser til, at EU og Det Forenede Kongerige har en mangeårig tradition for mobilitet blandt arbejdstagere og studerende under uddannelse og erhvervsuddannelse; der henviser til, at Erasmus+ længe har været et vigtigt instrument i den henseende; der henviser til, at aftalen mellem EU og Det Forenede Kongerige om at arbejde hen imod at associere Det Forenede Kongerige med Erasmus+-programmet for at udvide de </w:t>
      </w:r>
      <w:r w:rsidRPr="007D1F16">
        <w:lastRenderedPageBreak/>
        <w:t xml:space="preserve">uddannelsesmæssige, faglige og kulturelle muligheder for unge hilses velkommen; der henviser til, at en styrkelse af arbejdstagernes mobilitet mellem EU og Det Forenede Kongerige kan bidrage til at afhjælpe mangel på arbejdskraft; der henviser til, at der er behov for en omfattende mobilitetsaftale mellem EU og Det Forenede Kongerige, der sikrer beskyttelse af arbejdstagernes rettigheder og arbejdstagernes bevægelighed på tværs af grænserne; </w:t>
      </w:r>
    </w:p>
    <w:p w14:paraId="7167488E" w14:textId="77777777" w:rsidR="00C16740" w:rsidRPr="007D1F16" w:rsidRDefault="00C16740" w:rsidP="00C16740">
      <w:pPr>
        <w:pStyle w:val="NormalHanging12a"/>
        <w:rPr>
          <w:szCs w:val="24"/>
        </w:rPr>
      </w:pPr>
      <w:r w:rsidRPr="007D1F16">
        <w:t>AU.</w:t>
      </w:r>
      <w:r w:rsidRPr="007D1F16">
        <w:tab/>
        <w:t xml:space="preserve">der henviser til, at Det Forenede Kongerige ikke er associeret med Erasmus+-programmet for 2021-2027, programmet for Det Europæiske Solidaritetskorps for 2021-2027 eller programmet Et Kreativt Europa for 2021-2027; </w:t>
      </w:r>
    </w:p>
    <w:p w14:paraId="22575C16" w14:textId="77777777" w:rsidR="00C16740" w:rsidRPr="007D1F16" w:rsidRDefault="00C16740" w:rsidP="00C16740">
      <w:pPr>
        <w:pStyle w:val="NormalHanging12a"/>
        <w:rPr>
          <w:szCs w:val="24"/>
        </w:rPr>
      </w:pPr>
      <w:r w:rsidRPr="007D1F16">
        <w:t>AV.</w:t>
      </w:r>
      <w:r w:rsidRPr="007D1F16">
        <w:tab/>
        <w:t xml:space="preserve">der henviser til, at de kulturelle og kreative sektorer ikke er omfattet af handels- og samarbejdsaftalen, som kun nævner begrebet "uddannelse" i forbindelse med cybersikkerhed og behovet for at oplyse borgerne om de dermed forbundne udfordringer; </w:t>
      </w:r>
    </w:p>
    <w:p w14:paraId="0C746C12" w14:textId="77777777" w:rsidR="00C16740" w:rsidRPr="007D1F16" w:rsidRDefault="00C16740" w:rsidP="00C16740">
      <w:pPr>
        <w:pStyle w:val="NormalHanging12a"/>
        <w:rPr>
          <w:szCs w:val="24"/>
        </w:rPr>
      </w:pPr>
      <w:r w:rsidRPr="007D1F16">
        <w:t>AW.</w:t>
      </w:r>
      <w:r w:rsidRPr="007D1F16">
        <w:tab/>
        <w:t>der henviser til, at EU-borgere</w:t>
      </w:r>
      <w:r w:rsidRPr="007D1F16">
        <w:rPr>
          <w:rStyle w:val="FootnoteReference"/>
          <w:szCs w:val="24"/>
        </w:rPr>
        <w:footnoteReference w:id="17"/>
      </w:r>
      <w:r w:rsidRPr="007D1F16">
        <w:t xml:space="preserve">, der studerer i Det Forenede Kongerige, som følge af brexit ikke længere har adgang til "indenlandske studieafgifter", hvilket indebærer, at de skal betale de højere studieafgifter for udenlandske studerende; der henviser til, at denne ændring gør det uoverkommeligt dyrt at studere i Det Forenede Kongerige, hvilket rammer unge fra socialt dårligt stillede miljøer særlig hårdt, idet der ikke er nogen øvre grænse for studieafgifterne for udenlandske studerende; </w:t>
      </w:r>
    </w:p>
    <w:p w14:paraId="6962AB3B" w14:textId="77777777" w:rsidR="00C16740" w:rsidRPr="007D1F16" w:rsidRDefault="00C16740" w:rsidP="00C16740">
      <w:pPr>
        <w:pStyle w:val="NormalHanging12a"/>
        <w:rPr>
          <w:szCs w:val="24"/>
        </w:rPr>
      </w:pPr>
      <w:r w:rsidRPr="007D1F16">
        <w:t>AX.</w:t>
      </w:r>
      <w:r w:rsidRPr="007D1F16">
        <w:tab/>
        <w:t>der henviser til, at Turing-ordningen ikke kan betragtes som en erstatning for Erasmus+-programmet, da den kun finansierer mobilitet ud af Det Forenede Kongerige; der henviser til, at tildelingen af midler til Det Forenede Kongerige i dets sidste år under Erasmus+ (2019-2020) var på 200 mio. GBP, hvilket er et større beløb end de 110 mio. GBP, der blev bevilget til Turing-ordningen i studieåret 2022-2023</w:t>
      </w:r>
      <w:r w:rsidRPr="007D1F16">
        <w:rPr>
          <w:rStyle w:val="FootnoteReference"/>
          <w:szCs w:val="24"/>
        </w:rPr>
        <w:footnoteReference w:id="18"/>
      </w:r>
      <w:r w:rsidRPr="007D1F16">
        <w:t xml:space="preserve">; </w:t>
      </w:r>
    </w:p>
    <w:p w14:paraId="094FD539" w14:textId="77777777" w:rsidR="00C16740" w:rsidRPr="007D1F16" w:rsidRDefault="00C16740" w:rsidP="00C16740">
      <w:pPr>
        <w:pStyle w:val="NormalHanging12a"/>
        <w:rPr>
          <w:szCs w:val="24"/>
        </w:rPr>
      </w:pPr>
      <w:r w:rsidRPr="007D1F16">
        <w:t>AY.</w:t>
      </w:r>
      <w:r w:rsidRPr="007D1F16">
        <w:tab/>
        <w:t>der henviser til, at 52,7 % af alle mobilitetsophold for britiske studerende i perioden 2013-2016 fandt sted i en EU-medlemsstat</w:t>
      </w:r>
      <w:r w:rsidRPr="007D1F16">
        <w:rPr>
          <w:rStyle w:val="FootnoteReference"/>
          <w:szCs w:val="24"/>
        </w:rPr>
        <w:footnoteReference w:id="19"/>
      </w:r>
      <w:r w:rsidRPr="007D1F16">
        <w:t>; der henviser til, at seks ud af ti mobilitetsophold under Turing-ordningen i studieåret 2021-2022 fandt sted uden for EU</w:t>
      </w:r>
      <w:r w:rsidRPr="007D1F16">
        <w:rPr>
          <w:rStyle w:val="FootnoteReference"/>
          <w:szCs w:val="24"/>
        </w:rPr>
        <w:footnoteReference w:id="20"/>
      </w:r>
      <w:r w:rsidRPr="007D1F16">
        <w:t xml:space="preserve">; </w:t>
      </w:r>
    </w:p>
    <w:p w14:paraId="56B39691" w14:textId="77777777" w:rsidR="00C16740" w:rsidRPr="007D1F16" w:rsidRDefault="00C16740" w:rsidP="00C16740">
      <w:pPr>
        <w:pStyle w:val="NormalHanging12a"/>
        <w:rPr>
          <w:szCs w:val="24"/>
        </w:rPr>
      </w:pPr>
      <w:r w:rsidRPr="007D1F16">
        <w:t>AZ.</w:t>
      </w:r>
      <w:r w:rsidRPr="007D1F16">
        <w:tab/>
        <w:t xml:space="preserve">der henviser til, at antallet af EU-studerende i Det Forenede Kongerige faldt fra 66 685 i </w:t>
      </w:r>
      <w:r w:rsidRPr="007D1F16">
        <w:lastRenderedPageBreak/>
        <w:t>studieåret umiddelbart før brexit til 28 375 i studieåret 2023-2024</w:t>
      </w:r>
      <w:r w:rsidRPr="007D1F16">
        <w:rPr>
          <w:rStyle w:val="FootnoteReference"/>
          <w:szCs w:val="24"/>
        </w:rPr>
        <w:footnoteReference w:id="21"/>
      </w:r>
      <w:r w:rsidRPr="007D1F16">
        <w:t xml:space="preserve">; </w:t>
      </w:r>
    </w:p>
    <w:p w14:paraId="42A40E9E" w14:textId="77777777" w:rsidR="00C16740" w:rsidRPr="007D1F16" w:rsidRDefault="00C16740" w:rsidP="00C16740">
      <w:pPr>
        <w:pStyle w:val="NormalHanging12a"/>
        <w:rPr>
          <w:szCs w:val="24"/>
          <w:vertAlign w:val="superscript"/>
        </w:rPr>
      </w:pPr>
      <w:r w:rsidRPr="007D1F16">
        <w:t>BA.</w:t>
      </w:r>
      <w:r w:rsidRPr="007D1F16">
        <w:tab/>
        <w:t>der henviser til, at den walisiske regering har indført udvekslingsprogrammet "Taith international learning exchange programme"</w:t>
      </w:r>
      <w:r w:rsidRPr="007D1F16">
        <w:rPr>
          <w:rStyle w:val="FootnoteReference"/>
          <w:szCs w:val="24"/>
        </w:rPr>
        <w:footnoteReference w:id="22"/>
      </w:r>
      <w:r w:rsidRPr="007D1F16">
        <w:t xml:space="preserve"> for at tilbyde studerende mobilitet både til og fra Wales, rettet mod underrepræsenterede grupper og mindre organisationer; der henviser til, at den skotske regering har indført det skotske uddannelsesudvekslingsprograms "Test and Learn project"</w:t>
      </w:r>
      <w:r w:rsidRPr="007D1F16">
        <w:rPr>
          <w:rStyle w:val="FootnoteReference"/>
          <w:szCs w:val="24"/>
        </w:rPr>
        <w:footnoteReference w:id="23"/>
      </w:r>
      <w:r w:rsidRPr="007D1F16">
        <w:t>; der henviser til, at Irlands regering finansierer Erasmus+‑mobilitet for studerende fra universiteter i Nordirland, uanset deres nationalitet, ved at lade dem indskrive sig på universiteter i Irland under deres udvekslingsophold</w:t>
      </w:r>
      <w:r w:rsidRPr="007D1F16">
        <w:rPr>
          <w:rStyle w:val="FootnoteReference"/>
          <w:szCs w:val="24"/>
        </w:rPr>
        <w:footnoteReference w:id="24"/>
      </w:r>
      <w:r w:rsidRPr="007D1F16">
        <w:t>;</w:t>
      </w:r>
    </w:p>
    <w:p w14:paraId="2AD1AA5A" w14:textId="77777777" w:rsidR="00C16740" w:rsidRPr="007D1F16" w:rsidRDefault="00C16740" w:rsidP="00C16740">
      <w:pPr>
        <w:pStyle w:val="NormalHanging12a"/>
        <w:rPr>
          <w:szCs w:val="24"/>
        </w:rPr>
      </w:pPr>
      <w:r w:rsidRPr="007D1F16">
        <w:t>BB.</w:t>
      </w:r>
      <w:r w:rsidRPr="007D1F16">
        <w:tab/>
        <w:t>der henviser til, at Det Forenede Kongerige i sin internationale uddannelsesstrategi har fastsat målsætningen om at øge antallet af udenlandske studerende på landets højere læreanstalter fra 400 000 til 600 000 pr. år</w:t>
      </w:r>
      <w:r w:rsidRPr="007D1F16">
        <w:rPr>
          <w:rStyle w:val="FootnoteReference"/>
          <w:szCs w:val="24"/>
        </w:rPr>
        <w:footnoteReference w:id="25"/>
      </w:r>
      <w:r w:rsidRPr="007D1F16">
        <w:t xml:space="preserve"> senest i 2030; </w:t>
      </w:r>
    </w:p>
    <w:p w14:paraId="48810833" w14:textId="77777777" w:rsidR="00C16740" w:rsidRPr="007D1F16" w:rsidRDefault="00C16740" w:rsidP="00C16740">
      <w:pPr>
        <w:pStyle w:val="NormalHanging12a"/>
        <w:rPr>
          <w:szCs w:val="24"/>
        </w:rPr>
      </w:pPr>
      <w:r w:rsidRPr="007D1F16">
        <w:t>BC.</w:t>
      </w:r>
      <w:r w:rsidRPr="007D1F16">
        <w:tab/>
        <w:t>der henviser til, at det i den politiske erklæring fra 2019 om rammerne for de fremtidige forbindelser mellem Den Europæiske Union og Det Forenede Kongerige hedder, at: "Parterne er enige om at overveje betingelser for indrejse og ophold med henblik på forskning, studier, uddannelse og ungdomsudveksling"</w:t>
      </w:r>
      <w:r w:rsidRPr="007D1F16">
        <w:rPr>
          <w:rStyle w:val="FootnoteReference"/>
          <w:szCs w:val="24"/>
        </w:rPr>
        <w:footnoteReference w:id="26"/>
      </w:r>
      <w:r w:rsidRPr="007D1F16">
        <w:t xml:space="preserve">; der henviser til, at ungdomsudveksling blev betragtet som en af hovedprioriteterne for forbindelserne mellem EU og Det Forenede Kongerige på samlingen i Rådet (almindelige anliggender) den 17. december 2024; </w:t>
      </w:r>
    </w:p>
    <w:p w14:paraId="19246DA3" w14:textId="77777777" w:rsidR="00C16740" w:rsidRPr="007D1F16" w:rsidRDefault="00C16740" w:rsidP="00C16740">
      <w:pPr>
        <w:pStyle w:val="NormalHanging12a"/>
        <w:rPr>
          <w:szCs w:val="24"/>
        </w:rPr>
      </w:pPr>
      <w:r w:rsidRPr="007D1F16">
        <w:t>BD.</w:t>
      </w:r>
      <w:r w:rsidRPr="007D1F16">
        <w:tab/>
        <w:t xml:space="preserve">der henviser til, at britiske kunstnere og kulturarbejdere nu er underlagt Schengenreglerne, hvilket medfører vanskeligheder såsom betydelige ekstraomkostninger og behovet for at indhente transporttilladelser til udstyr og visa til kulturel optræden, når de er på turné i flere forskellige europæiske lande inden for et kort tidsrum; </w:t>
      </w:r>
    </w:p>
    <w:p w14:paraId="258EC947" w14:textId="77777777" w:rsidR="00C16740" w:rsidRPr="007D1F16" w:rsidRDefault="00C16740" w:rsidP="00C16740">
      <w:pPr>
        <w:pStyle w:val="NormalHanging12a"/>
        <w:rPr>
          <w:szCs w:val="24"/>
        </w:rPr>
      </w:pPr>
      <w:r w:rsidRPr="007D1F16">
        <w:t>BE.</w:t>
      </w:r>
      <w:r w:rsidRPr="007D1F16">
        <w:tab/>
        <w:t xml:space="preserve">der henviser til, at handels- og samarbejdsaftalen omfatter en undtagelse for kultur, som udelukker audiovisuelle tjenester fra dens anvendelsesområde, selv om EU og Det Forenede Kongerige deler mange af de samme værdier inden for kultur og uddannelse; der henviser til, at Det Forenede Kongerige fortsat er part i den europæiske konvention om grænseoverskridende fjernsyn, og at audiovisuelle værker med oprindelse i Det Forenede Kongerige betragtes som "europæiske programmer" i henhold til artikel 1, </w:t>
      </w:r>
      <w:r w:rsidRPr="007D1F16">
        <w:lastRenderedPageBreak/>
        <w:t>stk. 1, litra n), nr. iii), i direktivet om audiovisuelle medietjenester</w:t>
      </w:r>
      <w:r w:rsidRPr="007D1F16">
        <w:rPr>
          <w:rStyle w:val="FootnoteReference"/>
          <w:szCs w:val="24"/>
        </w:rPr>
        <w:footnoteReference w:id="27"/>
      </w:r>
      <w:r w:rsidRPr="007D1F16">
        <w:t xml:space="preserve">; </w:t>
      </w:r>
    </w:p>
    <w:p w14:paraId="71CC7212" w14:textId="77777777" w:rsidR="00C16740" w:rsidRPr="007D1F16" w:rsidRDefault="00C16740" w:rsidP="00C16740">
      <w:pPr>
        <w:pStyle w:val="NormalHanging12a"/>
        <w:rPr>
          <w:szCs w:val="24"/>
        </w:rPr>
      </w:pPr>
      <w:r w:rsidRPr="007D1F16">
        <w:t>BF.</w:t>
      </w:r>
      <w:r w:rsidRPr="007D1F16">
        <w:tab/>
        <w:t xml:space="preserve">der henviser til, at konklusionerne fra topmødet mellem EU og Det Forenede Kongerige nævner arbejdet hen imod en fremtidig ungdomserfaringsordning og Det Forenede Kongeriges reassociering med Erasmus+-programmet samt kulturelle og kunstneriske udvekslinger og omrejsende kunstnere; </w:t>
      </w:r>
    </w:p>
    <w:p w14:paraId="4B410F1B" w14:textId="77777777" w:rsidR="00C16740" w:rsidRPr="007D1F16" w:rsidRDefault="00C16740" w:rsidP="00C16740">
      <w:pPr>
        <w:pStyle w:val="NormalHanging12a"/>
        <w:rPr>
          <w:szCs w:val="24"/>
        </w:rPr>
      </w:pPr>
      <w:r w:rsidRPr="007D1F16">
        <w:t>BG.</w:t>
      </w:r>
      <w:r w:rsidRPr="007D1F16">
        <w:tab/>
        <w:t xml:space="preserve">der henviser til, at sportsfolk og idrætsudøvere fra EU siden brexit har haft brug for en arbejdstilladelse for at udøve deres sport i Det Forenede Kongerige; der henviser til, at handels- og samarbejdsaftalen mangler bestemmelser vedrørende kapacitetsopbygning af græsrods- og erhvervsorganisationer, partnerskaber og udvekslinger på idrætsområdet; </w:t>
      </w:r>
    </w:p>
    <w:p w14:paraId="19ED4E4F" w14:textId="77777777" w:rsidR="00C16740" w:rsidRPr="007D1F16" w:rsidRDefault="00C16740" w:rsidP="00C16740">
      <w:pPr>
        <w:pStyle w:val="NormalHanging12a"/>
        <w:rPr>
          <w:b/>
          <w:bCs/>
          <w:i/>
          <w:szCs w:val="24"/>
        </w:rPr>
      </w:pPr>
      <w:r w:rsidRPr="007D1F16">
        <w:rPr>
          <w:b/>
          <w:i/>
        </w:rPr>
        <w:t>Hovedkonklusioner</w:t>
      </w:r>
    </w:p>
    <w:p w14:paraId="3FE1FBD3" w14:textId="77777777" w:rsidR="00C16740" w:rsidRPr="007D1F16" w:rsidRDefault="00C16740" w:rsidP="00C16740">
      <w:pPr>
        <w:pStyle w:val="NormalHanging12a"/>
        <w:rPr>
          <w:szCs w:val="24"/>
        </w:rPr>
      </w:pPr>
      <w:r w:rsidRPr="007D1F16">
        <w:t>1.</w:t>
      </w:r>
      <w:r w:rsidRPr="007D1F16">
        <w:tab/>
        <w:t>fremhæver, at EU og Det Forenede Kongerige er naboer, tætte ligesindede partnere og allierede, der deler fælles værdier, interesser og historiske bånd og er stillet over for en fælles ustabil sikkerhedssituation i Europa og dets nabolande; understreger, at en styrkelse af forbindelserne mellem EU og Det Forenede Kongerige bidrager til at øge Europas overordnede konkurrenceevne og strategiske autonomi;</w:t>
      </w:r>
    </w:p>
    <w:p w14:paraId="5B86A04C" w14:textId="77777777" w:rsidR="00C16740" w:rsidRPr="007D1F16" w:rsidRDefault="00C16740" w:rsidP="00C16740">
      <w:pPr>
        <w:pStyle w:val="NormalHanging12a"/>
        <w:rPr>
          <w:szCs w:val="24"/>
        </w:rPr>
      </w:pPr>
      <w:r w:rsidRPr="007D1F16">
        <w:t>2.</w:t>
      </w:r>
      <w:r w:rsidRPr="007D1F16">
        <w:tab/>
        <w:t>anerkender Det Forenede Kongeriges betydelige rolle i at sikre fred, sikkerhed og stabilitet på og uden for det europæiske kontinent; understreger, at det stigende antal konventionelle og hybride trusler kræver en stærk og koordineret international indsats for at sikre vores fælles fremtid;</w:t>
      </w:r>
    </w:p>
    <w:p w14:paraId="56C06ADC" w14:textId="77777777" w:rsidR="00C16740" w:rsidRPr="007D1F16" w:rsidRDefault="00C16740" w:rsidP="00C16740">
      <w:pPr>
        <w:pStyle w:val="NormalHanging12a"/>
      </w:pPr>
      <w:r w:rsidRPr="007D1F16">
        <w:t>3.</w:t>
      </w:r>
      <w:r w:rsidRPr="007D1F16">
        <w:tab/>
        <w:t>minder om, at forbindelserne mellem EU og Det Forenede Kongerige er baseret på fuld respekt for og en fuldstændig, rettidig og nøjagtig gennemførelse af udtrædelsesaftalen, herunder Windsorrammen, og handels- og samarbejdsaftalen;</w:t>
      </w:r>
    </w:p>
    <w:p w14:paraId="2ED05F4D" w14:textId="77777777" w:rsidR="00C16740" w:rsidRPr="007D1F16" w:rsidRDefault="00C16740" w:rsidP="00C16740">
      <w:pPr>
        <w:pStyle w:val="NormalHanging12a"/>
        <w:rPr>
          <w:szCs w:val="24"/>
        </w:rPr>
      </w:pPr>
      <w:r w:rsidRPr="007D1F16">
        <w:t>4.</w:t>
      </w:r>
      <w:r w:rsidRPr="007D1F16">
        <w:tab/>
        <w:t>glæder sig over de ambitiøse konklusioner fra det første topmøde nogensinde mellem EU og Det Forenede Kongerige, som blev afholdt den 19. maj 2025 i London, og den positive og konstruktive ånd, som begge parter udviste; bemærker, at lederne afsluttede topmødet med at vedtage tre nøgledokumenter, nemlig den fælles erklæring, sikkerheds- og forsvarspartnerskabet og den fælles forståelse om en fornyet dagsorden for samarbejdet mellem Den Europæiske Union og Det Forenede Kongerige; glæder sig navnlig over aftalen om et nyt strategisk partnerskab mellem EU og Det Forenede Kongerige, der markerer en fornyelse af de gensidige forpligtelser og en uddybning af det bilaterale samarbejde, og over aftalen om at afholde årlige topmøder mellem de to parter;</w:t>
      </w:r>
    </w:p>
    <w:p w14:paraId="0AE4DD99" w14:textId="77777777" w:rsidR="00C16740" w:rsidRPr="007D1F16" w:rsidRDefault="00C16740" w:rsidP="00C16740">
      <w:pPr>
        <w:pStyle w:val="NormalHanging12a"/>
        <w:rPr>
          <w:szCs w:val="24"/>
        </w:rPr>
      </w:pPr>
      <w:r w:rsidRPr="007D1F16">
        <w:t>5.</w:t>
      </w:r>
      <w:r w:rsidRPr="007D1F16">
        <w:tab/>
        <w:t xml:space="preserve">insisterer på behovet for geografisk sammenhængskraft for at sikre Europas fred, sikkerhed og stabilitet og det europæiske industrigrundlags modstandsdygtighed; fremhæver i den forbindelse topmødet mellem EU og Det Forenede Kongerige som en milepæl i relanceringen og uddybningen af partnerskabet mellem EU og Det Forenede Kongerige og som et udgangspunkt for et mere struktureret samarbejde, navnlig med søsætningen af sikkerheds- og forsvarspartnerskabet; mener, at politiske erklæringer og </w:t>
      </w:r>
      <w:r w:rsidRPr="007D1F16">
        <w:lastRenderedPageBreak/>
        <w:t xml:space="preserve">gode hensigter nu skal omsættes til praksis, og insisterer på nødvendigheden af, at både EU og Det Forenede Kongerige følger op på og lever op til deres tilsagn, navnlig om forsvarsindustrielle foranstaltninger; </w:t>
      </w:r>
    </w:p>
    <w:p w14:paraId="0915FB25" w14:textId="77777777" w:rsidR="00C16740" w:rsidRPr="007D1F16" w:rsidRDefault="00C16740" w:rsidP="00C16740">
      <w:pPr>
        <w:pStyle w:val="NormalHanging12a"/>
        <w:rPr>
          <w:szCs w:val="24"/>
        </w:rPr>
      </w:pPr>
      <w:r w:rsidRPr="007D1F16">
        <w:t>6.</w:t>
      </w:r>
      <w:r w:rsidRPr="007D1F16">
        <w:tab/>
        <w:t xml:space="preserve">understreger, at handels- og samarbejdsaftalen er en af de mest ambitiøse og omfattende handelsaftaler, som EU har indgået med et land uden for EU; understreger imidlertid, at selv om den ikke er og ikke kan være en erstatning for EU-medlemskab og de fordele, der hidrører fra adgang til det indre marked og toldunionen, indeholder den ikke desto mindre et betydeligt potentiale til fremtidigt samarbejde, hvilket de forskellige tilsagn, der blev givet på politisk plan ved det nylige topmøde, tydeligt viser; glæder sig over EU's og Det Forenede Kongeriges fælles tilsagn på topmødet om på ny at bekræfte deres gensidige engagement i fri, fair, bæredygtig og åben handel i overensstemmelse med deres fælles værdier; </w:t>
      </w:r>
    </w:p>
    <w:p w14:paraId="2B5075A3" w14:textId="77777777" w:rsidR="00C16740" w:rsidRPr="007D1F16" w:rsidRDefault="00C16740" w:rsidP="00C16740">
      <w:pPr>
        <w:pStyle w:val="NormalHanging12a"/>
      </w:pPr>
      <w:r w:rsidRPr="007D1F16">
        <w:t>7.</w:t>
      </w:r>
      <w:r w:rsidRPr="007D1F16">
        <w:tab/>
        <w:t>understreger vigtigheden af at gennemføre de bestemmelser, der er indeholdt i begge aftaler, fuldt ud, samt at vurdere og håndtere potentielle udfordringer forbundet med anvendelsen af udtrædelsesaftalen og handels- og samarbejdsaftalen så tidligt som muligt for at undgå forsinkelser og problemer i forbindelse med anvendelsen af dem;</w:t>
      </w:r>
    </w:p>
    <w:p w14:paraId="48BDB4B9" w14:textId="77777777" w:rsidR="00C16740" w:rsidRPr="007D1F16" w:rsidRDefault="00C16740" w:rsidP="00C16740">
      <w:pPr>
        <w:pStyle w:val="NormalHanging12a"/>
      </w:pPr>
      <w:r w:rsidRPr="007D1F16">
        <w:t>8.</w:t>
      </w:r>
      <w:r w:rsidRPr="007D1F16">
        <w:tab/>
        <w:t>glæder sig over, at gennemførelsen af handels- og samarbejdsaftalen fortsat skrider gnidningsløst frem, idet alle de forpligtelser, der skulle være opfyldt i 2023 og 2024, enten er afsluttet eller er på rette spor; opfordrer Kommissionen til fortsat nøje at overvåge den korrekte anvendelse af handels- og samarbejdsaftalen;</w:t>
      </w:r>
    </w:p>
    <w:p w14:paraId="30CAF420" w14:textId="77777777" w:rsidR="00C16740" w:rsidRPr="007D1F16" w:rsidRDefault="00C16740" w:rsidP="00C16740">
      <w:pPr>
        <w:pStyle w:val="NormalHanging12a"/>
      </w:pPr>
      <w:r w:rsidRPr="007D1F16">
        <w:t>9.</w:t>
      </w:r>
      <w:r w:rsidRPr="007D1F16">
        <w:tab/>
        <w:t xml:space="preserve">minder om Nordirlands særlige situation som følge af protokollen om Irland/Nordirland, der blev indgået for at beskytte langfredagsaftalen efter Det Forenede Kongeriges udtræden af EU; støtter den fortsatte anerkendelse af Nordirlands unikke og særlige position, ifølge hvilken landet bibeholder dobbelt adgang til både EU's indre marked og Det Forenede Kongeriges indre marked som anført på topmødet; opfordrer til en fuldstændig, rettidig og nøjagtig gennemførelse af alle dele af Windsorrammen for at sikre varige fordele, retssikkerhed, langsigtet stabilitet, praktisk støtte til og forudsigelighed for virksomheder og mennesker i Nordirland, tilvejebringe øget beskyttelse af hele øens økonomi, undgå en hård grænse på øen Irland, beskytte langfredagsaftalen i alle dens dimensioner og sikre problemfri handel og et gnidningsløst samarbejde, samtidig med at integriteten af det indre marked og toldunionen beskyttes; opfordrer til, at der træffes foranstaltninger for at forhindre forstyrrelser af de tætte økonomiske forbindelser mellem Irland og Nordirland som følge af ændringer i de reguleringsmæssige eller retlige rammer, navnlig med hensyn til tjenester, som leveres til forbrugere og SMV'er, der ikke kan drage fordel af mobilitet; minder om, at EU hurtigt har gennemført alle aspekter af Windsorrammen og nu forventer, at Det Forenede Kongerige straks gennemfører sin del af dem fuldt ud og nøjagtigt for at sikre stabiliteten i forbindelserne mellem EU og Det Forenede Kongerige på lang sigt; understreger, at dette indbefatter, at landets told- og SPS-mekanismer reelt operationaliseres med henblik på at tackle udfordringerne i forbindelse med varebevægelser fra Storbritannien til Nordirland og undgå leveringsforstyrrelser og reduceret produkttilgængelighed for forbrugerne i Nordirland; opfordrer til fuld gennemførelse af informationsudvekslingsmekanismerne og bedre overvågning af nye pakkeprocesser og - systemer under Windsorrammen og deres indvirkning på forbrugernes markedsadgang; bemærker, at et stærkere samarbejde mellem myndighederne og udveksling af oplysninger om det fremtidige EU-datacenter vil forbedre grænsepassagen ved at tilvejebringe de nødvendige data og den nødvendige </w:t>
      </w:r>
      <w:r w:rsidRPr="007D1F16">
        <w:lastRenderedPageBreak/>
        <w:t xml:space="preserve">dokumentation; </w:t>
      </w:r>
    </w:p>
    <w:p w14:paraId="75043E12" w14:textId="77777777" w:rsidR="00C16740" w:rsidRPr="007D1F16" w:rsidRDefault="00C16740" w:rsidP="00C16740">
      <w:pPr>
        <w:pStyle w:val="NormalHanging12a"/>
      </w:pPr>
      <w:r w:rsidRPr="007D1F16">
        <w:t>10.</w:t>
      </w:r>
      <w:r w:rsidRPr="007D1F16">
        <w:tab/>
        <w:t xml:space="preserve">fremhæver langfredagsaftalens historiske betydning og roser alle involverede aktører for stadig at opretholde og gennemføre aftalen og dens værdier som en afgørende søjle i de forsoningsprocesser, der fortsat er et positivt eksempel for andre på hele kontinentet og i resten af verden; minder om Det Forenede Kongeriges bindende tilsagn i henhold til Windsorrammens artikel 2 om at sikre, at der ikke sker nogen forringelse af rettigheder, garantier eller lige muligheder som fastsat i langfredagsaftalen; understreger, at en effektiv beskyttelse af disse rettigheder også er afgørende for at opretholde tilliden og samarbejdet under handels- og samarbejdsaftalen, navnlig på områder som retshåndhævelse, arbejdstagerrettigheder og adgang til domstolsprøvelse; opfordrer Kommissionen til fortsat at overvåge overholdelsen af denne forpligtelse og til at gå i dialog med de relevante britiske myndigheder, når der opstår risiko for forringelse af rettigheder; minder om, at eventuelle ændringer af de seks EU-ligestillingsdirektiver, der er opført i bilag 1 til udtrædelsesaftalen mellem EU og Det Forenede Kongerige, skal afspejles i nordirsk lovgivning for at sikre, at rettighederne ikke forringes; opfordrer Kommissionen til at udpege en særlig forbindelsesrepræsentant for Nordirland for at sikre en struktureret og løbende dialog med politiske repræsentanter og interessenter med henblik på at opbygge tillid og koordinere indsatser; bemærker det særlige behov for, at EU går i dialog med Nordirlands Parlament og den nordirske regering vedrørende anliggender, der er omfattet af Windsorrammen; opfordrer i den forbindelse til større inddragelse af Det Forenede Kongeriges decentrale nationers parlamenter og forsamlinger, navnlig Nordirlands, i Den Parlamentariske Partnerskabsforsamling EU-Det Forenede Kongerige, så den nordirske befolknings interesser kan komme bedst muligt til udtryk; opfordrer til, at der gøres en yderligere indsats for at styrke den demokratiske repræsentation af borgere, der er født med unionsborgerskab og bor i Nordirland; tilskynder endvidere til passende høring af de decentrale nationers forvaltninger i forbindelserne mellem EU og Det Forenede Kongerige i overensstemmelse med deres respektive kompetencer; bemærker, at den unikke situation i Nordirland kræver en skræddersyet tilgang, der bygger på fordelene ved PEACE-programmerne og undersøger, hvordan en bredere samhørighedspolitik kan gavne forsoningsprocessen; understreger, at anvendelsen af den elektroniske rejsetilladelse (ETA) for rejser til Nordirland er beklagelig; opfordrer Det Forenede Kongeriges regering til at undlade at anvende ETA for rejser til Nordirland for at muliggøre uhindret rejse over hele øen Irland; fremhæver, at det er vigtigt at sikre, at der ikke er nogen hindringer for eller begrænsninger af muligheden for, at personer med bopæl i Nordirland og Irland kan søge og tage beskæftigelse på den anden side af grænsen i overensstemmelse med principperne i langfredagsaftalen; fremhæver betydningen af at beskytte grænsearbejdere i den forbindelse, herunder deres sociale rettigheder og arbejdstagerrettigheder; bemærker, at den nordirske appeldomstol har fastslået, at "Northern Ireland Troubles (Legacy and Reconciliation) Act 2023" er uforenelig med menneskerettighedslovgivningen og Windsorrammen; bemærker endvidere den mellemstatslige klage, der indgivet af Irland mod Det Forenede Kongerige vedrørende loven; minder om Det Forenede Kongeriges nuværende regerings tilsagn om at ophæve og erstatte den tidligere regerings Legacy Act og opfordrer Det Forenede Kongeriges regering til at gøre dette så hurtigt som muligt; opfordrer Det Forenede Kongeriges regering til at trække sin anke af domstolens afgørelse om Legacy Act tilbage, til at ophæve loven og til fuldt ud at rette sig efter Den Europæiske Menneskerettighedsdomstol og alle dens afgørelser; </w:t>
      </w:r>
    </w:p>
    <w:p w14:paraId="3ECE3F8F" w14:textId="77777777" w:rsidR="00C16740" w:rsidRPr="007D1F16" w:rsidRDefault="00C16740" w:rsidP="00C16740">
      <w:pPr>
        <w:pStyle w:val="NormalHanging12a"/>
        <w:rPr>
          <w:bCs/>
          <w:iCs/>
        </w:rPr>
      </w:pPr>
      <w:r w:rsidRPr="007D1F16">
        <w:t>11.</w:t>
      </w:r>
      <w:r w:rsidRPr="007D1F16">
        <w:tab/>
        <w:t xml:space="preserve">bemærker, at Nordirlands forfatningsmæssige fremtid ifølge langfredagsaftalen skal </w:t>
      </w:r>
      <w:r w:rsidRPr="007D1F16">
        <w:lastRenderedPageBreak/>
        <w:t>afgøres af befolkningen på øen Irland;</w:t>
      </w:r>
    </w:p>
    <w:p w14:paraId="09693715" w14:textId="77777777" w:rsidR="00C16740" w:rsidRPr="007D1F16" w:rsidRDefault="00C16740" w:rsidP="00C16740">
      <w:pPr>
        <w:pStyle w:val="NormalHanging12a"/>
        <w:rPr>
          <w:szCs w:val="24"/>
        </w:rPr>
      </w:pPr>
      <w:r w:rsidRPr="007D1F16">
        <w:t>12.</w:t>
      </w:r>
      <w:r w:rsidRPr="007D1F16">
        <w:tab/>
        <w:t>opfordrer begge parter til at uddybe partnerskabet mellem EU og Det Forenede Kongerige og gennemføre handels- og samarbejdsaftalen fuldt ud og udnytte dens potentiale fuldt ud på områder af fælles interesse, bl.a. gennem frivillig sektortilpasning, mekanismer for gensidig anerkendelse og dialog om reguleringsmæssig innovation, samt til at overveje yderligere samarbejde på toldområdet; glæder sig over konklusionerne fra topmødet, som på ny bekræftede et fælles tilsagn om øget samarbejde på nøgleområder såsom energi, herunder muligheden for Det Forenede Kongeriges deltagelse i EU's indre marked for elektricitet, nye teknologier og landbrugsfødevarer; understreger, at handels- og samarbejdsaftalen tilvejebringer en fremadskuende ramme for fremme af fælles velstand og konkurrenceevne, og tilskynder begge parter til at bygge videre på det fornyede politiske momentum fra topmødet for at levere mærkbare fremskridt i disse sektorer og sikre en hurtig og omfattende gennemførelse af de tilsagn, der er givet, som kom til udtryk i den nylige fælles forståelse mellem EU og Det Forenede Kongerige og de strukturerede resultater af topmødet; understreger, at denne nye dagsorden skal forblive fleksibel og reaktionsdygtig over for fremtidige udfordringer for at maksimere mulighederne for samarbejde og konkurrenceevne, fremme forbrugerbeskyttelsen, forbedre handelen på tværs af grænserne og adgangen til varer og tjenesteydelser og fremme et sikkert og sundt digitalt miljø for alle;</w:t>
      </w:r>
      <w:r w:rsidRPr="007D1F16">
        <w:rPr>
          <w:b/>
          <w:i/>
        </w:rPr>
        <w:t xml:space="preserve"> </w:t>
      </w:r>
    </w:p>
    <w:p w14:paraId="2472C3D9" w14:textId="77777777" w:rsidR="00C16740" w:rsidRPr="007D1F16" w:rsidRDefault="00C16740" w:rsidP="00C16740">
      <w:pPr>
        <w:pStyle w:val="NormalHanging12a"/>
      </w:pPr>
      <w:r w:rsidRPr="007D1F16">
        <w:t>13.</w:t>
      </w:r>
      <w:r w:rsidRPr="007D1F16">
        <w:tab/>
        <w:t>glæder sig – i lyset af, at handels- og samarbejdsaftalen ikke omfatter samarbejde inden for udenrigspolitik, sikkerhed, forsvar og udviklingssamarbejde – over, at den aftale om et sikkerheds- og forsvarspartnerskab, som blev indgået på topmødet mellem EU og Det Forenede Kongerige, og som styrker samarbejdet, er i overensstemmelse med den tidligere etablering af den halvårlige udenrigspolitiske dialog, tilvejebringer en struktureret ramme, der mangler i handels- og samarbejdsaftalen, og fastslår og viser Det Forenede Kongeriges fornyede tilsagn om at samarbejde med EU om udenrigspolitik og sikkerhed;</w:t>
      </w:r>
    </w:p>
    <w:p w14:paraId="61D01D8B" w14:textId="77777777" w:rsidR="00C16740" w:rsidRPr="007D1F16" w:rsidRDefault="00C16740" w:rsidP="00C16740">
      <w:pPr>
        <w:pStyle w:val="NormalHanging12a"/>
        <w:rPr>
          <w:szCs w:val="24"/>
        </w:rPr>
      </w:pPr>
      <w:r w:rsidRPr="007D1F16">
        <w:t>14.</w:t>
      </w:r>
      <w:r w:rsidRPr="007D1F16">
        <w:tab/>
        <w:t xml:space="preserve">påpeger, at et øget koordinering er helt afgørende for at kunne reagere på globale kriser inden for rammerne af et stadig mere ustabilt globalt sikkerhedsmiljø, der er præget af hybride trusler, cyberangreb og desinformationskampagner; understreger, at øget koordinering også er afgørende for at fremme demokrati og menneskerettigheder og sikre regional og international sikkerhed; </w:t>
      </w:r>
    </w:p>
    <w:p w14:paraId="080A42CE" w14:textId="77777777" w:rsidR="00C16740" w:rsidRPr="007D1F16" w:rsidRDefault="00C16740" w:rsidP="00C16740">
      <w:pPr>
        <w:pStyle w:val="NormalHanging12a"/>
        <w:rPr>
          <w:szCs w:val="24"/>
        </w:rPr>
      </w:pPr>
      <w:r w:rsidRPr="007D1F16">
        <w:t>15.</w:t>
      </w:r>
      <w:r w:rsidRPr="007D1F16">
        <w:tab/>
        <w:t>glæder sig over, at sikkerheds- og forsvarspartnerskabet etablerer et mere struktureret og institutionaliseret samarbejde om udenrigs-, sikkerheds- og forsvarsspørgsmål på forskellige forvaltningsniveauer i overensstemmelse med den politiske erklæring fra 2019</w:t>
      </w:r>
      <w:r w:rsidRPr="007D1F16">
        <w:rPr>
          <w:rStyle w:val="FootnoteReference"/>
          <w:szCs w:val="24"/>
        </w:rPr>
        <w:footnoteReference w:id="28"/>
      </w:r>
      <w:r w:rsidRPr="007D1F16">
        <w:t>, herunder aftalen om at afholde udenrigs- og sikkerhedspolitiske dialoger hver sjette måned; er af den opfattelse, at dette kan udgøre et solidt grundlag for samarbejdet, og mener, at det bør undersøges, om det kan institutionaliseres ved hjælp af et juridisk bindende instrument; understreger, at dette vil bidrage til at sikre vores samfunds sikkerhed og gøre dem modstandsdygtige over for fælles og hidtil usete geopolitiske sikkerhedstrusler, i særdeleshed truslen fra Rusland;</w:t>
      </w:r>
    </w:p>
    <w:p w14:paraId="0CB17C21" w14:textId="77777777" w:rsidR="00C16740" w:rsidRPr="007D1F16" w:rsidRDefault="00C16740" w:rsidP="00C16740">
      <w:pPr>
        <w:pStyle w:val="NormalHanging12a"/>
        <w:rPr>
          <w:bCs/>
          <w:iCs/>
        </w:rPr>
      </w:pPr>
      <w:r w:rsidRPr="007D1F16">
        <w:t>16.</w:t>
      </w:r>
      <w:r w:rsidRPr="007D1F16">
        <w:tab/>
        <w:t xml:space="preserve">understreger nødvendigheden af, at EU og Det Forenede Kongerige nøje overvåger </w:t>
      </w:r>
      <w:r w:rsidRPr="007D1F16">
        <w:lastRenderedPageBreak/>
        <w:t xml:space="preserve">gennemførelsen af bestemmelserne i sikkerheds- og forsvarspartnerskabet og af de forpligtelser, der er angivet i den fælles forståelse; anerkender, at den fælles forståelse er omfattende og vidtrækkende i sine forpligtelser; minder om, at Parlamentet skal holdes underrettet om skridtene og potentielle hindringer i forbindelse med dens gennemførelse; understreger, at Parlamentet skal holde Kommissionen fuldt ansvarlig for at opfylde dens forpligtelser i henhold til den fælles forståelse, der er aftalt med Det Forenede Kongeriges regering; </w:t>
      </w:r>
    </w:p>
    <w:p w14:paraId="0FF3C6AC" w14:textId="77777777" w:rsidR="00C16740" w:rsidRPr="007D1F16" w:rsidRDefault="00C16740" w:rsidP="00C16740">
      <w:pPr>
        <w:pStyle w:val="NormalHanging12a"/>
        <w:rPr>
          <w:bCs/>
          <w:iCs/>
        </w:rPr>
      </w:pPr>
      <w:r w:rsidRPr="007D1F16">
        <w:t>17.</w:t>
      </w:r>
      <w:r w:rsidRPr="007D1F16">
        <w:tab/>
        <w:t xml:space="preserve">glæder sig over EU's og Det Forenede Kongeriges tilsagn om at undersøge mulighederne for et gensidigt fordelagtigt forstærket samarbejde om forsvarsindustrien, som respekterer begge parters politik og retlige rammer; </w:t>
      </w:r>
    </w:p>
    <w:p w14:paraId="16196F4E" w14:textId="77777777" w:rsidR="00C16740" w:rsidRPr="007D1F16" w:rsidRDefault="00C16740" w:rsidP="00C16740">
      <w:pPr>
        <w:pStyle w:val="NormalHanging12a"/>
        <w:rPr>
          <w:b/>
          <w:i/>
        </w:rPr>
      </w:pPr>
      <w:r w:rsidRPr="007D1F16">
        <w:rPr>
          <w:b/>
          <w:i/>
        </w:rPr>
        <w:t>Institutionelle rammer</w:t>
      </w:r>
    </w:p>
    <w:p w14:paraId="68CFCD5D" w14:textId="77777777" w:rsidR="00C16740" w:rsidRPr="007D1F16" w:rsidRDefault="00C16740" w:rsidP="00C16740">
      <w:pPr>
        <w:pStyle w:val="NormalHanging12a"/>
        <w:rPr>
          <w:szCs w:val="24"/>
        </w:rPr>
      </w:pPr>
      <w:r w:rsidRPr="007D1F16">
        <w:t>18.</w:t>
      </w:r>
      <w:r w:rsidRPr="007D1F16">
        <w:tab/>
        <w:t>glæder sig over, at handels- og samarbejdsaftalens fælles organer fungerer effektivt; fremhæver betydningen af at holde Parlamentet mere regelmæssigt underrettet om og involveret i igangværende politiske og tekniske drøftelser; opfordrer til større gennemsigtighed i arbejdet i handels- og samarbejdsaftalens fælles organer, navnlig over for Parlamentet; opfordrer til stabilitet i samhandelen og reguleringsmæssig harmonisering mellem EU og Det Forenede Kongerige for at beskytte forbrugerrettighederne, sikkerheden for erhvervslivet og investeringsvilkårene, navnlig i lyset af den seneste tids globale forstyrrelser;</w:t>
      </w:r>
    </w:p>
    <w:p w14:paraId="07065450" w14:textId="77777777" w:rsidR="00C16740" w:rsidRPr="007D1F16" w:rsidRDefault="00C16740" w:rsidP="00C16740">
      <w:pPr>
        <w:pStyle w:val="NormalHanging12a"/>
      </w:pPr>
      <w:r w:rsidRPr="007D1F16">
        <w:t>19.</w:t>
      </w:r>
      <w:r w:rsidRPr="007D1F16">
        <w:tab/>
        <w:t>fremhæver genoptagelsen af Den Parlamentariske Partnerskabsforsamling EU-Det Forenede Kongerige i marts 2025 efter valget til Europa-Parlamentet og valget i Det Forenede Kongerige i 2024; fremhæver dens rolle med hensyn til at sikre parlamentarisk tilsyn og kontrol med gennemførelsen af handels- og samarbejdsaftalen; fremhæver Den Parlamentariske Partnerskabsforsamlings rolle med hensyn til at fremme tættere forbindelser og konstruktivt samarbejde mellem Europa-Parlamentets medlemmer og parlamentsmedlemmerne i Det Forenede Kongerige; opfordrer Partnerskabsrådet til at tage henstillingerne fra Den Parlamentariske Partnerskabsforsamling under overvejelse; fremhæver vigtigheden af at udvide deltagelsen af valgte medlemmer fra parlamenterne og forsamlingerne i Nordirland, Skotland og Wales som observatører; anbefaler hyppigere, tematiske møder ud over den nuværende halvårlige mødeplan for at give mulighed for regelmæssige drøftelser om handel, udenrigspolitik, energi og borgerrettigheder; opfordrer til bedre integration med nationale og regionale parlamenter for at afspejle forskellige demokratiske perspektiver; understreger sit tilsagn om at styrke Den Parlamentariske Partnerskabsforsamling yderligere som et centralt forum for interparlamentarisk dialog;</w:t>
      </w:r>
    </w:p>
    <w:p w14:paraId="18DD2747" w14:textId="77777777" w:rsidR="00C16740" w:rsidRPr="007D1F16" w:rsidRDefault="00C16740" w:rsidP="00C16740">
      <w:pPr>
        <w:pStyle w:val="NormalHanging12a"/>
        <w:rPr>
          <w:szCs w:val="24"/>
        </w:rPr>
      </w:pPr>
      <w:r w:rsidRPr="007D1F16">
        <w:t>20.</w:t>
      </w:r>
      <w:r w:rsidRPr="007D1F16">
        <w:tab/>
        <w:t xml:space="preserve">understreger, at det er nødvendigt at bibeholde borgernes interesser centralt i gennemførelsen af handels- og samarbejdsaftalen og i dialogen at tage hensyn til elementer af økonomisk samarbejde sideløbende med social retfærdighed gennem deltagelse af frivillige grupper, civilsamfundet og erhvervssammenslutninger; glæder sig over civilsamfundets, herunder arbejdsgiverorganisationers og fagforeningers samt NGO'ers, engagement i gennemførelsen af handels- og samarbejdsaftalen; fremhæver den afbalancerede repræsentation i EU's interne rådgivende gruppe og dens værdifulde anbefalinger; fremhæver civilsamfundsforummets betydning i den henseende; opfordrer Partnerskabsrådet til fortsat at tage hensyn til civilsamfundets forskellige synspunkter og opfordrer Den Parlamentariske Partnerskabsforsamling til at muliggøre en direkte udveksling af synspunkter mellem medlemmer af Den Parlamentariske </w:t>
      </w:r>
      <w:r w:rsidRPr="007D1F16">
        <w:lastRenderedPageBreak/>
        <w:t>Partnerskabsforsamling og medlemmer af den interne rådgivende gruppe på alle de halvårlige møder i Den Parlamentariske Partnerskabsforsamling; opfordrer alle specialudvalg til at styrke dialogen med den interne rådgivende gruppe med henblik på at sikre bedre tilsyn og gennemsigtighed; opfordrer til, at der gøres yderligere bestræbelser på at sikre, at en bred vifte af civilsamfundsorganisationer såsom ungdomsorganisationer tilslutter sig civilsamfundsforummet under handels- og samarbejdsaftalen;</w:t>
      </w:r>
    </w:p>
    <w:p w14:paraId="77389AB1" w14:textId="77777777" w:rsidR="00C16740" w:rsidRPr="007D1F16" w:rsidRDefault="00C16740" w:rsidP="00C16740">
      <w:pPr>
        <w:pStyle w:val="NormalHanging12a"/>
        <w:rPr>
          <w:bCs/>
          <w:iCs/>
        </w:rPr>
      </w:pPr>
      <w:r w:rsidRPr="007D1F16">
        <w:t>21.</w:t>
      </w:r>
      <w:r w:rsidRPr="007D1F16">
        <w:tab/>
        <w:t xml:space="preserve">bekræfter på ny Parlamentets tilsagn om nøje at overvåge gennemførelsen af handels- og samarbejdsaftalen; minder om, at Kommissionen bør give Parlamentet fuldstændig og omgående information om gennemførelsen af handels- og samarbejdsaftalen for at sikre behørig kontrol; glæder sig over det fortsatte gode samarbejde mellem Parlamentet og Kommissionen og de øgede direkte, positive og konstruktive kontakter mellem medlemmer af Europa-Parlamentet og medlemmer af begge kamre i Det Forenede Kongeriges parlament; gentager sin opfordring til, at Parlamentet inddrages i enhver fremtidig gennemgangsprocedure vedrørende handels- og samarbejdsaftalen; beklager, at Parlamentet ikke blev inddraget i topmødet mellem EU og Det Forenede Kongerige, og giver udtryk for bekymring over, at der på topmødet mellem EU og Det Forenede Kongerige overhovedet ikke blev henvist til Europa-Parlamentets og Det Forenede Kongeriges parlaments rolle i den institutionelle ramme for den fornyede dagsorden for samarbejdet mellem EU og Det Forenede Kongerige, det strategiske partnerskab og sikkerheds- og forsvarspartnerskabet; </w:t>
      </w:r>
    </w:p>
    <w:p w14:paraId="51937894" w14:textId="77777777" w:rsidR="00C16740" w:rsidRPr="007D1F16" w:rsidRDefault="00C16740" w:rsidP="00C16740">
      <w:pPr>
        <w:pStyle w:val="NormalHanging12a"/>
        <w:rPr>
          <w:b/>
          <w:i/>
        </w:rPr>
      </w:pPr>
      <w:r w:rsidRPr="007D1F16">
        <w:rPr>
          <w:b/>
          <w:i/>
        </w:rPr>
        <w:t>Handel med varer</w:t>
      </w:r>
    </w:p>
    <w:p w14:paraId="21859E68" w14:textId="77777777" w:rsidR="00C16740" w:rsidRPr="007D1F16" w:rsidRDefault="00C16740" w:rsidP="00C16740">
      <w:pPr>
        <w:pStyle w:val="NormalHanging12a"/>
        <w:rPr>
          <w:szCs w:val="24"/>
        </w:rPr>
      </w:pPr>
      <w:r w:rsidRPr="007D1F16">
        <w:t>22.</w:t>
      </w:r>
      <w:r w:rsidRPr="007D1F16">
        <w:tab/>
        <w:t>minder om, at handels- og samarbejdsaftalen tilvejebringer et omfattende og ambitiøst grundlag for forholdet mellem parterne, navnlig for handel mellem EU og Det Forenede Kongerige, samtidig med at den sikrer lige konkurrencevilkår og bæredygtig udvikling; minder om, at handels- og samarbejdsaftalen er enestående i EU's historie for så vidt angår frihandelsaftaler, idet den har fokus på at begrænse forskelle, snarere end at fremme konvergens mellem handelspartnerne; minder om, at handels- og samarbejdsaftalen også er enestående, fordi den fastsætter nultoldsatser og toldfri kontingenter for handel mellem EU og Det Forenede Kongerige;</w:t>
      </w:r>
    </w:p>
    <w:p w14:paraId="1E1AD10D" w14:textId="77777777" w:rsidR="00C16740" w:rsidRPr="007D1F16" w:rsidRDefault="00C16740" w:rsidP="00C16740">
      <w:pPr>
        <w:pStyle w:val="NormalHanging12a"/>
        <w:rPr>
          <w:bCs/>
          <w:iCs/>
        </w:rPr>
      </w:pPr>
      <w:r w:rsidRPr="007D1F16">
        <w:t>23.</w:t>
      </w:r>
      <w:r w:rsidRPr="007D1F16">
        <w:tab/>
        <w:t>gentager, at handels- og samarbejdsaftalen er det skrøbelige resultat af lange og vanskelige forhandlinger, og at den derfor bør gennemføres fuldt ud i god tro, ligesom udtrædelsesaftalen, navnlig Windsorrammen, til gensidig fordel for begge parter; opfordrer begge parter til fuldt ud at anvende handels- og samarbejdsaftalens store potentiale til at fremme handel mellem EU og Det Forenede Kongerige i størst muligt omfang og samtidig have in mente, at fordelene ved at være medlem af EU for så vidt angår adgang til EU's indre marked og toldunionen samt deltagelse i andre fælles og ledsagende politikker ikke under nogen omstændigheder kan gøres efter ved hjælp af en frihandelsaftale; anerkender ikke desto mindre, at handels- og samarbejdsaftalen rummer et betydeligt uudnyttet potentiale, og glæder sig over, at den nu bør bruges som en fremadskuende ramme for at uddybe samarbejdet på områder af fælles interesse;</w:t>
      </w:r>
    </w:p>
    <w:p w14:paraId="05D2AE54" w14:textId="77777777" w:rsidR="00C16740" w:rsidRPr="007D1F16" w:rsidRDefault="00C16740" w:rsidP="00C16740">
      <w:pPr>
        <w:pStyle w:val="NormalHanging12a"/>
        <w:rPr>
          <w:bCs/>
          <w:iCs/>
        </w:rPr>
      </w:pPr>
      <w:r w:rsidRPr="007D1F16">
        <w:t>24.</w:t>
      </w:r>
      <w:r w:rsidRPr="007D1F16">
        <w:tab/>
        <w:t>noterer sig, at Kommissionen vurderer, at de ordninger vedrørende handel med varer, som er fastsat i handels- og samarbejdsaftalen, generelt har været effektive og fungeret gnidningsløst, selv om der fortsat er visse gennemførelsesvanskeligheder, der kræver udbedring så hurtigt som muligt;</w:t>
      </w:r>
    </w:p>
    <w:p w14:paraId="7E766E61" w14:textId="77777777" w:rsidR="00C16740" w:rsidRPr="007D1F16" w:rsidRDefault="00C16740" w:rsidP="00C16740">
      <w:pPr>
        <w:pStyle w:val="NormalHanging12a"/>
        <w:rPr>
          <w:szCs w:val="24"/>
        </w:rPr>
      </w:pPr>
      <w:r w:rsidRPr="007D1F16">
        <w:lastRenderedPageBreak/>
        <w:t>25.</w:t>
      </w:r>
      <w:r w:rsidRPr="007D1F16">
        <w:tab/>
        <w:t>gentager, at EU og Det Forenede Kongerige bør arbejde tæt sammen om told, herunder ved at sikre en effektiv udveksling af information og data gennem oprettelse af en fælles database over uregelmæssigheder og svig i forbindelse med e-handel og over handlende, der ikke er fra hverken EU eller Det Forenede Kongerige, i forbindelse med varer, der indføres fra lande uden for EU og Det Forenede Kongerige; gør på ny opmærksom på betydningen af konstruktiv dialog og effektive metoder til samarbejde mellem toldmyndighederne med henblik på at forenkle, digitalisere og fremskynde toldklareringsprocedurerne ved ind- og udpassage med et tilstrækkeligt antal toldere og forenklede toldprocedurer, herunder bredere adgang til ordninger for betroede erhvervsdrivende og udrulning af intelligente digitale løsninger for at strømline processerne med henblik på at minimere de administrative og finansielle omkostninger for alle interessenter, navnlig SMV'er, og sikre en ubrudt strøm af kritiske landbrugsinput, herunder veterinærlægemidler, frø og dyrefoder, på tværs af grænserne, navnlig for Irland og andre grænseregioner, der er stærkt afhængige af rettidige leverancer; opfordrer indtrængende Kommissionen til at gå i aktiv dialog med Det Forenede Kongerige om at forenkle toldprocedurerne gennem udvikling af ordninger for betroede erhvervsdrivende og indførelse af "grønne baner" for varer med lav risiko;</w:t>
      </w:r>
    </w:p>
    <w:p w14:paraId="20758357" w14:textId="77777777" w:rsidR="00C16740" w:rsidRPr="007D1F16" w:rsidRDefault="00C16740" w:rsidP="00C16740">
      <w:pPr>
        <w:pStyle w:val="NormalHanging12a"/>
        <w:rPr>
          <w:szCs w:val="24"/>
        </w:rPr>
      </w:pPr>
      <w:r w:rsidRPr="007D1F16">
        <w:t>26.</w:t>
      </w:r>
      <w:r w:rsidRPr="007D1F16">
        <w:tab/>
        <w:t>anerkender det samarbejde, der har udviklet sig mellem EU og Det Forenede Kongerige inden for e-handel siden handels- og samarbejdsaftalens ikrafttræden; understreger, at selv om handels- og samarbejdsaftalen indeholder vigtige bestemmelser med henblik på at lette digital handel, har toldprocedurerne efter brexit skabt yderligere byrder for e-handelsdrivende, navnlig gennem obligatoriske toldangivelser, importinspektioner og komplekse krav til oprindelsesregler; glæder sig over EU's og Det Forenede Kongeriges nylige bestræbelser på at strømline handelslogistikken og mindske eksportrestriktionerne, og understreger, at der er behov for yderligere bestræbelser på at forbedre den reguleringsmæssige tilpasning, forenkle toldprocedurerne og tilsikre en gnidningsløs og sikker overførsel af data for at frigøre det fulde potentiale for grænseoverskridende e-handel og forbedre den digitale handel;</w:t>
      </w:r>
    </w:p>
    <w:p w14:paraId="573C5D12" w14:textId="77777777" w:rsidR="00C16740" w:rsidRPr="007D1F16" w:rsidRDefault="00C16740" w:rsidP="00C16740">
      <w:pPr>
        <w:pStyle w:val="NormalHanging12a"/>
        <w:rPr>
          <w:szCs w:val="24"/>
        </w:rPr>
      </w:pPr>
      <w:r w:rsidRPr="007D1F16">
        <w:t>27.</w:t>
      </w:r>
      <w:r w:rsidRPr="007D1F16">
        <w:tab/>
        <w:t xml:space="preserve">tilskynder EU og Det Forenede Kongerige til at undersøge mulighederne for et dybere samarbejde om regionale forsyningskæder; understreger, at sådanne skridt vil understøtte mere fleksible og modstandsdygtige forsyningskæder og bidrage til at tackle toldmæssige og ikketoldmæssige hindringer knyttet til komplekse oprindelsesregler; </w:t>
      </w:r>
    </w:p>
    <w:p w14:paraId="41CB6BC8" w14:textId="77777777" w:rsidR="00C16740" w:rsidRPr="007D1F16" w:rsidRDefault="00C16740" w:rsidP="00C16740">
      <w:pPr>
        <w:pStyle w:val="NormalHanging12a"/>
        <w:rPr>
          <w:szCs w:val="24"/>
        </w:rPr>
      </w:pPr>
      <w:r w:rsidRPr="007D1F16">
        <w:t>28.</w:t>
      </w:r>
      <w:r w:rsidRPr="007D1F16">
        <w:tab/>
        <w:t xml:space="preserve">understreger, at gennemførelsen af Det Forenede Kongeriges nye importordning, "Border Target Operating Model", har skabt vanskeligheder som følge af hyppige ændringer i risikokategoriseringen uden behørig underretning, inkonsekvent fortolkning af importkravene, lange ventetider i forbindelse med gennemførelsen af kontroller og manglende anerkendelse af EU som én enkelt sundheds- og plantesundhedsenhed; er bekymret over, at Det Forenede Kongeriges svar endnu ikke har løst de dermed forbundne problemer fuldt ud; </w:t>
      </w:r>
    </w:p>
    <w:p w14:paraId="33F2B53E" w14:textId="77777777" w:rsidR="00C16740" w:rsidRPr="007D1F16" w:rsidRDefault="00C16740" w:rsidP="00C16740">
      <w:pPr>
        <w:pStyle w:val="NormalHanging12a"/>
        <w:rPr>
          <w:szCs w:val="24"/>
        </w:rPr>
      </w:pPr>
      <w:r w:rsidRPr="007D1F16">
        <w:t>29.</w:t>
      </w:r>
      <w:r w:rsidRPr="007D1F16">
        <w:tab/>
        <w:t xml:space="preserve">glæder sig over det tilsagn, der blev givet på topmødet mellem EU og Det Forenede Kongerige, om at arbejde hen imod oprettelsen af et fælles SPS-område gennem en omfattende SPS-aftale mellem Den Europæiske Union og Det Forenede Kongerige; anerkender, at ikketoldmæssige hindringer og reguleringsmæssige forskelle i øjeblikket skaber udfordringer for handelen mellem EU og Det Forenede Kongerige, navnlig gennem øgede overholdelseskrav, overlappende certificeringsprocedurer og forskellige produktstandarder; bemærker, at sådanne gnidninger påvirker en række sektorer, herunder landbrugsfødevarer, kemikalier, motorkøretøjer og maskiner, og kan være </w:t>
      </w:r>
      <w:r w:rsidRPr="007D1F16">
        <w:lastRenderedPageBreak/>
        <w:t>særligt byrdefulde for SMV'er; tilskynder begge parter til at gøre fuld og effektiv brug af handels- og samarbejdsaftalens mekanismer for regulerings- og toldsamarbejde for at løse disse problemer med henblik på at mindske handelsgnidninger forud for gennemgangen af handels- og samarbejdsaftalen i 2026;</w:t>
      </w:r>
    </w:p>
    <w:p w14:paraId="011FE059" w14:textId="77777777" w:rsidR="00C16740" w:rsidRPr="007D1F16" w:rsidRDefault="00C16740" w:rsidP="00C16740">
      <w:pPr>
        <w:pStyle w:val="NormalHanging12a"/>
        <w:rPr>
          <w:szCs w:val="24"/>
        </w:rPr>
      </w:pPr>
      <w:r w:rsidRPr="007D1F16">
        <w:t xml:space="preserve">30. </w:t>
      </w:r>
      <w:r w:rsidRPr="007D1F16">
        <w:tab/>
        <w:t xml:space="preserve">glæder sig over Det Forenede Kongeriges planer om at vedtage lovgivning om tidsubestemt anerkendelse af CE-mærkningen på tværs af yderligere produktbestemmelser, hvilket yderligere vil lette EU-producenters udfordringer med hensyn til overholdelse og lette eksporten af produkter, der kræver en sådan mærkning, fra Det Forenede Kongerige til EU; opfordrer indtrængende Kommissionen til hurtigt at indlede forhandlinger med Det Forenede Kongerige for at sikre en stærk tilpasning af overensstemmelsesvurderinger for produkter, navnlig inden for stærkt integrerede sektorer, med henblik på at fjerne overflødige test, reducere virksomhedernes omkostninger og styrke det indre marked; tilskynder begge parter til at tilstræbe pragmatiske ordninger for gensidig anerkendelse af overensstemmelsesvurderinger i produktsektorer, der åbenlyst er lavrisikosektorer, med henblik på at reducere unødvendige overholdelsesomkostninger og administrative byrder, navnlig for SMV'er, samtidig med at forbrugersikkerheden og -beskyttelsen sikres og styrkes yderligere; tilskynder Kommissionen til at bygge videre på denne udvikling ved at tilstræbe sektorspecifikke ordninger for gensidig anerkendelse, hvor der allerede findes reguleringsmæssig konvergens, og dermed fjerne unødvendig overlapning af certificeringsprocedurer, hvor dette er relevant; </w:t>
      </w:r>
    </w:p>
    <w:p w14:paraId="3EEE5B1F" w14:textId="76BF83DF" w:rsidR="00C16740" w:rsidRPr="007D1F16" w:rsidRDefault="00C16740" w:rsidP="00C16740">
      <w:pPr>
        <w:pStyle w:val="NormalHanging12a"/>
        <w:rPr>
          <w:szCs w:val="24"/>
        </w:rPr>
      </w:pPr>
      <w:r w:rsidRPr="007D1F16">
        <w:t>31.</w:t>
      </w:r>
      <w:r w:rsidRPr="007D1F16">
        <w:tab/>
        <w:t xml:space="preserve">bemærker, at aftalen om oprettelse af et fælles SPS-område i væsentlig grad vil mindske handelsgnidningerne og bidrage til stabilitet og forudsigelighed for virksomhederne ved at fjerne langt størstedelen af certificerings- og kontrolkravene for overførsel af dyr, animalske produkter, planter og planteprodukter mellem Storbritannien og EU, samtidig med at der opretholdes høje standarder for sundhed og forbrugerbeskyttelse, fødevaresikkerhed og dyrevelfærd; understreger, at disse fordele for landbrugere, SMV'er og forbrugere i hele EU og Det Forenede Kongerige også vil omfatte sådanne varers bevægelighed mellem Storbritannien og Nordirland; bemærker, at den fremtidige SPS-aftale bør give Det Forenede Kongerige mulighed for dynamisk tilpasning, være underlagt en tvistbilæggelsesmekanisme med et uafhængigt voldgiftspanel og acceptere Den Europæiske Unions Domstol som den øverste myndighed i EU-retlige spørgsmål; bifalder intentionen om at </w:t>
      </w:r>
      <w:r w:rsidR="00EB7311" w:rsidRPr="00EB7311">
        <w:t>underrette</w:t>
      </w:r>
      <w:r w:rsidR="00EB7311">
        <w:t xml:space="preserve"> </w:t>
      </w:r>
      <w:r w:rsidRPr="007D1F16">
        <w:t xml:space="preserve">Det Forenede Kongerige på et tidligt tidspunkt i EU's beslutningstagningsproces inden for områder, der er omfattet af den fremtidige SPS-aftale; opfordrer indtrængende Kommissionen til at fremlægge en køreplan for SPS-forhandlingerne med Det Forenede Kongerige; anmoder desuden begge parter om at intensivere reguleringsdialogen om ikke-SPS-aspekter af fødevareregulering og undgå divergens på områder som mærkning og emballering; understreger, at al adgang for Det Forenede Kongerige til EU's systemer, databaser og agenturer under EU-programmer, der er relevante for SPS-aftalen, skal være betinget af fuld inddækning af de dermed forbundne omkostninger for EU-budgettet; understreger, at en sådan deltagelse skal give EU og dets interessenter klare fordele i overensstemmelse med princippet om budgetmæssig proportionalitet; </w:t>
      </w:r>
    </w:p>
    <w:p w14:paraId="592A9538" w14:textId="77777777" w:rsidR="00C16740" w:rsidRPr="007D1F16" w:rsidRDefault="00C16740" w:rsidP="00C16740">
      <w:pPr>
        <w:pStyle w:val="NormalHanging12a"/>
        <w:rPr>
          <w:szCs w:val="24"/>
        </w:rPr>
      </w:pPr>
      <w:bookmarkStart w:id="17" w:name="_Hlk213251186"/>
      <w:r w:rsidRPr="007D1F16">
        <w:t>32.</w:t>
      </w:r>
      <w:r w:rsidRPr="007D1F16">
        <w:tab/>
        <w:t xml:space="preserve">gør på ny opmærksom på det strategiske behov for et udvidet samarbejde mellem EU og Det Forenede Kongerige for at bevare og modernisere den nuværende retfærdige og regelbaserede internationale handelsorden og imødegå fælles globale økonomiske udfordringer; opfordrer i den forbindelse til en yderligere fælles indsats for at arbejde hen imod en inkluderende og omfattende reform af WTO, der kommer med svar på de </w:t>
      </w:r>
      <w:r w:rsidRPr="007D1F16">
        <w:lastRenderedPageBreak/>
        <w:t xml:space="preserve">nuværende og fremtidige udfordringer i en verden, der er dybt indbyrdes forbundet, og aktivt modarbejder enhver ny fare for splittelse i den globale politiske og økonomiske orden såvel som ensidige og uberettigede handelsforanstaltninger og toldsatser, der har ramt både EU og Det Forenede Kongerige på det seneste; opfordrer derfor begge parter til fortsat at støtte forbrugere, der oplever et pres i forbindelse med leveomkostningerne; understreger, at et forstærket samarbejde mellem EU og Det Forenede Kongerige i den forbindelse er afgørende for at styrke forsyningskædernes modstandsdygtighed og mindske strategisk afhængighed; understreger, at begge parter bør intensivere den fælles indsats for at mindske risikoen i kritiske forsyningskæder i overensstemmelse med EU's prioriteter for økonomisk sikkerhed; tilskynder – omend det bemærkes, at samarbejdet om kritiske råstoffer ikke var en del af konklusionerne fra topmødet mellem EU og Det Forenede Kongerige – EU og Det Forenede Kongerige til at styrke Europas autonomi i den henseende; tilskynder til igangsættelse af strukturerede dialoger og målrettede initiativer for at fremme diversificering, opbygge gensidig tillid og styrke strategisk autonomi med henblik på at fremme bæredygtig vækst og fælles velstand; opfordrer Kommissionen til at kigge nærmere på detaljerne i aftalen mellem Det Forenede Kongerige og USA, som blev bekendtgjort den 8. maj 2025 ("Economic Prosperity Deal"), for at sikre, at ingen af bestemmelserne deri underminerer handels- og samarbejdsaftalen eller en potentiel aftale mellem EU og Det Forenede Kongerige; bemærker, at selv om indholdet af Economic Prosperity Deal stadig skal klarlægges, kan den få indvirkning på de lige konkurrencevilkår, der er etableret mellem EU og Det Forenede Kongerige inden for rammerne af handels- og samarbejdsaftalen, samt på en eventuel dynamisk tilpasning, der følger af konklusionerne fra topmødet mellem EU og Det Forenede Kongerige, f.eks. om et fælles SPS-område; glæder sig over aftalen om toldfri handel med stålprodukter og anerkender den som en positiv udvikling, der skaber hårdt tiltrængt stabilitet og forudsigelighed for vigtige industrisektorer; minder om, at handels- og samarbejdsaftalen indeholder særlige forpligtelser til at opretholde internationale handelsregler, samarbejde i multilaterale fora og udveksle oplysninger om defensive handelsinstrumenter og udviklingen i den globale handel; glæder sig over resultaterne af topmødet mellem EU og Det Forenede Kongerige, på hvilket begge parter på ny bekræftede deres hensigt om at styrke koordineringen i forbindelse med WTO-reformen, støtte gennemsigtig og regelbaseret handel og forfølge fælles tilgange til presserende handelstvister, og understreger, at en effektiv gennemførelse af disse tilsagn er afgørende for at styrke partnerskabet mellem EU og Det Forenede Kongerige som en drivkraft for stabilitet og forudsigelighed i reguleringen af verdenshandelen; glæder sig over Det Forenede Kongeriges regerings nylige meddelelse om, at den vil tilslutte sig WTO's midlertidige ordning mellem flere parter om appel af voldgiftssager, hvilket vil sikre tvistbilæggelsesordningens fortsatte effektivitet, mens der forhandles om bredere reformer af WTO; understreger, at der i den nuværende volatile globale handelssammenhæng skal tages hensyn til Nordirlands unikke position ved udformningen af handelspolitikken fra både Det Forenede Kongeriges regerings og Kommissionens side; </w:t>
      </w:r>
      <w:bookmarkEnd w:id="17"/>
    </w:p>
    <w:p w14:paraId="51AB6C4B" w14:textId="77777777" w:rsidR="00C16740" w:rsidRPr="007D1F16" w:rsidRDefault="00C16740" w:rsidP="00C16740">
      <w:pPr>
        <w:pStyle w:val="NormalHanging12a"/>
        <w:rPr>
          <w:bCs/>
          <w:iCs/>
        </w:rPr>
      </w:pPr>
      <w:r w:rsidRPr="007D1F16">
        <w:t>33.</w:t>
      </w:r>
      <w:r w:rsidRPr="007D1F16">
        <w:tab/>
        <w:t>glæder sig over den forlængelse, der blev aftalt den 21. december 2023, af reglerne om oprindelse for elektriske køretøjer og batterier frem til den 31. december 2026; understreger vigtigheden af at overvåge oprindelsesreglerne for at undgå omgåelse af standarder og regler for varer fra lande, som Det Forenede Kongerige kan have andre handelsaftaler med;</w:t>
      </w:r>
    </w:p>
    <w:p w14:paraId="3866691D" w14:textId="77777777" w:rsidR="00C16740" w:rsidRPr="007D1F16" w:rsidRDefault="00C16740" w:rsidP="00C16740">
      <w:pPr>
        <w:pStyle w:val="NormalHanging12a"/>
        <w:rPr>
          <w:b/>
          <w:i/>
        </w:rPr>
      </w:pPr>
      <w:r w:rsidRPr="007D1F16">
        <w:rPr>
          <w:b/>
          <w:i/>
        </w:rPr>
        <w:t>Tjenesteydelser, digital handel og investeringer</w:t>
      </w:r>
    </w:p>
    <w:p w14:paraId="4BDB5EA4" w14:textId="77777777" w:rsidR="00C16740" w:rsidRPr="007D1F16" w:rsidRDefault="00C16740" w:rsidP="00C16740">
      <w:pPr>
        <w:pStyle w:val="NormalHanging12a"/>
        <w:rPr>
          <w:szCs w:val="24"/>
        </w:rPr>
      </w:pPr>
      <w:r w:rsidRPr="007D1F16">
        <w:lastRenderedPageBreak/>
        <w:t>34.</w:t>
      </w:r>
      <w:r w:rsidRPr="007D1F16">
        <w:tab/>
        <w:t>noterer sig, at Kommissionen vurderer, at gennemførelsen af handels- og samarbejdsaftalen inden for områderne tjenesteydelser og investeringer, digital handel, intellektuel ejendomsret, offentlige udbud og SMV'er generelt er forløbet gnidningsløst uden større problemer, bortset fra anvendelsen af Det Forenede Kongeriges sponsorordning for arbejdsvisa på EU-tjenesteudbydere, hvilket fortsat er en hindring, og bemærker, at Det Forenede Kongeriges eksport af tjenesteydelser til EU steg med 19 % i 2024 i forhold til 2019, hvilket viser tjenesteydelsessektorens modstandsdygtighed og potentiale; understreger, at det er nødvendigt at gøre noget ved disse hindringer for kortvarig mobilitet for EU-tjenesteudbydere, herunder i sektorerne kultur, videnskab og landbrugsrådgivning, og den potentielle fælles fordel af forbedrede og gensidige ordninger for kortvarig erhvervsmobilitet; opfordrer til en forenkling af Det Forenede Kongeriges visumprocedurer for EU-fagfolk og leverandører af kontraktbaserede tjenesteydelser for at mindske de finansielle og administrative byrder; opfordrer medlemsstaterne og Det Forenede Kongerige til at afkorte behandlingstiderne for og nedbringe omkostningerne ved ansøgninger om arbejdstilladelser, når de er påkrævet; glæder sig over Det Forenede Kongeriges og Kommissionens tilsagn på topmødet mellem EU og Det Forenede Kongerige om at etablere særlige dialoger om fysiske personers indrejse og midlertidige ophold i erhvervsøjemed, herunder sponsorordningen; opfordrer begge parter til at undersøge mulighederne for at lette kortvarig mobilitet for tjenesteydere og iværksættere, navnlig SMV'er og liberale erhverv, gennem strømlinede visumprocedurer og gensidig anerkendelse af erhvervsmæssige kvalifikationer under fuld overholdelse af deres respektive reguleringsmæssige autonomi; opfordrer Det Forenede Kongeriges regering til at fritage tjenesteydere, der er omfattet af handels- og samarbejdsaftalen, fra sponsorordningen; opfordrer til dybere samarbejde mellem EU og Det Forenede Kongerige om handel med tjenesteydelser;</w:t>
      </w:r>
    </w:p>
    <w:p w14:paraId="39CAA301" w14:textId="77777777" w:rsidR="00C16740" w:rsidRPr="007D1F16" w:rsidRDefault="00C16740" w:rsidP="00C16740">
      <w:pPr>
        <w:pStyle w:val="NormalHanging12a"/>
        <w:rPr>
          <w:bCs/>
          <w:iCs/>
        </w:rPr>
      </w:pPr>
      <w:r w:rsidRPr="007D1F16">
        <w:t>35.</w:t>
      </w:r>
      <w:r w:rsidRPr="007D1F16">
        <w:tab/>
        <w:t xml:space="preserve">opfordrer indtrængende Det Forenede Kongerige, Kommissionen og medlemsstaterne til at holde fast ved deres bestræbelser på at opnå gensidig anerkendelse af erhvervsmæssige kvalifikationer og opfordrer til, at tempoet i forhandlingerne øges, parallelt med løsninger, der kan fremme mere gnidningsløs kortsigtet mobilitet og grænseoverskridende levering af tjenesteydelser i alle sektorer af EU's og Det Forenede Kongeriges markeder; fremhæver de fortsatte hindringer, som EU-borgere og Det Forenede Kongeriges statsborgere står over for med hensyn til at få adgang til lovregulerede erhverv; understreger, at der er behov for klare, strømlinede anerkendelsesprocedurer og inddragelse af faglige organer og kompetente myndigheder på begge sider; bemærker, at der til dato kun er modtaget én henstilling om en mulig ordning for gensidig anerkendelse i henhold til handels- og samarbejdsaftalen, nemlig for så vidt angår arkitekterhvervet; opfordrer Kommissionen og Det Forenede Kongerige til at fremskynde gennemførelsen af handels- og samarbejdsaftalens artikel 158 og til at prioritere yderligere sektorer såsom sundhedspleje, ingeniørvirksomhed og juridiske og finansielle tjenesteydelser; understreger vigtigheden af at hjælpe unge med at udvikle fremtidssikrede færdigheder ved at fremme grænseoverskridende uddannelse og faglige udviklingsmuligheder, herunder målrettede investeringer i kompetencer inden for det digitale, det grønne og det finansielle område; opfordrer til samarbejde mellem EU og Det Forenede Kongerige om mobilitetsordninger og opfordrer EU og Det Forenede Kongerige til at forhandle sig frem til en ambitiøs aftale om erhvervsmobilitet i erkendelse af, at effektiviteten af ordninger for gensidig anerkendelse af erhvervsmæssige kvalifikationer er uløseligt forbundet med forenklede bestemmelser om kortvarigt og midlertidigt ophold; opfordrer Det Forenede Kongeriges </w:t>
      </w:r>
      <w:r w:rsidRPr="007D1F16">
        <w:lastRenderedPageBreak/>
        <w:t xml:space="preserve">regering til fortsat at træffe alle nødvendige foranstaltninger til at bekæmpe forskelsbehandling af medlemsstaternes borgere, der bor i Det Forenede Kongerige; </w:t>
      </w:r>
    </w:p>
    <w:p w14:paraId="2DDC26A5" w14:textId="77777777" w:rsidR="00C16740" w:rsidRPr="007D1F16" w:rsidRDefault="00C16740" w:rsidP="00C16740">
      <w:pPr>
        <w:pStyle w:val="NormalHanging12a"/>
        <w:rPr>
          <w:bCs/>
          <w:iCs/>
        </w:rPr>
      </w:pPr>
      <w:r w:rsidRPr="007D1F16">
        <w:t>36.</w:t>
      </w:r>
      <w:r w:rsidRPr="007D1F16">
        <w:tab/>
        <w:t xml:space="preserve">tilskynder til et tæt samarbejde mellem EU og Det Forenede Kongerige om forskellige aspekter af reguleringen af digital handel; påskønner derfor den administrative ordning for tilsynet med risikovurderings- og afbødningsindsatsen fra udbydere af store onlineplatforme, der blev undertegnet af EU og Det Forenede Kongerige den 30. april 2024; mener, at reguleringsmæssig konvergens og dialog om lovgivning inden for det digitale område bør fremmes, navnlig med hensyn til onlineplatforme og kunstig intelligens; </w:t>
      </w:r>
    </w:p>
    <w:p w14:paraId="71C35424" w14:textId="77777777" w:rsidR="00C16740" w:rsidRPr="007D1F16" w:rsidRDefault="00C16740" w:rsidP="00C16740">
      <w:pPr>
        <w:pStyle w:val="NormalHanging12a"/>
        <w:rPr>
          <w:b/>
          <w:i/>
        </w:rPr>
      </w:pPr>
      <w:r w:rsidRPr="007D1F16">
        <w:rPr>
          <w:b/>
          <w:i/>
        </w:rPr>
        <w:t>Lige konkurrencevilkår og konkurrencepolitik</w:t>
      </w:r>
    </w:p>
    <w:p w14:paraId="6D7FDEDD" w14:textId="77777777" w:rsidR="00C16740" w:rsidRPr="007D1F16" w:rsidRDefault="00C16740" w:rsidP="00C16740">
      <w:pPr>
        <w:pStyle w:val="NormalHanging12a"/>
        <w:rPr>
          <w:szCs w:val="24"/>
        </w:rPr>
      </w:pPr>
      <w:r w:rsidRPr="007D1F16">
        <w:t>37.</w:t>
      </w:r>
      <w:r w:rsidRPr="007D1F16">
        <w:tab/>
        <w:t>gentager, at Det Forenede Kongerige bør anerkende de komplikationer, der vil opstå som følge af enhver unødvendig systematisk reguleringsmæssig forskel, navnlig for beskyttelsen af beskæftigelsesmæssige og sociale rettigheder, miljøet, personoplysninger, statsstøtte, digital handel og beskatning, hvilket kun vil skabe yderligere problemer med hensyn til de i handels- og samarbejdsaftalen fastsatte forpligtelser om lige konkurrencevilkår samt for EU's og Det Forenede Kongeriges virksomheder og samhandel;</w:t>
      </w:r>
    </w:p>
    <w:p w14:paraId="5D95B2CE" w14:textId="77777777" w:rsidR="00C16740" w:rsidRPr="007D1F16" w:rsidRDefault="00C16740" w:rsidP="00C16740">
      <w:pPr>
        <w:pStyle w:val="NormalHanging12a"/>
        <w:rPr>
          <w:szCs w:val="24"/>
        </w:rPr>
      </w:pPr>
      <w:r w:rsidRPr="007D1F16">
        <w:t>38.</w:t>
      </w:r>
      <w:r w:rsidRPr="007D1F16">
        <w:tab/>
        <w:t xml:space="preserve">glæder sig over afslutningen af forhandlingerne om konkurrencesamarbejdsaftalen mellem EU og Det Forenede Kongerige under handels- og samarbejdsaftalen, som giver Kommissionen, medlemsstaternes nationale konkurrencemyndigheder og Det Forenede Kongeriges konkurrence- og markedsmyndighed mulighed for at samarbejde direkte om konkurrenceundersøgelser; bemærker, at dette er den første EU-konkurrencesamarbejdsaftale, der giver de nationale kompetente myndigheder mulighed for at samarbejde direkte med en konkurrencemyndighed i et ikke-EU-land; opfordrer til en hurtig ratificering af aftalen for at styrke den grænseoverskridende håndhævelse og koordinering i konkurrencesager, samtidig med at fortroligheden sikres ved hjælp af passende undtagelser;  </w:t>
      </w:r>
    </w:p>
    <w:p w14:paraId="52F95FAD" w14:textId="77777777" w:rsidR="00C16740" w:rsidRPr="007D1F16" w:rsidRDefault="00C16740" w:rsidP="00C16740">
      <w:pPr>
        <w:pStyle w:val="NormalHanging12a"/>
        <w:rPr>
          <w:szCs w:val="24"/>
        </w:rPr>
      </w:pPr>
      <w:r w:rsidRPr="007D1F16">
        <w:t>39.</w:t>
      </w:r>
      <w:r w:rsidRPr="007D1F16">
        <w:tab/>
        <w:t>glæder sig over bestræbelserne, som EU og Det Forenede Kongerige står i spidsen for, på at opfordre til internationalt samarbejde om håndtering af de udfordringer og risici, der er forbundet med kunstig intelligens (AI), med henblik på at fremme en global AI-forvaltning baseret på demokratiske værdier, fælles standarder og solide beskyttelsesforanstaltninger; bemærker, at EU i 2024 vedtog en omfattende risikobaseret lovramme i form af forordningen om kunstig intelligens (AI-forordningen)</w:t>
      </w:r>
      <w:r w:rsidRPr="007D1F16">
        <w:rPr>
          <w:szCs w:val="24"/>
          <w:vertAlign w:val="superscript"/>
        </w:rPr>
        <w:footnoteReference w:id="29"/>
      </w:r>
      <w:r w:rsidRPr="007D1F16">
        <w:t xml:space="preserve">, hvorimod Det Forenede Kongerige indtil videre har anlagt en mere lempelig lovgivningsmæssig tilgang uden at indføre en horisontal lov om kunstig intelligens; opfordrer til en større grad af konvergens mellem EU's og Det Forenede Kongeriges regulering af kunstig intelligens for at give en dynamisk sektor mulighed for at vokse sig større inden for sikre rammer; beklager i den sammenhæng, at Det Forenede Kongerige ikke underskrev erklæringen om inklusiv og bæredygtig kunstig </w:t>
      </w:r>
      <w:r w:rsidRPr="007D1F16">
        <w:lastRenderedPageBreak/>
        <w:t>intelligens for mennesker og for planeten på det internationale AI-indsatstopmøde i Paris den 11. februar 2025; understreger betydningen af et struktureret samarbejde mellem EU og Det Forenede Kongerige om AI-forvaltning i betragtning af den fælles forpligtelse til at fremme sikre, gennemsigtige og ansvarlige AI-systemer og for at undgå lovgivningsmæssig fragmentering, deltage i fastsættelsen af standarder og undersøge ordninger for gensidig anerkendelse af overensstemmelsesvurdering; beklager, at der ikke er et særligt tilsagn om samarbejde om AI i den fælles forståelse om en ny dagsorden for forbindelserne mellem EU og Det Forenede Kongerige til trods for den strategiske betydning af at fremme tværnational tilpasning med hensyn til pålidelig AI-udvikling, og minder om, at artikel 39 i AI-forordningen giver mulighed for anerkendelse af overensstemmelsesvurderingsorganer, der er etableret i tredjelande, på særlige betingelser og med forbehold af en aftale mellem EU og det pågældende ikke-EU-land; fremhæver risikoen for øgede reguleringsmæssige forskelle, især mellem EU's bindende AI-forordning og Det Forenede Kongeriges sektorstyrede tilgang, på trods af konvergerende prioriteter vedrørende risikobaseret klassificering, ophavsretsbeskyttelse og systemiske risici; noterer sig aftalememorandummet mellem Det Forenede Kongerige og USA om AI, som kan føre til divergerende minimumsstandarder mellem EU og Det Forenede Kongerige, og opfordrer Kommissionen til at foretage en vurdering af virkningerne af denne aftale og rapportere tilbage til Parlamentet; insisterer på, at det er nødvendigt at tilvejebringe en fælles forståelse af fordelene og udfordringerne ved AI; opfordrer til øget teknisk dialog mellem reguleringsmyndigheder for at understøtte reguleringsmæssig interoperabilitet og reducere kompleksiteten med hensyn til overholdelse for virksomheder; anerkender de aktuelle drøftelser i Det Forenede Kongerige om ændringer af ophavsretslovgivningen; udtrykker bekymring for, at sådanne planer kan påvirke europæiske kunstnere og skabere negativt, navnlig hvad angår forslaget om at indføre en fravalgsordning;</w:t>
      </w:r>
    </w:p>
    <w:p w14:paraId="7FE97925" w14:textId="5D260D41" w:rsidR="00307982" w:rsidRPr="007D1F16" w:rsidRDefault="00C16740" w:rsidP="002E44BC">
      <w:pPr>
        <w:pStyle w:val="NormalHanging12a"/>
        <w:rPr>
          <w:szCs w:val="24"/>
        </w:rPr>
      </w:pPr>
      <w:r w:rsidRPr="007D1F16">
        <w:t>40.</w:t>
      </w:r>
      <w:r w:rsidRPr="007D1F16">
        <w:tab/>
        <w:t xml:space="preserve">bemærker, at artikel 103-107 og artikel 109 i AI-forordningen ændrer den eksisterende EU-produktlovgivning, der finder anvendelse </w:t>
      </w:r>
      <w:r w:rsidR="00307982">
        <w:t xml:space="preserve">på og </w:t>
      </w:r>
      <w:r w:rsidRPr="007D1F16">
        <w:t xml:space="preserve">i </w:t>
      </w:r>
      <w:r w:rsidR="00307982" w:rsidRPr="00307982">
        <w:rPr>
          <w:szCs w:val="24"/>
        </w:rPr>
        <w:t>Det Forenede Kongerige for så vidt angår</w:t>
      </w:r>
      <w:r w:rsidR="00307982">
        <w:rPr>
          <w:szCs w:val="24"/>
        </w:rPr>
        <w:t xml:space="preserve"> </w:t>
      </w:r>
      <w:r w:rsidRPr="007D1F16">
        <w:t xml:space="preserve">Nordirland i henhold til Windsorrammens bilag 2; noterer sig </w:t>
      </w:r>
      <w:r w:rsidR="002E44BC" w:rsidRPr="00307982">
        <w:rPr>
          <w:szCs w:val="24"/>
        </w:rPr>
        <w:t>Rådets afgørelse af 14. april 2025 om fastlæggelse af Unionens holdning i Det Blandede Udvalg EU-</w:t>
      </w:r>
      <w:r w:rsidR="000B3719">
        <w:rPr>
          <w:szCs w:val="24"/>
        </w:rPr>
        <w:t>Det Forenede Kongerige</w:t>
      </w:r>
      <w:r w:rsidR="002E44BC" w:rsidRPr="00307982">
        <w:rPr>
          <w:szCs w:val="24"/>
        </w:rPr>
        <w:t xml:space="preserve"> for så vidt angår tilføjelsen af </w:t>
      </w:r>
      <w:r w:rsidRPr="007D1F16">
        <w:t xml:space="preserve">AI-forordningen i Windsorrammens bilag 2; anerkender, at større reguleringsmæssig tilpasning på områder som produktsikkerhed og markedsovervågning kan bidrage til at understøtte juridisk klarhed og markedskontinuitet; </w:t>
      </w:r>
      <w:bookmarkStart w:id="18" w:name="_Hlk210302061"/>
      <w:r w:rsidRPr="007D1F16">
        <w:t>tilskynder til fortsat dialog mellem EU og Det Forenede Kongerige inden for rammerne af Det Blandede Udvalg med henblik på at finde frem til gensidigt acceptable tilgange, der opretholder høje standarder for forbrugerbeskyttelse og reguleringsmæssig kohærens</w:t>
      </w:r>
      <w:bookmarkEnd w:id="18"/>
      <w:r w:rsidRPr="007D1F16">
        <w:t xml:space="preserve">; </w:t>
      </w:r>
    </w:p>
    <w:p w14:paraId="5E8F3414" w14:textId="77777777" w:rsidR="00C16740" w:rsidRPr="007D1F16" w:rsidRDefault="00C16740" w:rsidP="00C16740">
      <w:pPr>
        <w:pStyle w:val="NormalHanging12a"/>
        <w:rPr>
          <w:szCs w:val="24"/>
        </w:rPr>
      </w:pPr>
      <w:r w:rsidRPr="007D1F16">
        <w:t>41.</w:t>
      </w:r>
      <w:r w:rsidRPr="007D1F16">
        <w:tab/>
        <w:t>minder om, at handels- og samarbejdsaftalen anerkender betydningen af høje standarder for databeskyttelse og privatlivets fred, samtidig med at hver part kan opretholde sin egen reguleringsmæssige autonomi; mener, at der er risici forbundet med potentielle reguleringsmæssige forskelle mellem EU og Det Forenede Kongerige; bemærker, at Det Forenede Kongeriges databeskyttelsesordning stadig er stort set på linje med EU's generelle forordning om databeskyttelse</w:t>
      </w:r>
      <w:r w:rsidRPr="007D1F16">
        <w:rPr>
          <w:rStyle w:val="FootnoteReference"/>
          <w:szCs w:val="24"/>
        </w:rPr>
        <w:footnoteReference w:id="30"/>
      </w:r>
      <w:r w:rsidRPr="007D1F16">
        <w:t xml:space="preserve"> (GDPR), hvilket gør det muligt at videreføre </w:t>
      </w:r>
      <w:r w:rsidRPr="007D1F16">
        <w:lastRenderedPageBreak/>
        <w:t xml:space="preserve">EU's afgørelse om tilstrækkeligheden af beskyttelsesniveauet, der letter gnidningsløse datastrømme, hvilket er afgørende for tjenesteydelser på tværs af grænserne; noterer sig den igangværende reform af Det Forenede Kongeriges databeskyttelsesramme gennem "Data (Use and Access) Bill" (loven om data (anvendelse og adgang)), som indfører en række væsentlige ændringer af Det Forenede Kongeriges eksisterende GDPR-bestemmelser; gentager, at det er vigtigt at opretholde høje databeskyttelsesstandarder ved overførsel og behandling af personoplysninger mellem de to parter, herunder for enkeltpersoner, hvis personoplysninger behandles i Det Forenede Kongerige, navnlig når oplysningerne stammer fra EU, og opfordrer til regelmæssig informationsudveksling mellem EU og Det Forenede Kongerige; bifalder det styrkede reguleringsmæssige samarbejde på det digitale område såsom den administrative ordning af 30. april 2024 mellem Kommissionens Generaldirektorat for Kommunikationsnet, Indhold og Teknologi og Det Forenede Kongeriges styrelse for kommunikation (Ofcom), hvorved man prioriterer informationsudveksling vedrørende tilsynet med risikovurdering af og afhjælpende foranstaltninger truffet af udbydere af større onlineplatforme; opfordrer til en styrket dialog i Handelsspecialudvalget vedrørende Tjenesteydelser, Investeringer og Digital Handel under handels- og samarbejdsaftalen for at sikre stabile betingelser for dataoverførsler og retssikkerhed for operatørerne; </w:t>
      </w:r>
    </w:p>
    <w:p w14:paraId="36CDC8DF" w14:textId="77777777" w:rsidR="00C16740" w:rsidRPr="007D1F16" w:rsidRDefault="00C16740" w:rsidP="00C16740">
      <w:pPr>
        <w:pStyle w:val="NormalHanging12a"/>
        <w:rPr>
          <w:szCs w:val="24"/>
        </w:rPr>
      </w:pPr>
      <w:r w:rsidRPr="007D1F16">
        <w:t>42.</w:t>
      </w:r>
      <w:r w:rsidRPr="007D1F16">
        <w:tab/>
        <w:t>minder om, at en fortsat uhindret datastrøm mellem EU og Det Forenede Kongerige vil afhænge af Kommissionens afgørelser om tilstrækkeligheden af databeskyttelsesniveauet; bemærker, at Kommissionen efter sin vurdering af Det Forenede Kongeriges Data (Use and Access) Act konkluderede, at Det Forenede Kongeriges retlige ramme fortsat giver databeskyttelsesgarantier, der i det væsentlige svarer til dem, der er fastsat af EU; glæder sig over, at Kommissionen har foreslået at forlænge den nuværende afgørelse om tilstrækkeligheden af beskyttelsesniveauet med seks år; mener, at denne forlængelse bør give reguleringsmæssig sikkerhed og forhindre unødvendige overholdelsesomkostninger, sikre stabiliteten af grænseoverskridende datastrømme og digital handel og sikre, at EU-borgernes grundlæggende rettigheder fortsat respekteres i henhold til handels- og samarbejdsaftalen; understreger, at en eventuel permanent ordning stadig skal være betinget af Det Forenede Kongeriges fortsatte tilpasning til EU's databeskyttelsesstandarder under Det Forenede Kongeriges nye retlige ramme og dets opretholdelse af et højt beskyttelsesniveau for personoplysninger som krævet i henhold til EU-retten; opfordrer Det Forenede Kongeriges regering til at sikre, at enhver lovgivningsmæssig udvikling i Det Forenede Kongerige, såsom Data (Use and Access) Act 2025 ikke fører til lavere databeskyttelsesstandarder end i EU;</w:t>
      </w:r>
    </w:p>
    <w:p w14:paraId="0F9FD22E" w14:textId="77777777" w:rsidR="00C16740" w:rsidRPr="007D1F16" w:rsidRDefault="00C16740" w:rsidP="00C16740">
      <w:pPr>
        <w:pStyle w:val="NormalHanging12a"/>
        <w:rPr>
          <w:szCs w:val="24"/>
        </w:rPr>
      </w:pPr>
      <w:r w:rsidRPr="007D1F16">
        <w:t>43.</w:t>
      </w:r>
      <w:r w:rsidRPr="007D1F16">
        <w:tab/>
        <w:t xml:space="preserve">noterer sig Det Europæiske Databeskyttelsesråds udtalelse 06/2025, som støtter en teknisk og tidsbegrænset forlængelse af afgørelserne om tilstrækkeligheden af Det Forenede Kongeriges beskyttelsesniveau indtil den 27. december 2025 udelukkende for at give Kommissionen tid til at vurdere konsekvenserne af reformen, når den er vedtaget; minder om, at Kommissionen er forpligtet til at overvåge al relevant udvikling i Det Forenede Kongerige i denne periode og sikre, at enhver fremtidig afgørelse om tilstrækkeligheden af beskyttelsesniveauet er baseret på en omfattende og ajourført evaluering af Det Forenede Kongeriges databeskyttelsesramme; </w:t>
      </w:r>
    </w:p>
    <w:p w14:paraId="014EE6E9" w14:textId="77777777" w:rsidR="00C16740" w:rsidRPr="007D1F16" w:rsidRDefault="00C16740" w:rsidP="00C16740">
      <w:pPr>
        <w:pStyle w:val="NormalHanging12a"/>
        <w:rPr>
          <w:szCs w:val="24"/>
        </w:rPr>
      </w:pPr>
      <w:r w:rsidRPr="007D1F16">
        <w:t>44.</w:t>
      </w:r>
      <w:r w:rsidRPr="007D1F16">
        <w:tab/>
        <w:t xml:space="preserve">fremhæver vigtigheden af at opretholde en lignende tilgang til markedsreformer i den digitale sektor; anmoder Det Forenede Kongerige om at undgå politikker, som fraviger </w:t>
      </w:r>
      <w:r w:rsidRPr="007D1F16">
        <w:lastRenderedPageBreak/>
        <w:t>grundprincipperne i EU's forordning om digitale markeder</w:t>
      </w:r>
      <w:r w:rsidRPr="007D1F16">
        <w:rPr>
          <w:rStyle w:val="FootnoteReference"/>
          <w:szCs w:val="24"/>
        </w:rPr>
        <w:footnoteReference w:id="31"/>
      </w:r>
      <w:r w:rsidRPr="007D1F16">
        <w:t xml:space="preserve"> og EU's forordning om digitale tjenester</w:t>
      </w:r>
      <w:r w:rsidRPr="007D1F16">
        <w:rPr>
          <w:szCs w:val="24"/>
          <w:vertAlign w:val="superscript"/>
        </w:rPr>
        <w:footnoteReference w:id="32"/>
      </w:r>
      <w:r w:rsidRPr="007D1F16">
        <w:t xml:space="preserve">; </w:t>
      </w:r>
    </w:p>
    <w:p w14:paraId="4AFD34F6" w14:textId="77777777" w:rsidR="00C16740" w:rsidRPr="007D1F16" w:rsidRDefault="00C16740" w:rsidP="00C16740">
      <w:pPr>
        <w:pStyle w:val="NormalHanging12a"/>
        <w:rPr>
          <w:szCs w:val="24"/>
        </w:rPr>
      </w:pPr>
      <w:r w:rsidRPr="007D1F16">
        <w:t>45.</w:t>
      </w:r>
      <w:r w:rsidRPr="007D1F16">
        <w:tab/>
        <w:t xml:space="preserve">minder om, at digital konnektivitet er en fælles interesse for EU og Det Forenede Kongerige; anbefaler, at de to parter fastlægger en ramme for koordinering af informationsudveksling med henblik på at overvåge trusler mod kritisk konnektivitetsinfrastruktur, herunder undersøiske kabler samt satellitter; </w:t>
      </w:r>
    </w:p>
    <w:p w14:paraId="6EE5A3AC" w14:textId="77777777" w:rsidR="00C16740" w:rsidRPr="007D1F16" w:rsidRDefault="00C16740" w:rsidP="00C16740">
      <w:pPr>
        <w:pStyle w:val="NormalHanging12a"/>
        <w:rPr>
          <w:szCs w:val="24"/>
        </w:rPr>
      </w:pPr>
      <w:r w:rsidRPr="007D1F16">
        <w:t>46.</w:t>
      </w:r>
      <w:r w:rsidRPr="007D1F16">
        <w:tab/>
        <w:t xml:space="preserve">gentager, at EU og Det Forenede Kongerige er nødt til at fastholde deres tilsagn, som er fastsat i handels- og samarbejdsaftalen, om at samarbejde om at fremme gennemsigtige og rimelige takster for internationale roamingtjenester for at sænke omkostningerne for forbrugere i EU og Det Forenede Kongerige; </w:t>
      </w:r>
    </w:p>
    <w:p w14:paraId="7AC4EEC6" w14:textId="77777777" w:rsidR="00C16740" w:rsidRPr="007D1F16" w:rsidRDefault="00C16740" w:rsidP="00C16740">
      <w:pPr>
        <w:pStyle w:val="NormalHanging12a"/>
        <w:rPr>
          <w:szCs w:val="24"/>
        </w:rPr>
      </w:pPr>
      <w:r w:rsidRPr="007D1F16">
        <w:t>47.</w:t>
      </w:r>
      <w:r w:rsidRPr="007D1F16">
        <w:tab/>
        <w:t xml:space="preserve">minder om, at handels- og samarbejdsaftalen kræver, at det økonomiske partnerskab mellem de to parter understøttes af lige vilkår for åben og fair konkurrence, og at handel og investeringer finder sted på en måde, der befordrer bæredygtig udvikling, herunder økonomisk og social udvikling og miljøbeskyttelse; minder om, at beskyttelsen af arbejdstagernes rettigheder er afgørende i denne forbindelse som fastsat i blandt andet handels- og samarbejdsaftalens artikel 355, 386, 387, 399 og 524; bemærker, at begge parter i henhold til artikel 355 forpligter sig til at opretholde og forbedre deres respektive standarder på de områder, der er omfattet af afsnit XI; minder om, at beskyttelsen af arbejdstagernes rettigheder er afgørende i denne forbindelse som fastsat i blandt andet handels- og samarbejdsaftalens artikel 355, 386, 387, 399 og 524; bemærker, at begge parter i henhold til artikel 355 forpligter sig til at opretholde og forbedre deres respektive standarder på de områder, der er omfattet af afsnit XI; </w:t>
      </w:r>
    </w:p>
    <w:p w14:paraId="70091458" w14:textId="77777777" w:rsidR="00C16740" w:rsidRPr="007D1F16" w:rsidRDefault="00C16740" w:rsidP="00C16740">
      <w:pPr>
        <w:pStyle w:val="NormalHanging12a"/>
        <w:rPr>
          <w:szCs w:val="24"/>
        </w:rPr>
      </w:pPr>
      <w:r w:rsidRPr="007D1F16">
        <w:t>48.</w:t>
      </w:r>
      <w:r w:rsidRPr="007D1F16">
        <w:tab/>
        <w:t xml:space="preserve">glæder sig over forslagene i den britiske regerings "Employment Rights Bill 2024-2025" (lovforslag om beskæftigelsesrettigheder 2024-2025) om at udvide retten til kollektive overenskomstforhandlinger, sikre garanterede arbejdstimer for arbejdstagere og ophæve "Strikes (Minimum Service Levels) Act 2023" (loven om strejker (minimumsserviceniveauer) fra 2023); glæder sig i den forbindelse over "Good Jobs Bill" (lovforslaget om arbejdstagerrettigheder), som blev forelagt af den decentrale nordirske regering i Belfast, og som fuldt ud overholder EU's standarder; </w:t>
      </w:r>
    </w:p>
    <w:p w14:paraId="275E5BE5" w14:textId="77777777" w:rsidR="00C16740" w:rsidRPr="007D1F16" w:rsidRDefault="00C16740" w:rsidP="00C16740">
      <w:pPr>
        <w:pStyle w:val="NormalHanging12a"/>
        <w:rPr>
          <w:szCs w:val="24"/>
        </w:rPr>
      </w:pPr>
      <w:r w:rsidRPr="007D1F16">
        <w:t xml:space="preserve">49. </w:t>
      </w:r>
      <w:r w:rsidRPr="007D1F16">
        <w:tab/>
        <w:t xml:space="preserve">bemærker med hensyn til Det Forenede Kongeriges "Retained EU Law (Revocation and Reform) Act 2023" (lov om bibeholdt EU-ret (tilbagekaldelse og reform) fra 2023), at de britiske myndigheder i deres officielle svar til Kommissionen og på en række tekniske møder har meddelt Kommissionen, at formålet med loven ikke er at sænke beskyttelsesniveauet på blandt andet arbejdsmarkedsområdet i henhold til handels- og samarbejdsaftalen; opfordrer dog Kommissionen til nøje at overvåge loven for at sikre overholdelse i betragtning af den vidtrækkende beføjelse, som de britiske myndigheder har til at ændre den bibeholdte EU-ret, og af de britiske domstoles rolle i fortolkningen </w:t>
      </w:r>
      <w:r w:rsidRPr="007D1F16">
        <w:lastRenderedPageBreak/>
        <w:t xml:space="preserve">af bibeholdt EU-ret; </w:t>
      </w:r>
    </w:p>
    <w:p w14:paraId="69F837A1" w14:textId="77777777" w:rsidR="00C16740" w:rsidRPr="007D1F16" w:rsidRDefault="00C16740" w:rsidP="00C16740">
      <w:pPr>
        <w:pStyle w:val="NormalHanging12a"/>
        <w:rPr>
          <w:szCs w:val="24"/>
        </w:rPr>
      </w:pPr>
      <w:r w:rsidRPr="007D1F16">
        <w:t>50.</w:t>
      </w:r>
      <w:r w:rsidRPr="007D1F16">
        <w:tab/>
        <w:t>bemærker, at den britiske regering i oktober 2024 meddelte, at den havde til hensigt at oprette et nyt organ for retfærdigt arbejde under erhvervs- og handelsministeriet, som skulle erstatte de eksisterende statslige håndhævelsesorganer for arbejdstagerbeskyttelse;</w:t>
      </w:r>
    </w:p>
    <w:p w14:paraId="727B1AB7" w14:textId="17D75B05" w:rsidR="00C16740" w:rsidRPr="007D1F16" w:rsidRDefault="00C16740" w:rsidP="00C16740">
      <w:pPr>
        <w:pStyle w:val="NormalHanging12a"/>
        <w:rPr>
          <w:szCs w:val="24"/>
        </w:rPr>
      </w:pPr>
      <w:r w:rsidRPr="007D1F16">
        <w:t>51.</w:t>
      </w:r>
      <w:r w:rsidRPr="007D1F16">
        <w:tab/>
        <w:t xml:space="preserve">opfordrer Kommissionen og Den Parlamentariske Partnerskabsforsamling til at holde nøje øje med forringelser af arbejdsstandarderne og anden udvikling inden for arbejdstagerrettighederne i Det Forenede Kongerige, og til at fortsætte sine bestræbelser sammen med Det Forenede Kongeriges regering på at sikre fuld overholdelse af handels- og samarbejdsaftalen; opfordrer Kommissionen til at anvende alle tilgængelige midler til at imødegå ethvert problem, der kan nødvendiggøre anvendelsen af kapitel 6 i afsnit XI i handels- og samarbejdsaftalen, herunder gennem dialog i Den Parlamentariske Partnerskabsforsamling og specialudvalgene, høring af EU's interne rådgivende gruppe og om nødvendigt de tvistbilæggelsesmekanismer, der er fastsat i artikel 389; </w:t>
      </w:r>
    </w:p>
    <w:p w14:paraId="77BCC8A7" w14:textId="77777777" w:rsidR="00C16740" w:rsidRPr="007D1F16" w:rsidRDefault="00C16740" w:rsidP="00C16740">
      <w:pPr>
        <w:pStyle w:val="NormalHanging12a"/>
        <w:rPr>
          <w:szCs w:val="24"/>
        </w:rPr>
      </w:pPr>
      <w:r w:rsidRPr="007D1F16">
        <w:t>52.</w:t>
      </w:r>
      <w:r w:rsidRPr="007D1F16">
        <w:tab/>
        <w:t xml:space="preserve">opfordrer EU og Det Forenede Kongerige til at undersøge mulighederne for yderligere samarbejde og udveksling af bedste praksis inden for beskæftigelse og social beskyttelse; anerkender potentialet til gensidigt samarbejde for at forbedre gennemførelsen og håndhævelsen af beskæftigelsespolitikker, sikre fair konkurrence, bæredygtig vækst for virksomheder og rimelige arbejdsvilkår for arbejdstagerne i både EU og Det Forenede Kongerige; minder om, at arbejdsmarkedets parter spiller en reel rolle i både overvågningen og håndhævelsen af handels- og samarbejdsaftalen, herunder beføjelsen til at indgive officielle klager; </w:t>
      </w:r>
    </w:p>
    <w:p w14:paraId="206A9758" w14:textId="77777777" w:rsidR="00C16740" w:rsidRPr="007D1F16" w:rsidRDefault="00C16740" w:rsidP="00C16740">
      <w:pPr>
        <w:pStyle w:val="NormalHanging12a"/>
        <w:rPr>
          <w:szCs w:val="24"/>
        </w:rPr>
      </w:pPr>
      <w:r w:rsidRPr="007D1F16">
        <w:t>53.</w:t>
      </w:r>
      <w:r w:rsidRPr="007D1F16">
        <w:tab/>
        <w:t xml:space="preserve">glæder sig over EU's og Det Forenede Kongeriges fortsatte samarbejde inden for ILO, navnlig om udviklingen af et nyt instrument til regulering af platformsarbejde; </w:t>
      </w:r>
    </w:p>
    <w:p w14:paraId="343CDB5E" w14:textId="77777777" w:rsidR="00C16740" w:rsidRPr="007D1F16" w:rsidRDefault="00C16740" w:rsidP="00C16740">
      <w:pPr>
        <w:pStyle w:val="NormalHanging12a"/>
        <w:rPr>
          <w:bCs/>
          <w:iCs/>
        </w:rPr>
      </w:pPr>
      <w:r w:rsidRPr="007D1F16">
        <w:t>54.</w:t>
      </w:r>
      <w:r w:rsidRPr="007D1F16">
        <w:tab/>
        <w:t>glæder sig over den parallelle gennemførelse af EU's forordning om digitale markeder og Den Forenede Kongeriges "Digital Markets, Competition and Consumers Act" (lov om digitale markeder, konkurrence og forbrugere) som et skridt i retning af at fremme retfærdige og åbne digitale markeder; noterer sig de fælles reguleringsmål og understreger nødvendigheden af at undgå fragmentering gennem styrket samarbejde i henhold til samarbejdsaftalen på konkurrenceområdet; bakker op om udarbejdelsen af et aftalememorandum for at fremme reguleringsmæssig dialog, informationsudveksling og koordinering af håndhævelsespraksis, navnlig i forbindelse med gatekeeperplatforme; fremhæver værdien af at bringe tilgangene til konkurrence på digitale markeder på linje med hinanden for at understøtte forretningssikkerhed og forbrugerbeskyttelse på tværs af grænserne;</w:t>
      </w:r>
    </w:p>
    <w:p w14:paraId="1DB87B2B" w14:textId="77777777" w:rsidR="00C16740" w:rsidRPr="007D1F16" w:rsidRDefault="00C16740" w:rsidP="00C16740">
      <w:pPr>
        <w:pStyle w:val="NormalHanging12a"/>
        <w:rPr>
          <w:szCs w:val="24"/>
        </w:rPr>
      </w:pPr>
      <w:r w:rsidRPr="007D1F16">
        <w:t>55.</w:t>
      </w:r>
      <w:r w:rsidRPr="007D1F16">
        <w:tab/>
        <w:t xml:space="preserve">opfordrer Kommissionen til at fortsætte sin tætte overvågning af reguleringsmæssige forskelle i Det Forenede Kongerige, som kan udgøre en risiko for manglende overholdelse af handels- og samarbejdsaftalen, navnlig på områder, der er relevante for de lige konkurrencevilkår såsom reglerne vedrørende kontrol med subsidier, AI, beskatning, arbejdsstandarder og sociale standarder, miljø og klimaforandringer, samt til at skride ind over for konstaterede tilfælde af divergens, som kan føre til lavere sociale standarder eller standarder for beskyttelse af arbejdstagerne og miljøet for både EU's og Det Forenede Kongeriges borgere og forbrugere; anbefaler, at der oprettes et observatorium for reguleringsmæssige forskelle mellem EU og Det Forenede </w:t>
      </w:r>
      <w:r w:rsidRPr="007D1F16">
        <w:lastRenderedPageBreak/>
        <w:t>Kongerige, som skal holde øje med og indberette fremtidige lovændringer inden for områderne transportsikkerhed, miljøstandarder og passagerrettigheder; fremhæver betydningen af en proaktiv dialog om regulering for at undgå unødvendige forskelle og markedsfragmentering; opfordrer Kommissionen til at give Parlamentet adgang til de data, der indhentes, gennem offentliggørelse af årsrapporter; fremhæver den særlige udfordring, som reguleringsmæssige forskelle udgør for Nordirland i betragtning af landets enestående dobbelte adgang til både EU's og Det Forenede Kongeriges markeder i henhold til Windsorrammen; understreger, at der er behov for skræddersyede mekanismer for tidlig varsling og konsekvensanalyser af ny lovgivning med fokus på Nordirland for at sikre, at forskelle ikke underminerer retssikkerheden, forretningskontinuiteten eller fredsprocessen, og for at minimere konsekvenserne heraf og undgå, at manglende overensstemmelse bliver til en handelshindring; opfordrer til øget dialog med lokale interessenter og de nord/syd-organer der er oprettet i henhold til langfredagsaftalen;</w:t>
      </w:r>
    </w:p>
    <w:p w14:paraId="4959E82D" w14:textId="77777777" w:rsidR="00C16740" w:rsidRPr="007D1F16" w:rsidRDefault="00C16740" w:rsidP="00C16740">
      <w:pPr>
        <w:pStyle w:val="NormalHanging12a"/>
        <w:rPr>
          <w:b/>
          <w:i/>
        </w:rPr>
      </w:pPr>
      <w:bookmarkStart w:id="19" w:name="_Hlk194523670"/>
      <w:r w:rsidRPr="007D1F16">
        <w:rPr>
          <w:b/>
          <w:i/>
        </w:rPr>
        <w:t>Finansielle tjenester</w:t>
      </w:r>
    </w:p>
    <w:p w14:paraId="192CF219" w14:textId="77777777" w:rsidR="00C16740" w:rsidRPr="007D1F16" w:rsidRDefault="00C16740" w:rsidP="00C16740">
      <w:pPr>
        <w:pStyle w:val="NormalHanging12a"/>
        <w:rPr>
          <w:szCs w:val="24"/>
        </w:rPr>
      </w:pPr>
      <w:r w:rsidRPr="007D1F16">
        <w:t>56.</w:t>
      </w:r>
      <w:r w:rsidRPr="007D1F16">
        <w:tab/>
        <w:t xml:space="preserve">anerkender, at det er nødvendigt at have en høj grad af samarbejde og fremtidsorienteret dialog mellem EU og Det Forenede Kongerige om anliggender, der vedrører finansielle tjenesteydelser; bemærker, at det fælles forum for finansiel regulering mellem EU og Det Forenede Kongerige kun har afholdt tre møder siden dets oprettelse; </w:t>
      </w:r>
    </w:p>
    <w:p w14:paraId="6C506433" w14:textId="77777777" w:rsidR="00C16740" w:rsidRPr="007D1F16" w:rsidRDefault="00C16740" w:rsidP="00C16740">
      <w:pPr>
        <w:pStyle w:val="NormalHanging12a"/>
        <w:rPr>
          <w:szCs w:val="24"/>
        </w:rPr>
      </w:pPr>
      <w:r w:rsidRPr="007D1F16">
        <w:t>57.</w:t>
      </w:r>
      <w:r w:rsidRPr="007D1F16">
        <w:tab/>
        <w:t xml:space="preserve">tilskynder til en fremtidsorienteret dialog i det fælles forum for finansiel regulering mellem EU og Det Forenede Kongerige, som fremmer en høj grad af overensstemmelse mellem de respektive reguleringsordninger og bidrager til at udpege og behandle fælles anliggender vedrørende finansiel stabilitet, investorbeskyttelse, bekæmpelse af hvidvask af penge og forebyggelse af finansiering af terrorisme med henblik på at lette investeringer på tværs af grænserne og fremme innovation på de finansielle markeder og samarbejde i internationale fora og i forbindelse med gennemførelsen af internationale standarder; bemærker, at dette kan omfatte udveksling af oplysninger om reguleringsmæssig udvikling, drøftelser af de respektive politikker, regler og processer med hensyn til beskyttelsesordninger såsom ækvivalens og også kan omfatte risikoanalyser og de potentielle økonomiske virkninger af foreslåede foranstaltninger samt emner vedrørende frivillig teknisk konvergens, som gør handelsstrømmene mere stabile og effektive; bemærker forummets potentiale til at fremme en ensartet tilgang, hvor det er muligt, og skabe en ramme for tvistbilæggelse, og opfordrer Kommissionen til at styrke det og bygge videre på dette samarbejde; opfordrer Kommissionen til at underrette Parlamentet fuldt ud og rettidigt om forberedelserne til og resultatet af de halvårlige møder; </w:t>
      </w:r>
    </w:p>
    <w:p w14:paraId="6320DE6E" w14:textId="77777777" w:rsidR="00C16740" w:rsidRPr="007D1F16" w:rsidRDefault="00C16740" w:rsidP="00C16740">
      <w:pPr>
        <w:pStyle w:val="NormalHanging12a"/>
        <w:rPr>
          <w:szCs w:val="24"/>
        </w:rPr>
      </w:pPr>
      <w:r w:rsidRPr="007D1F16">
        <w:t>58.</w:t>
      </w:r>
      <w:r w:rsidRPr="007D1F16">
        <w:tab/>
        <w:t xml:space="preserve">mener, at effektiviteten af og konkurrenceevnen for efterhandelstjenesteydelser på det finansielle marked er afgørende for at sikre en velfungerende opsparings- og investeringsunion, og glæder sig over den voksende konsensus mellem Det Forenede Kongerige og EU om dette spørgsmål; glæder sig over den foreløbige politiske aftale om at afkorte afviklingsperioden for transaktioner i værdipapirer til én dag efter handelen; </w:t>
      </w:r>
    </w:p>
    <w:p w14:paraId="7F01FCFF" w14:textId="77777777" w:rsidR="00C16740" w:rsidRPr="007D1F16" w:rsidRDefault="00C16740" w:rsidP="00C16740">
      <w:pPr>
        <w:pStyle w:val="NormalHanging12a"/>
        <w:rPr>
          <w:szCs w:val="24"/>
        </w:rPr>
      </w:pPr>
      <w:r w:rsidRPr="007D1F16">
        <w:t>59.</w:t>
      </w:r>
      <w:r w:rsidRPr="007D1F16">
        <w:tab/>
        <w:t xml:space="preserve">påpeger, at britiske markedsdeltagere efter Det Forenede Kongeriges udtræden af EU ikke længere har automatisk adgang til det indre marked for finansielle tjenesteydelser; fremhæver, at EU kun har truffet en tidsbegrænset afgørelse om ækvivalens for én specifik delsektor inden for finansielle tjenesteydelser – centrale modparter – mens EU's </w:t>
      </w:r>
      <w:r w:rsidRPr="007D1F16">
        <w:lastRenderedPageBreak/>
        <w:t xml:space="preserve">ækvivalensramme for finansielle tjenesteydelser giver ikke-EU-virksomheder adgang til EU-markedet, forudsat at deres regulerings- og tilsynsmæssige rammer anses for at være ækvivalente med EU's standarder; minder om, at EU til enhver tid ensidigt kan trække enhver afgørelse om ækvivalens tilbage, hvis betingelserne for at tilstå ækvivalensanerkendelse ikke længere er opfyldt; anerkender behovet for at sikre, at SMV'er på begge sider kan drage fordel af et tættere finansielt samarbejde mellem EU og Det Forenede Kongerige; understreger, at det er vigtigt at lette grænseoverskridende adgang til finansiering; tilskynder Kommissionen til at drøfte yderligere ækvivalensafgørelser med henblik på at give virksomheder fra både Det Forenede Kongerige og EU fordelene ved øget markedsadgang; </w:t>
      </w:r>
    </w:p>
    <w:p w14:paraId="0A53B714" w14:textId="77777777" w:rsidR="00C16740" w:rsidRPr="007D1F16" w:rsidRDefault="00C16740" w:rsidP="00C16740">
      <w:pPr>
        <w:pStyle w:val="NormalHanging12a"/>
        <w:rPr>
          <w:szCs w:val="24"/>
        </w:rPr>
      </w:pPr>
      <w:r w:rsidRPr="007D1F16">
        <w:t>60.</w:t>
      </w:r>
      <w:r w:rsidRPr="007D1F16">
        <w:tab/>
        <w:t>glæder sig over, at drøftelser af afgørelser om ækvivalens er medtaget i ansvarsområdet for forummet for reguleringsmæssigt samarbejde under handels</w:t>
      </w:r>
      <w:r w:rsidRPr="007D1F16">
        <w:noBreakHyphen/>
        <w:t xml:space="preserve"> og samarbejdsaftalen; opfordrer til regelmæssige drøftelser og undersøgelser af sådanne spørgsmål, navnlig for så vidt angår finansielle tjenesteydelser og investeringsservice, med henblik på øget handel og samarbejde; opfordrer Kommissionen til at vurdere og træffe afgørelser om ækvivalens på en strategisk og betinget måde, der sikrer, at enhver markedsadgang, som gives til britiske virksomheder, der leverer finansielle tjenesteydelser, er i fuld overensstemmelse med EU's standarder; mener, at ækvivalensvurderingen bør gå ud over en strengt sektorspecifik tilgang og i stedet bør anlægge et bredere fremadrettet perspektiv for at tage højde for ikke-EU-landets overordnede regulerings- og tilsynsmæssige rammer, herunder dets forpligtelser til fair konkurrence, bekæmpelse af hvidvask af penge, skattesamarbejde, investorbeskyttelse og finansiel stabilitet, med henblik på at sikre Unionens finansielle stabilitet, bevare det indre markeds integritet og forhindre regelarbitrage; </w:t>
      </w:r>
    </w:p>
    <w:p w14:paraId="48A3383B" w14:textId="77777777" w:rsidR="00C16740" w:rsidRPr="007D1F16" w:rsidRDefault="00C16740" w:rsidP="00C16740">
      <w:pPr>
        <w:pStyle w:val="NormalHanging12a"/>
        <w:rPr>
          <w:szCs w:val="24"/>
        </w:rPr>
      </w:pPr>
      <w:r w:rsidRPr="007D1F16">
        <w:t>61.</w:t>
      </w:r>
      <w:r w:rsidRPr="007D1F16">
        <w:tab/>
        <w:t xml:space="preserve">minder om, at afgørelser om ækvivalens kan gavne EU-virksomheder i form af øget adgang til Det Forenede Kongeriges marked, herunder for bankvæsen, betalingstjenester, investeringstjenester og forsikring, og understreger, at åbne og velstrukturerede finansielle forbindelser mellem EU og Det Forenede Kongerige skal bidrage til at fremme et mere konkurrencepræget finansieringsmiljø for SMV'er; </w:t>
      </w:r>
    </w:p>
    <w:p w14:paraId="38B11197" w14:textId="77777777" w:rsidR="00C16740" w:rsidRPr="007D1F16" w:rsidRDefault="00C16740" w:rsidP="00C16740">
      <w:pPr>
        <w:pStyle w:val="NormalHanging12a"/>
        <w:rPr>
          <w:szCs w:val="24"/>
        </w:rPr>
      </w:pPr>
      <w:r w:rsidRPr="007D1F16">
        <w:t>62.</w:t>
      </w:r>
      <w:r w:rsidRPr="007D1F16">
        <w:tab/>
        <w:t xml:space="preserve">bemærker samtidig Det Forenede Kongeriges erklærede ønske om reguleringsmæssige afvigelser fra EU på en række områder; udtrykker bekymring for, at en sådan divergens kan underminere de lige konkurrencevilkår med EU; opfordrer til nøje overvågning af denne udvikling og dens potentielle indvirkning på EU's markeder, herunder gennem strategisk anvendelse af afgørelser om ækvivalens; </w:t>
      </w:r>
    </w:p>
    <w:p w14:paraId="7BFCA5BE" w14:textId="77777777" w:rsidR="00C16740" w:rsidRPr="007D1F16" w:rsidRDefault="00C16740" w:rsidP="00C16740">
      <w:pPr>
        <w:pStyle w:val="NormalHanging12a"/>
        <w:rPr>
          <w:szCs w:val="24"/>
        </w:rPr>
      </w:pPr>
      <w:r w:rsidRPr="007D1F16">
        <w:t>63.</w:t>
      </w:r>
      <w:r w:rsidRPr="007D1F16">
        <w:tab/>
        <w:t xml:space="preserve">anerkender, at selv om nogle kryptoaktiver primært er af spekulativ karakter, er deres anvendelse i den finansielle sektor stigende, og opfordrer til en koordineret tilgang til regulering af og tilsyn med sådanne aktiver for effektivt at imødegå risiciene med hensyn til forbrugerbeskyttelse, markedsintegritet og hvidvask af penge samt problemerne med miljøpåvirkningen; bemærker med bekymring, at udstedere af stablecoins vil få lov til at operere i Det Forenede Kongerige under en undtagelse fra Det Forenede Kongeriges nye regulerings- og tilsynsmæssige rammer, og understreger, at hvis Det Forenede Kongerige fortsætter det bilaterale samarbejde med USA om en lempelig reguleringsmodel, vil EU's bestræbelser på at sikre reguleringsmæssig kohærens, robust tilsyn, finansiel modstandsdygtighed på tværs af jurisdiktioner og global finansiel stabilitet blive undermineret; opfordrer derfor Det Forenede Kongerige til at vedtage lovgivning i stil med forordning (EU) 2023/1114 om markeder for </w:t>
      </w:r>
      <w:r w:rsidRPr="007D1F16">
        <w:lastRenderedPageBreak/>
        <w:t>kryptoaktiver</w:t>
      </w:r>
      <w:r w:rsidRPr="007D1F16">
        <w:rPr>
          <w:rStyle w:val="FootnoteReference"/>
          <w:szCs w:val="24"/>
        </w:rPr>
        <w:footnoteReference w:id="33"/>
      </w:r>
      <w:r w:rsidRPr="007D1F16">
        <w:t xml:space="preserve">; advarer mod de systemiske risici, som en mindre streng tilsynsramme kan skabe, og anbefaler ikke at afvige fra Rådet for Finansiel Stabilitets henstillinger om regulering af kryptoaktiver, hvilket kan underminere den globale finansielle stabilitet; mener, at EU og Det Forenede Kongerige bør samarbejde i det internationale samfund om at finde en fælles forståelse af fordelene og risiciene ved AI, der anvendes på finansielle tjenesteydelser; </w:t>
      </w:r>
    </w:p>
    <w:p w14:paraId="266F6CB3" w14:textId="77777777" w:rsidR="00C16740" w:rsidRPr="007D1F16" w:rsidRDefault="00C16740" w:rsidP="00C16740">
      <w:pPr>
        <w:pStyle w:val="NormalHanging12a"/>
        <w:rPr>
          <w:szCs w:val="24"/>
        </w:rPr>
      </w:pPr>
      <w:r w:rsidRPr="007D1F16">
        <w:t>64.</w:t>
      </w:r>
      <w:r w:rsidRPr="007D1F16">
        <w:tab/>
        <w:t xml:space="preserve">støtter og glæder sig over den hurtige udvikling af den digitale euro, som supplerer men ikke erstatter kontanter; fremhæver EU's høje grad af afhængighed af udenlandske enheder i betalingssektoren; anerkender det presserende behov for, at EU sikrer sin uafhængighed af udenlandske betalingstjenesteudbydere som et spørgsmål om digital og finansiel suverænitet; </w:t>
      </w:r>
    </w:p>
    <w:p w14:paraId="1BA9E07A" w14:textId="77777777" w:rsidR="00C16740" w:rsidRPr="007D1F16" w:rsidRDefault="00C16740" w:rsidP="00C16740">
      <w:pPr>
        <w:pStyle w:val="NormalHanging12a"/>
        <w:rPr>
          <w:szCs w:val="24"/>
        </w:rPr>
      </w:pPr>
      <w:r w:rsidRPr="007D1F16">
        <w:t>65.</w:t>
      </w:r>
      <w:r w:rsidRPr="007D1F16">
        <w:tab/>
        <w:t xml:space="preserve">mener, at den eventuelle indførelse af digitale centralbankvalutaer i både EU og Det Forenede Kongerige kan have en økonomisk indvirkning på forholdet mellem de to parter og på den strategiske autonomi; </w:t>
      </w:r>
    </w:p>
    <w:p w14:paraId="5F156CCE" w14:textId="77777777" w:rsidR="00C16740" w:rsidRPr="007D1F16" w:rsidRDefault="00C16740" w:rsidP="00C16740">
      <w:pPr>
        <w:pStyle w:val="NormalHanging12a"/>
        <w:rPr>
          <w:szCs w:val="24"/>
        </w:rPr>
      </w:pPr>
      <w:r w:rsidRPr="007D1F16">
        <w:t>66.</w:t>
      </w:r>
      <w:r w:rsidRPr="007D1F16">
        <w:tab/>
        <w:t xml:space="preserve">støtter kraftigt det fortsatte samarbejde mellem EU og Det Forenede Kongerige om bekæmpelse af international hvidvask af penge og finansiering af terrorisme, bekæmpelse af skadelige skatteordninger og gennemførelse af sanktioner; glæder sig over EU's vedtagelse af lovpakken om bekæmpelse af hvidvask af penge og det fortsatte tilsagn fra Det Forenede Kongeriges side om at bekæmpe hvidvask af penge og anden økonomisk kriminalitet, navnlig i dets oversøiske territorier og britiske kronbesiddelser; </w:t>
      </w:r>
    </w:p>
    <w:p w14:paraId="53FBF56C" w14:textId="77777777" w:rsidR="00C16740" w:rsidRPr="007D1F16" w:rsidRDefault="00C16740" w:rsidP="00C16740">
      <w:pPr>
        <w:pStyle w:val="NormalHanging12a"/>
        <w:rPr>
          <w:szCs w:val="24"/>
        </w:rPr>
      </w:pPr>
      <w:r w:rsidRPr="007D1F16">
        <w:t>67.</w:t>
      </w:r>
      <w:r w:rsidRPr="007D1F16">
        <w:tab/>
        <w:t xml:space="preserve">udtrykker bekymring over Det Forenede Kongeriges etablering af nye frihavne som nationale knudepunkter til fremme af global handel og investering, der tilbyder omfattende skattelettelser, dereguleringsordninger og offentlige subsidier; </w:t>
      </w:r>
    </w:p>
    <w:p w14:paraId="0403213B" w14:textId="77777777" w:rsidR="00C16740" w:rsidRPr="007D1F16" w:rsidRDefault="00C16740" w:rsidP="00C16740">
      <w:pPr>
        <w:pStyle w:val="NormalHanging12a"/>
        <w:rPr>
          <w:szCs w:val="24"/>
        </w:rPr>
      </w:pPr>
      <w:r w:rsidRPr="007D1F16">
        <w:t>68.</w:t>
      </w:r>
      <w:r w:rsidRPr="007D1F16">
        <w:tab/>
        <w:t xml:space="preserve">fremhæver begge parters engagement i Organisationen for Økonomisk Samarbejde og Udviklings (OECD)/G20's inklusive rammes tilgang med to søjler; beklager det dekret, som blev udstedt af den amerikanske præsident den 20. januar 2025, hvori det erklæres, at OECD's globale skatteaftale ikke har nogen kraft og virkning i USA; opfordrer begge parter til at arbejde sammen og konstruktivt i internationale fora for at sikre multilateralt samarbejde på skatteområdet, fremme den globale gennemførelse af minimumsstandarderne for beskatning i søjle 2 og sikre overensstemmelse med nye FN-initiativer, der opstår; </w:t>
      </w:r>
    </w:p>
    <w:p w14:paraId="071E849E" w14:textId="77777777" w:rsidR="00C16740" w:rsidRPr="007D1F16" w:rsidRDefault="00C16740" w:rsidP="00C16740">
      <w:pPr>
        <w:pStyle w:val="NormalHanging12a"/>
        <w:rPr>
          <w:szCs w:val="24"/>
        </w:rPr>
      </w:pPr>
      <w:r w:rsidRPr="007D1F16">
        <w:t>69.</w:t>
      </w:r>
      <w:r w:rsidRPr="007D1F16">
        <w:tab/>
        <w:t xml:space="preserve">anerkender handels- og samarbejdsaftalens tilsagn om at fremme samarbejde om centrale globale udfordringer, samtidig med at de respektive beføjelser inden for direkte beskatning respekteres; glæder sig derfor over den første dialog mellem EU og Det Forenede Kongerige om bekæmpelse af skadelige skatteordninger, der blev afholdt den 10. oktober 2024 som et forum for drøftelse om udformning og gennemførelse af internationale standarder til bekæmpelse af skadelige skatteordninger; understreger vigtigheden af at fastholde momentum i koordineringen af internationale skattereformer mellem EU og Det Forenede Kongerige; </w:t>
      </w:r>
    </w:p>
    <w:p w14:paraId="38D24D02" w14:textId="77777777" w:rsidR="00C16740" w:rsidRPr="007D1F16" w:rsidRDefault="00C16740" w:rsidP="00C16740">
      <w:pPr>
        <w:pStyle w:val="NormalHanging12a"/>
        <w:rPr>
          <w:szCs w:val="24"/>
        </w:rPr>
      </w:pPr>
      <w:r w:rsidRPr="007D1F16">
        <w:lastRenderedPageBreak/>
        <w:t>70.</w:t>
      </w:r>
      <w:r w:rsidRPr="007D1F16">
        <w:tab/>
        <w:t xml:space="preserve">bakker op om fortsat samarbejde mellem EU og Det Forenede Kongerige om bekæmpelse af hvidvask af penge, finansiering af terrorisme, skadelig skattepraksis og svig; understreger, at det er nødvendigt at overvåge Det Forenede Kongeriges reguleringsmæssige afvigelser nøje for at forhindre regelarbitrage og finansielle risici for EU og for at sikre lige vilkår; tilskynder begge parter til med fuld respekt for den nationale suverænitet på skatteområdet at samarbejde proaktivt – gennem relevante bilaterale og multilaterale fora – med henblik på at fremme retfærdige og bæredygtige skattesystemer; </w:t>
      </w:r>
    </w:p>
    <w:p w14:paraId="76E1149F" w14:textId="77777777" w:rsidR="00C16740" w:rsidRPr="007D1F16" w:rsidRDefault="00C16740" w:rsidP="00C16740">
      <w:pPr>
        <w:pStyle w:val="NormalHanging12a"/>
        <w:rPr>
          <w:szCs w:val="24"/>
        </w:rPr>
      </w:pPr>
      <w:r w:rsidRPr="007D1F16">
        <w:t>71.</w:t>
      </w:r>
      <w:r w:rsidRPr="007D1F16">
        <w:tab/>
        <w:t xml:space="preserve">glæder sig over den fuldstændige gennemførelse i 2024 af protokollen om administrativt samarbejde og bekæmpelse af svig vedrørende merværdiafgift og om gensidig bistand ved inddrivelse af fordringer i forbindelse med skatter og afgifter (momsprotokollen); foreslår, at EU og Det Forenede Kongerige foretager en fælles årlig gennemgang af momsprotokollens gennemførelse og effektivitet, skaber et forum for drøftelser om de nye tendenser inden for momssvig og udfordringer i forbindelse med grænseoverskridende momsinddrivelse og vurderer behovet for yderligere fælles foranstaltninger til at løse disse problemer; </w:t>
      </w:r>
    </w:p>
    <w:p w14:paraId="33E1223B" w14:textId="77777777" w:rsidR="00C16740" w:rsidRPr="007D1F16" w:rsidRDefault="00C16740" w:rsidP="00C16740">
      <w:pPr>
        <w:pStyle w:val="NormalHanging12a"/>
        <w:rPr>
          <w:szCs w:val="24"/>
        </w:rPr>
      </w:pPr>
      <w:r w:rsidRPr="007D1F16">
        <w:t>72.</w:t>
      </w:r>
      <w:r w:rsidRPr="007D1F16">
        <w:tab/>
        <w:t>understreger, at EU-markedsdeltagere i høj grad er afhængige af clearingcentraler hjemmehørende i Det Forenede Kongerige, idet over 90 % af rentederivaterne i EUR behandles af clearingcentraler med hovedkvarter i London City; mener, at denne massive koncentration kan udgøre en strategisk risiko for EU's finansielle stabilitet; mener, at der bør findes en holdbar balance mellem på den ene side at mindske den alt for store afhængighed af clearingcentraler hjemmehørende i Det Forenede Kongerige betydeligt og på den anden side at skabe klarhed for EU-deltagerne på det finansielle marked; noterer sig ajourføringerne af forordningen om europæisk markedsinfrastruktur</w:t>
      </w:r>
      <w:r w:rsidRPr="007D1F16">
        <w:rPr>
          <w:rStyle w:val="FootnoteReference"/>
          <w:szCs w:val="24"/>
        </w:rPr>
        <w:footnoteReference w:id="34"/>
      </w:r>
      <w:r w:rsidRPr="007D1F16">
        <w:t xml:space="preserve">, som blev vedtaget i december 2024, og som har til formål at afhjælpe denne overdrevne afhængighed ved at indføre et krav om en aktiv konto; </w:t>
      </w:r>
    </w:p>
    <w:p w14:paraId="5EEAFEAF" w14:textId="77777777" w:rsidR="00C16740" w:rsidRPr="007D1F16" w:rsidRDefault="00C16740" w:rsidP="00C16740">
      <w:pPr>
        <w:pStyle w:val="NormalHanging12a"/>
        <w:rPr>
          <w:szCs w:val="24"/>
        </w:rPr>
      </w:pPr>
      <w:r w:rsidRPr="007D1F16">
        <w:t>73.</w:t>
      </w:r>
      <w:r w:rsidRPr="007D1F16">
        <w:tab/>
        <w:t xml:space="preserve">udtrykker imidlertid bekymring over, at Kommissionens beslutning om at forlænge ækvivalensen for centrale modparter fra Det Forenede Kongerige i en yderligere periode på tre år indtil den 30. juni 2028 risikerer at forsinke udviklingen af kravet om en aktiv konto; </w:t>
      </w:r>
    </w:p>
    <w:p w14:paraId="783963D3" w14:textId="77777777" w:rsidR="00C16740" w:rsidRPr="007D1F16" w:rsidRDefault="00C16740" w:rsidP="00C16740">
      <w:pPr>
        <w:pStyle w:val="NormalHanging12a"/>
        <w:rPr>
          <w:szCs w:val="24"/>
        </w:rPr>
      </w:pPr>
      <w:r w:rsidRPr="007D1F16">
        <w:t>74.</w:t>
      </w:r>
      <w:r w:rsidRPr="007D1F16">
        <w:tab/>
        <w:t xml:space="preserve">opfordrer Kommissionen til i mellemtiden at sørge for en permanent og stabil løsning til at mindske den overdrevne afhængighed af centrale modparter fra Det Forenede Kongerige i overensstemmelse med EU's strategiske mål om at mindske overdreven eksponering over for centrale modparter fra ikke-EU-lande af væsentlig systemisk betydning; minder om, at Parlamentet konsekvent har understreget behovet for at flytte clearingaktiviteter til EU, og at langvarig ækvivalens i en situation med lovgivningsmæssige afvigelser undergraver den finansielle stabilitet, svækker EU's markedsautonomi og sender modstridende signaler til markedsdeltagerne; </w:t>
      </w:r>
    </w:p>
    <w:p w14:paraId="4CB79734" w14:textId="77777777" w:rsidR="00C16740" w:rsidRPr="007D1F16" w:rsidRDefault="00C16740" w:rsidP="00C16740">
      <w:pPr>
        <w:pStyle w:val="NormalHanging12a"/>
        <w:rPr>
          <w:szCs w:val="24"/>
        </w:rPr>
      </w:pPr>
      <w:r w:rsidRPr="007D1F16">
        <w:t>75.</w:t>
      </w:r>
      <w:r w:rsidRPr="007D1F16">
        <w:tab/>
        <w:t xml:space="preserve">bemærker, at Det Forenede Kongeriges tjenesteydere inden for finansielle tjenesteydelser som følge af Det Forenede Kongeriges udtræden af EU ikke længere nyder godt af "oprindelseslandsprincippet" eller "pasordningen" for direkte adgang til EU's indre marked, og at den integrerede globale økonomi kræver et tæt samarbejde </w:t>
      </w:r>
      <w:r w:rsidRPr="007D1F16">
        <w:lastRenderedPageBreak/>
        <w:t xml:space="preserve">mellem myndigheder, herunder inden for finansielle tjenesteydelser og betalinger; bemærker også, at handels- og samarbejdsaftalen ganske vist understøttes af bestemmelser, der sikrer lige konkurrencevilkår, men at dette ikke er tilstrækkeligt, navnlig hvad angår regler om subsidier, og opfordrer til en stærk og gennemsigtig statsstøttekontrol med effektiv national håndhævelse og en bindende tvistbilæggelsesmekanisme, der kan bidrage til at forebygge konkurrenceforvridning og sikre fair handelsvilkår; </w:t>
      </w:r>
    </w:p>
    <w:p w14:paraId="3A3081FA" w14:textId="77777777" w:rsidR="00C16740" w:rsidRPr="007D1F16" w:rsidRDefault="00C16740" w:rsidP="00C16740">
      <w:pPr>
        <w:pStyle w:val="NormalHanging12a"/>
        <w:rPr>
          <w:szCs w:val="24"/>
        </w:rPr>
      </w:pPr>
      <w:r w:rsidRPr="007D1F16">
        <w:t>76.</w:t>
      </w:r>
      <w:r w:rsidRPr="007D1F16">
        <w:tab/>
        <w:t xml:space="preserve">noterer sig Det Forenede Kongeriges kommende strategi for vækst og konkurrenceevne inden for finansielle tjenesteydelser, der frigør investeringer i hele økonomien; opfordrer EU og Det Forenede Kongerige til at bringe deres respektive strategier for konkurrenceevne for sektoren for finansielle tjenesteydelser i nøje overensstemmelse med hinanden; </w:t>
      </w:r>
    </w:p>
    <w:p w14:paraId="71F736B9" w14:textId="77777777" w:rsidR="00C16740" w:rsidRPr="007D1F16" w:rsidRDefault="00C16740" w:rsidP="00C16740">
      <w:pPr>
        <w:pStyle w:val="NormalHanging12a"/>
        <w:rPr>
          <w:szCs w:val="24"/>
        </w:rPr>
      </w:pPr>
      <w:r w:rsidRPr="007D1F16">
        <w:t>77.</w:t>
      </w:r>
      <w:r w:rsidRPr="007D1F16">
        <w:tab/>
        <w:t xml:space="preserve">giver udtryk for bekymring over planerne fra tilsynsmyndigheden vedrørende betalingssystemer, Payment Systems Regulator, om at indføre et prisloft for interbankgebyrer for forbrugere i grænseoverskridende transaktioner, hvor betalingskort anvendes online (card-not-present transaktioner), mellem Det Forenede Kongerige og Det Europæiske Økonomiske Samarbejdsområde (EØS), specifikt for EU-banker, EU-kortudbydere og andre EU-betalingstjenesteudbydere; understreger, at to af de tre forskellige prislofter er væsentligt lavere end det tilsvarende prisloft, der er fastsat for Det Forenede Kongeriges banker, hvilket giver anledning til bekymring med hensyn til overholdelsen af princippet om ikkeforskelsbehandling i handels- og samarbejdsaftalen; understreger derfor vigtigheden af at sikre, at alle lovgivningsmæssige foranstaltninger overholder princippet om ikkeforskelsbehandling; opfordrer tilsynsmyndigheden vedrørende betalingssystemer til at sikre, at det påbegyndte arbejde med interbankgebyrer fortsættes, med henblik på at undgå lovgivningsmæssige tilbageskridt og sikre et fair miljø for europæiske leverandører; </w:t>
      </w:r>
    </w:p>
    <w:p w14:paraId="33FB4E6B" w14:textId="77777777" w:rsidR="00C16740" w:rsidRPr="007D1F16" w:rsidRDefault="00C16740" w:rsidP="00C16740">
      <w:pPr>
        <w:pStyle w:val="NormalHanging12a"/>
        <w:rPr>
          <w:i/>
        </w:rPr>
      </w:pPr>
      <w:r w:rsidRPr="007D1F16">
        <w:t>78.</w:t>
      </w:r>
      <w:r w:rsidRPr="007D1F16">
        <w:tab/>
        <w:t xml:space="preserve">anerkender – ud over handels- og samarbejdsaftalens juridisk bindende ramme – betydningen af et større samarbejde inden for finansielle tjenesteydelser for at tackle fælles udfordringer og undersøge mulighederne for et tættere og løbende samarbejde, navnlig gennem engagement på højeste niveau, således at fordelene ved globalt forbundne finansielle systemer kan udnyttes, på baggrund af oprettelsen af en opsparings- og investeringsunion og det velfungerende knudepunkt for finansielle tjenesteydelser, som City of London udgør; </w:t>
      </w:r>
    </w:p>
    <w:p w14:paraId="4AFC3869" w14:textId="77777777" w:rsidR="00C16740" w:rsidRPr="007D1F16" w:rsidRDefault="00C16740" w:rsidP="00C16740">
      <w:pPr>
        <w:pStyle w:val="NormalHanging12a"/>
        <w:rPr>
          <w:bCs/>
          <w:iCs/>
        </w:rPr>
      </w:pPr>
      <w:r w:rsidRPr="007D1F16">
        <w:t>79.</w:t>
      </w:r>
      <w:r w:rsidRPr="007D1F16">
        <w:tab/>
        <w:t xml:space="preserve">understreger, at øgede transatlantiske spændinger gør forbedrede økonomiske forbindelser mellem EU og Det Forenede Kongerige vigtigere end nogensinde før; opfordrer Kommissionen og Det Forenede Kongeriges regering til at arbejde tæt sammen i internationale fora for finansielle tjenesteydelser for at udnytte det europæiske perspektiv bedst muligt; anerkender, at det er nødvendigt at sikre, at SMV'er på begge sider kan drage fordel af et tættere finansielt samarbejde mellem EU og Det Forenede Kongerige; fremhæver, at standarder, der er aftalt i internationale fora såsom Den Internationale Børstilsynsorganisation, Rådet for Finansiel Stabilitet, Den Finansielle Aktionsgruppe eller Baselkomitéen for Banktilsyn, fortsat bør være udgangspunktet for samarbejdet mellem EU og Det Forenede Kongerige, og at afvigelser skal begrundes behørigt; </w:t>
      </w:r>
    </w:p>
    <w:p w14:paraId="490CF04E" w14:textId="77777777" w:rsidR="00C16740" w:rsidRPr="007D1F16" w:rsidRDefault="00C16740" w:rsidP="00C16740">
      <w:pPr>
        <w:pStyle w:val="NormalHanging12a"/>
        <w:rPr>
          <w:bCs/>
          <w:iCs/>
        </w:rPr>
      </w:pPr>
      <w:r w:rsidRPr="007D1F16">
        <w:t>80.</w:t>
      </w:r>
      <w:r w:rsidRPr="007D1F16">
        <w:tab/>
        <w:t xml:space="preserve">er bekymret over Det Forenede Kongeriges beslutning om at udskyde gennemførelsen af Basel III-rammen for banker indtil den 1. januar 2027; opfordrer Kommissionen og </w:t>
      </w:r>
      <w:r w:rsidRPr="007D1F16">
        <w:lastRenderedPageBreak/>
        <w:t xml:space="preserve">medlemsstaterne til at sikre gennemførelsen af de Basel III-standarder, der er vedtaget af fælleslovgiverne, og opfordrer Kommissionen til fortsat at overvåge gennemførelsen af de internationalt aftalte Basel III-standarder i andre større ikke-EU-jurisdiktioner; </w:t>
      </w:r>
    </w:p>
    <w:p w14:paraId="106BCA36" w14:textId="77777777" w:rsidR="00C16740" w:rsidRPr="007D1F16" w:rsidRDefault="00C16740" w:rsidP="00C16740">
      <w:pPr>
        <w:pStyle w:val="NormalHanging12a"/>
        <w:rPr>
          <w:bCs/>
          <w:iCs/>
        </w:rPr>
      </w:pPr>
      <w:r w:rsidRPr="007D1F16">
        <w:t>81.</w:t>
      </w:r>
      <w:r w:rsidRPr="007D1F16">
        <w:tab/>
        <w:t xml:space="preserve">noterer sig den betydelige vækst i mængden af finansielle formidlere, som ikke er banker (NBFI'er), i EU og Det Forenede Kongerige og de store sårbarheder, som Det Europæiske Udvalg for Systemiske Risici (ESRB) har peget på i denne sektor, navnlig med hensyn til gearings- og likviditetsmismatch; deler bekymringerne med hensyn til nationale NBFI'ers modstandsdygtighed, navnlig under markedsstress, som ESRB og Det Forenede Kongeriges Udvalg for Finansiel Politik har givet udtryk for i den henseende, og opfordrer til øget overvågning og regulering af disse enheder; </w:t>
      </w:r>
    </w:p>
    <w:p w14:paraId="12394659" w14:textId="77777777" w:rsidR="00C16740" w:rsidRPr="007D1F16" w:rsidRDefault="00C16740" w:rsidP="00C16740">
      <w:pPr>
        <w:pStyle w:val="NormalHanging12a"/>
        <w:rPr>
          <w:bCs/>
          <w:iCs/>
        </w:rPr>
      </w:pPr>
      <w:r w:rsidRPr="007D1F16">
        <w:t>82.</w:t>
      </w:r>
      <w:r w:rsidRPr="007D1F16">
        <w:tab/>
        <w:t xml:space="preserve">gør i den forbindelse på ny opmærksom på betydningen af rettidig gennemførelse af henstillingerne fra Rådet for Finansiel Stabilitet om at øge pengemarkedsforeningernes modstandsdygtighed, navnlig ved at fjerne faktorer, der kan tilskynde til stormløb på banker; opfordrer derfor Kommissionen til hurtigt at fremsætte et revideret forslag om pengemarkedsforeninger, som er i overensstemmelse med henstillingerne fra Rådet for Finansiel Stabilitet; </w:t>
      </w:r>
    </w:p>
    <w:p w14:paraId="3A4C77CF" w14:textId="77777777" w:rsidR="00C16740" w:rsidRPr="007D1F16" w:rsidRDefault="00C16740" w:rsidP="00C16740">
      <w:pPr>
        <w:pStyle w:val="NormalHanging12a"/>
        <w:rPr>
          <w:bCs/>
          <w:iCs/>
        </w:rPr>
      </w:pPr>
      <w:r w:rsidRPr="007D1F16">
        <w:t>83.</w:t>
      </w:r>
      <w:r w:rsidRPr="007D1F16">
        <w:tab/>
        <w:t>noterer sig de planer, som Det Forenede Kongeriges myndigheder har bebudet, om at indføre en lempeligere reguleringsordning for visse alternative investeringsfonde; understreger, at forenkling ikke bør dække over en dagsorden om deregulering; bakker op om forenklingsforanstaltninger, forudsat at de politiske mål ikke påvirkes; opfordrer derfor Det Forenede Kongeriges myndigheder til at arbejde tæt sammen med EU om at sikre, at denne planlagte reform ikke tømmer direktiv 2011/61/EU om forvaltere af alternative investeringsfonde</w:t>
      </w:r>
      <w:r w:rsidRPr="007D1F16">
        <w:rPr>
          <w:bCs/>
          <w:iCs/>
          <w:vertAlign w:val="superscript"/>
        </w:rPr>
        <w:footnoteReference w:id="35"/>
      </w:r>
      <w:r w:rsidRPr="007D1F16">
        <w:t xml:space="preserve"> for dets substans, navnlig i forbindelse med delegationsregler; </w:t>
      </w:r>
    </w:p>
    <w:p w14:paraId="229D11E0" w14:textId="77777777" w:rsidR="00C16740" w:rsidRPr="007D1F16" w:rsidRDefault="00C16740" w:rsidP="00C16740">
      <w:pPr>
        <w:pStyle w:val="NormalHanging12a"/>
        <w:rPr>
          <w:b/>
        </w:rPr>
      </w:pPr>
      <w:r w:rsidRPr="007D1F16">
        <w:rPr>
          <w:b/>
          <w:i/>
        </w:rPr>
        <w:t>Intellektuel ejendom, offentlige udbud og SMV'er</w:t>
      </w:r>
    </w:p>
    <w:p w14:paraId="7EC37166" w14:textId="77777777" w:rsidR="00C16740" w:rsidRPr="007D1F16" w:rsidRDefault="00C16740" w:rsidP="00C16740">
      <w:pPr>
        <w:pStyle w:val="NormalHanging12a"/>
      </w:pPr>
      <w:r w:rsidRPr="007D1F16">
        <w:t>84.</w:t>
      </w:r>
      <w:r w:rsidRPr="007D1F16">
        <w:tab/>
        <w:t>understreger, at en udvidelse af viften af sektorer, der er omfattet af handels- og samarbejdsaftalens kapitel om offentlige udbud, ville være et meningsfuldt skridt i retning af at styrke de lige konkurrencevilkår; glæder sig over Det Forenede Kongeriges "Procurement Act 2023" (lov om offentlige udbud fra 2023), navnlig de fordele, den giver gennem større standardisering og strømlining af udbudsprocedurer, og fremhæver behovet for at sikre retfærdig adgang til offentlige udbud; opfordrer Det Forenede Kongeriges regering og Kommissionen til at forbedre markedsadgangen for SMV'er ved at mindske den bureaukratiske byrde og dermed skabe økonomiske muligheder og tilvejebringe incitamenter til at gribe disse muligheder; fremhæver i den forbindelse vigtigheden af at mindske hindringerne for grænseoverskridende handel for SMV'er og af at støtte fair konkurrence og økonomiske muligheder i grænseoverskridende samarbejde;</w:t>
      </w:r>
    </w:p>
    <w:bookmarkEnd w:id="19"/>
    <w:p w14:paraId="2AE24AA5" w14:textId="3BCB9194" w:rsidR="00C16740" w:rsidRPr="007D1F16" w:rsidRDefault="00C16740" w:rsidP="00C16740">
      <w:pPr>
        <w:pStyle w:val="NormalHanging12a"/>
      </w:pPr>
      <w:r w:rsidRPr="007D1F16">
        <w:t>85.</w:t>
      </w:r>
      <w:r w:rsidRPr="007D1F16">
        <w:tab/>
        <w:t>opfordrer Kommissionen til at gennemføre SMV-kapitlet i handels- og samarbejdsaftalen fuldt ud ved hurtigt at oprette SMV-</w:t>
      </w:r>
      <w:r w:rsidR="001139BB" w:rsidRPr="001139BB">
        <w:t>kontaktpunkter</w:t>
      </w:r>
      <w:r w:rsidRPr="007D1F16">
        <w:t xml:space="preserve"> som fastsat i aftalen og sikre aktiv deltagelse af organisationer, der repræsenterer SMV'er; mener, at </w:t>
      </w:r>
      <w:r w:rsidRPr="007D1F16">
        <w:lastRenderedPageBreak/>
        <w:t xml:space="preserve">SMV-udvalget bør have til opgave at udpege hindringer for handel, herunder for investeringer, der specifikt påvirker SMV'er, og foreslå målrettede løsninger til at reducere overholdelsesomkostninger og reguleringsmæssige byrder, herunder gennem udveksling af bedste praksis om SMV-støtteordninger og digital virksomhedsregistrering; fremhæver behovet for øget fleksibilitet med hensyn til erhvervsmobilitet ved at udvide listen over aktiviteter, der er tilladt i henhold til ordninger om kortvarige visumfri ophold, og mindske omkostningerne og kompleksiteten i forbindelse med visumprocedurer for SMV'er; </w:t>
      </w:r>
    </w:p>
    <w:p w14:paraId="465667B2" w14:textId="77777777" w:rsidR="00C16740" w:rsidRPr="007D1F16" w:rsidRDefault="00C16740" w:rsidP="00C16740">
      <w:pPr>
        <w:pStyle w:val="NormalHanging12a"/>
      </w:pPr>
      <w:r w:rsidRPr="007D1F16">
        <w:t>86.</w:t>
      </w:r>
      <w:r w:rsidRPr="007D1F16">
        <w:tab/>
        <w:t xml:space="preserve">opfordrer endvidere til, at man tager bæredygtighedskriterier i betragtning i forbindelse med offentlige udbudsprocedurer for specifikke sektorer, hvor det er relevant og forholdsmæssigt; fremhæver, at der bør vedtages foranstaltninger til fremme af SMV'ers deltagelse, herunder forenkling af procedurer, mindskelse af bureaukrati og sikring af gennemsigtig offentliggørelse af bekendtgørelser og kriterier; bemærker, at EU og Det Forenede Kongerige bør sikre gensidig og ikkediskriminerende adgang til deres respektive markeder for offentlige udbud; </w:t>
      </w:r>
    </w:p>
    <w:p w14:paraId="7BD4E3A3" w14:textId="77777777" w:rsidR="00C16740" w:rsidRPr="007D1F16" w:rsidRDefault="00C16740" w:rsidP="00C16740">
      <w:pPr>
        <w:pStyle w:val="NormalHanging12a"/>
        <w:rPr>
          <w:b/>
          <w:i/>
        </w:rPr>
      </w:pPr>
      <w:r w:rsidRPr="007D1F16">
        <w:rPr>
          <w:b/>
          <w:i/>
        </w:rPr>
        <w:t xml:space="preserve">Miljø </w:t>
      </w:r>
    </w:p>
    <w:p w14:paraId="312DEB76" w14:textId="77777777" w:rsidR="00C16740" w:rsidRPr="007D1F16" w:rsidRDefault="00C16740" w:rsidP="00C16740">
      <w:pPr>
        <w:pStyle w:val="NormalHanging12a"/>
        <w:rPr>
          <w:szCs w:val="24"/>
        </w:rPr>
      </w:pPr>
      <w:r w:rsidRPr="007D1F16">
        <w:t>87.</w:t>
      </w:r>
      <w:r w:rsidRPr="007D1F16">
        <w:tab/>
        <w:t>fremhæver den stigende risiko for reguleringsmæssige forskelle mellem EU's og Det Forenede Kongeriges miljøpolitikker, som potentielt kan forårsage økonomiske forstyrrelser og underminere miljømålene; anerkender EU's og Det Forenede Kongeriges fælles geopolitiske udfordringer og miljømæssige ambitioner; tilskynder til yderligere strategisk samarbejde og indbyrdes tilpasning inden for miljø, naturbeskyttelse og biodiversitet;</w:t>
      </w:r>
    </w:p>
    <w:p w14:paraId="49AEE276" w14:textId="77777777" w:rsidR="00C16740" w:rsidRPr="007D1F16" w:rsidRDefault="00C16740" w:rsidP="00C16740">
      <w:pPr>
        <w:pStyle w:val="NormalHanging12a"/>
        <w:rPr>
          <w:iCs/>
        </w:rPr>
      </w:pPr>
      <w:r w:rsidRPr="007D1F16">
        <w:t>88.</w:t>
      </w:r>
      <w:r w:rsidRPr="007D1F16">
        <w:tab/>
        <w:t xml:space="preserve">understreger, at øen Irland udgør én samlet økologisk enhed; minder om, at Det Forenede Kongeriges miljøpolitikker påvirker miljøet på hele øen Irland og dermed også opnåelsen af EU's miljøbeskyttelsesmål; understreger, at der er behov for øget samarbejde om miljøspørgsmål gennem de institutioner, der er oprettet i henhold til Langfredagsaftalen; </w:t>
      </w:r>
    </w:p>
    <w:p w14:paraId="5532A57A" w14:textId="77777777" w:rsidR="00C16740" w:rsidRPr="007D1F16" w:rsidRDefault="00C16740" w:rsidP="00C16740">
      <w:pPr>
        <w:pStyle w:val="NormalHanging12a"/>
        <w:rPr>
          <w:iCs/>
        </w:rPr>
      </w:pPr>
      <w:r w:rsidRPr="007D1F16">
        <w:t>89.</w:t>
      </w:r>
      <w:r w:rsidRPr="007D1F16">
        <w:tab/>
        <w:t>minder om de tidligere opfordringer til tættere bilateralt samarbejde inden for kemikalieregulering</w:t>
      </w:r>
      <w:r w:rsidRPr="007D1F16">
        <w:rPr>
          <w:rStyle w:val="FootnoteReference"/>
          <w:iCs/>
        </w:rPr>
        <w:footnoteReference w:id="36"/>
      </w:r>
      <w:r w:rsidRPr="007D1F16">
        <w:t>; anbefaler, at der indhentes input fra Det Forenede Kongeriges regering og de relevante decentrale regeringer vedrørende den kommende revision af REACH-forordningen</w:t>
      </w:r>
      <w:r w:rsidRPr="007D1F16">
        <w:rPr>
          <w:rStyle w:val="FootnoteReference"/>
          <w:iCs/>
        </w:rPr>
        <w:footnoteReference w:id="37"/>
      </w:r>
      <w:r w:rsidRPr="007D1F16">
        <w:t xml:space="preserve"> med henblik på at fremme samarbejde og reguleringsmæssig konvergens for at lette sikker og juridisk forudsigelig handel med kemikalier på tværs af </w:t>
      </w:r>
      <w:r w:rsidRPr="007D1F16">
        <w:lastRenderedPageBreak/>
        <w:t xml:space="preserve">grænserne, samtidig med at der opretholdes et højt miljøbeskyttelsesniveau; </w:t>
      </w:r>
    </w:p>
    <w:p w14:paraId="130326A5" w14:textId="77777777" w:rsidR="00C16740" w:rsidRPr="007D1F16" w:rsidRDefault="00C16740" w:rsidP="00C16740">
      <w:pPr>
        <w:pStyle w:val="NormalHanging12a"/>
        <w:rPr>
          <w:iCs/>
        </w:rPr>
      </w:pPr>
      <w:r w:rsidRPr="007D1F16">
        <w:t>90.</w:t>
      </w:r>
      <w:r w:rsidRPr="007D1F16">
        <w:tab/>
        <w:t xml:space="preserve">glæder sig over Det Forenede Kongeriges anerkendelse af CE-mærkningen vedrørende krav til miljøvenligt design på energirelaterede produkter og begrænsninger på farlige stoffer i elektrisk og elektronisk udstyr; glæder sig over, at dette letter den fortsatte handel mellem Det Forenede Kongerige og EU og samtidig mindsker overholdelsesbyrden for producenterne; </w:t>
      </w:r>
    </w:p>
    <w:p w14:paraId="7AEE3BF0" w14:textId="77777777" w:rsidR="00C16740" w:rsidRPr="007D1F16" w:rsidRDefault="00C16740" w:rsidP="00C16740">
      <w:pPr>
        <w:pStyle w:val="NormalHanging12a"/>
        <w:rPr>
          <w:iCs/>
        </w:rPr>
      </w:pPr>
      <w:r w:rsidRPr="007D1F16">
        <w:t>91.</w:t>
      </w:r>
      <w:r w:rsidRPr="007D1F16">
        <w:tab/>
        <w:t xml:space="preserve">opfordrer til, at interessenter fra erhvervslivet og civilsamfundet gives en styrket rolle i gennemførelses-, overvågnings- og rådgivningsprocesserne i tilknytning til forpligtelserne vedrørende handel og bæredygtig udvikling under handels- og samarbejdsaftalen mellem EU og Det Forenede Kongerige i overensstemmelse med den fælles erklæring fra EU's og Det Forenede Kongeriges interne rådgivende grupper; </w:t>
      </w:r>
    </w:p>
    <w:p w14:paraId="207E68A4" w14:textId="77777777" w:rsidR="00C16740" w:rsidRPr="007D1F16" w:rsidRDefault="00C16740" w:rsidP="00C16740">
      <w:pPr>
        <w:pStyle w:val="NormalHanging12a"/>
        <w:rPr>
          <w:iCs/>
        </w:rPr>
      </w:pPr>
      <w:r w:rsidRPr="007D1F16">
        <w:t>92.</w:t>
      </w:r>
      <w:r w:rsidRPr="007D1F16">
        <w:tab/>
        <w:t xml:space="preserve">minder om EU's og Det Forenede Kongeriges tilsagn i handels- og samarbejdsaftalen om at opretholde høje miljøbeskyttelsesniveauer inden for affaldsforebyggelse, affaldshåndtering og den cirkulære økonomi; understreger, at det er nødvendigt at planlægge og koordinere bedre for at tilpasse deres affaldshåndteringsinfrastruktur og at sikre tilstrækkelig kapacitet til genanvendelse, reparation, genfremstilling og affaldsbehandling i overensstemmelse med affaldshierarkiet og fremme løsninger til at reducere og håndtere restaffaldsstrømme; </w:t>
      </w:r>
    </w:p>
    <w:p w14:paraId="2C811832" w14:textId="77777777" w:rsidR="00C16740" w:rsidRPr="007D1F16" w:rsidRDefault="00C16740" w:rsidP="00C16740">
      <w:pPr>
        <w:pStyle w:val="NormalHanging12a"/>
        <w:rPr>
          <w:iCs/>
        </w:rPr>
      </w:pPr>
      <w:r w:rsidRPr="007D1F16">
        <w:t>93.</w:t>
      </w:r>
      <w:r w:rsidRPr="007D1F16">
        <w:tab/>
        <w:t xml:space="preserve">fremhæver vigtigheden af tæt koordinering mellem EU og Det Forenede Kongerige om en eventuel medtagelse af affaldssektoren i EU's emissionshandelssystem (EU ETS) for at sikre reguleringsmæssig tilpasning, forebygge kulstoflækage og opretholde en fair konkurrence på tværs af grænserne; </w:t>
      </w:r>
    </w:p>
    <w:p w14:paraId="6F8A0DFA" w14:textId="77777777" w:rsidR="00C16740" w:rsidRPr="007D1F16" w:rsidRDefault="00C16740" w:rsidP="00C16740">
      <w:pPr>
        <w:pStyle w:val="NormalHanging12a"/>
        <w:rPr>
          <w:iCs/>
        </w:rPr>
      </w:pPr>
      <w:r w:rsidRPr="007D1F16">
        <w:t>94.</w:t>
      </w:r>
      <w:r w:rsidRPr="007D1F16">
        <w:tab/>
        <w:t xml:space="preserve">erkender, at industrielle aktiviteter til havs og projekter i stor skala inden for vedvarende energi såsom havvindmølleparker kan være i strid med bevaringsmålene for Natura 2000-områder og fredede havområder og potentielt kan have negative konsekvenser for havbunden og fiskebanker; understreger, at der er behov for en omhyggelig afvejning mellem miljømål, bæredygtigt fiskeri og produktion af vedvarende energi; </w:t>
      </w:r>
    </w:p>
    <w:p w14:paraId="1E472B88" w14:textId="77777777" w:rsidR="00C16740" w:rsidRPr="007D1F16" w:rsidRDefault="00C16740" w:rsidP="00C16740">
      <w:pPr>
        <w:pStyle w:val="NormalHanging12a"/>
        <w:rPr>
          <w:i/>
        </w:rPr>
      </w:pPr>
      <w:r w:rsidRPr="007D1F16">
        <w:t>95.</w:t>
      </w:r>
      <w:r w:rsidRPr="007D1F16">
        <w:tab/>
        <w:t>bemærker, at biodiversitets- og klimarelaterede ordninger er ved at blive indfaset i Det Forenede Kongerige og vil erstatte direkte støtte til landbrugere; opfordrer til drøftelser mellem EU og Det Forenede Kongerige om bæredygtige landbrugsmetoder, der fremmer biodiversitet og afbødning af klimaforandringerne og sikrer fødevaresikkerhed og stabilitet i forsyningskæderne;</w:t>
      </w:r>
      <w:r w:rsidRPr="007D1F16">
        <w:rPr>
          <w:i/>
        </w:rPr>
        <w:t xml:space="preserve"> </w:t>
      </w:r>
    </w:p>
    <w:p w14:paraId="2B5DAFB0" w14:textId="77777777" w:rsidR="00C16740" w:rsidRPr="007D1F16" w:rsidRDefault="00C16740" w:rsidP="00C16740">
      <w:pPr>
        <w:pStyle w:val="NormalHanging12a"/>
        <w:rPr>
          <w:i/>
          <w:iCs/>
        </w:rPr>
      </w:pPr>
      <w:r w:rsidRPr="007D1F16">
        <w:rPr>
          <w:b/>
          <w:i/>
        </w:rPr>
        <w:t xml:space="preserve">Klima </w:t>
      </w:r>
    </w:p>
    <w:p w14:paraId="4429BE04" w14:textId="77777777" w:rsidR="00C16740" w:rsidRPr="007D1F16" w:rsidRDefault="00C16740" w:rsidP="00C16740">
      <w:pPr>
        <w:pStyle w:val="NormalHanging12a"/>
      </w:pPr>
      <w:r w:rsidRPr="007D1F16">
        <w:t>96.</w:t>
      </w:r>
      <w:r w:rsidRPr="007D1F16">
        <w:tab/>
        <w:t xml:space="preserve">bemærker, at EU og Det Forenede Kongerige deler fælles ambitioner med hensyn til afbødning af klimaforandringerne; efterlyser bedre indbyrdes tilpasning af klimapolitikkerne for at skabe sammenhæng og undgå modstridende eller overlappende foranstaltninger, som risikerer at undergrave effektiviteten af klimaindsatsen; tilskynder til udveksling af bedste praksis om klimatilpasning og ‑beredskab, navnlig med hensyn til de sundhedsmæssige konsekvenser af stigende temperaturer for sårbare grupper såsom lavindkomstsamfund; </w:t>
      </w:r>
    </w:p>
    <w:p w14:paraId="106B7972" w14:textId="77777777" w:rsidR="00C16740" w:rsidRPr="007D1F16" w:rsidRDefault="00C16740" w:rsidP="00C16740">
      <w:pPr>
        <w:pStyle w:val="NormalHanging12a"/>
      </w:pPr>
      <w:r w:rsidRPr="007D1F16">
        <w:t>97.</w:t>
      </w:r>
      <w:r w:rsidRPr="007D1F16">
        <w:tab/>
        <w:t xml:space="preserve">noterer sig det fælles mål, der er fastsat i den fælles forståelse af 19. maj 2025, om at </w:t>
      </w:r>
      <w:r w:rsidRPr="007D1F16">
        <w:lastRenderedPageBreak/>
        <w:t>indgå en formel CO</w:t>
      </w:r>
      <w:r w:rsidRPr="007D1F16">
        <w:rPr>
          <w:vertAlign w:val="subscript"/>
        </w:rPr>
        <w:t>2</w:t>
      </w:r>
      <w:r w:rsidRPr="007D1F16">
        <w:t>-markedsaftale mellem EU og Det Forenede Kongerige, som sammenkobler Det Forenede Kongeriges og EU's emissionshandelssystemer; opfordrer indtrængende begge parter til hurtigt at nå frem til en afslutning for at undgå dobbelte CO</w:t>
      </w:r>
      <w:r w:rsidRPr="007D1F16">
        <w:rPr>
          <w:vertAlign w:val="subscript"/>
        </w:rPr>
        <w:t>2</w:t>
      </w:r>
      <w:r w:rsidRPr="007D1F16">
        <w:t xml:space="preserve">-omkostninger for virksomhederne; gentager Kommissionens og Det Forenede Kongeriges fælles standpunkt om, at en sådan aftale tydeligt og konsekvent skal være tilpasset reglerne og principperne i Windsorrammen; </w:t>
      </w:r>
    </w:p>
    <w:p w14:paraId="061EC3AA" w14:textId="77777777" w:rsidR="00C16740" w:rsidRPr="007D1F16" w:rsidRDefault="00C16740" w:rsidP="00C16740">
      <w:pPr>
        <w:pStyle w:val="NormalHanging12a"/>
      </w:pPr>
      <w:r w:rsidRPr="007D1F16">
        <w:t>98.</w:t>
      </w:r>
      <w:r w:rsidRPr="007D1F16">
        <w:tab/>
        <w:t xml:space="preserve">bemærker, at uden rettidig gensidig tilpasning af Det Forenede Kongeriges og EU's emissionshandelssystemer vil Det Forenede Kongeriges eksport til EU fra januar 2026 være omfattet af CBAM; minder om EU's og Det Forenede Kongeriges tilsagn om at skabe forudsætninger for, at varer med oprindelse i deres respektive jurisdiktioner kan blive omfattet af gensidige undtagelser fra deres respektive CBAM-ordninger; understreger, at disse undtagelser bør træde i kraft så hurtigt som juridisk muligt for at undgå handelsforstyrrelser; </w:t>
      </w:r>
    </w:p>
    <w:p w14:paraId="6544FB8A" w14:textId="77777777" w:rsidR="00C16740" w:rsidRPr="007D1F16" w:rsidRDefault="00C16740" w:rsidP="00C16740">
      <w:pPr>
        <w:pStyle w:val="NormalHanging12a"/>
      </w:pPr>
      <w:r w:rsidRPr="007D1F16">
        <w:t>99.</w:t>
      </w:r>
      <w:r w:rsidRPr="007D1F16">
        <w:tab/>
        <w:t>fremhæver behovet for at styrke det bilaterale partnerskab mellem EU og Det Forenede Kongerige for at øge samarbejdet om udvikling af vedvarende energi, energisikkerhed og modstandsdygtighed i forsyningskæderne; efterlyser en stærkere dialog mellem EU og Det Forenede Kongerige og fælles forskning i kulstofneutral energi for at håndtere fælles udfordringer og fremme innovation inden for nedbringelse af CO</w:t>
      </w:r>
      <w:r w:rsidRPr="007D1F16">
        <w:rPr>
          <w:vertAlign w:val="subscript"/>
        </w:rPr>
        <w:t>2</w:t>
      </w:r>
      <w:r w:rsidRPr="007D1F16">
        <w:t xml:space="preserve">-emissionerne; </w:t>
      </w:r>
    </w:p>
    <w:p w14:paraId="2272D279" w14:textId="77777777" w:rsidR="00C16740" w:rsidRPr="007D1F16" w:rsidRDefault="00C16740" w:rsidP="00C16740">
      <w:pPr>
        <w:pStyle w:val="NormalHanging12a"/>
      </w:pPr>
      <w:r w:rsidRPr="007D1F16">
        <w:t>100.</w:t>
      </w:r>
      <w:r w:rsidRPr="007D1F16">
        <w:tab/>
        <w:t>noterer sig EU's og Det Forenede Kongeriges intention om at fortsætte de tekniske reguleringsmæssige drøftelser om nye energiteknologier, herunder CO</w:t>
      </w:r>
      <w:r w:rsidRPr="007D1F16">
        <w:rPr>
          <w:vertAlign w:val="subscript"/>
        </w:rPr>
        <w:t>2</w:t>
      </w:r>
      <w:r w:rsidRPr="007D1F16">
        <w:t xml:space="preserve">-opsamling, </w:t>
      </w:r>
      <w:r w:rsidRPr="007D1F16">
        <w:noBreakHyphen/>
        <w:t>anvendelse og -lagring samt brint og biomethan, som skitseret i den fælles forståelse af 19. maj 2025; tilskynder til samarbejde mellem EU og Det Forenede Kongerige for at forbedre SMV'ers adgang til grønne teknologier og klimarobust infrastruktur, så det sikres, at små virksomheder reelt kan bidrage til og drage fordel af grønne teknologier;</w:t>
      </w:r>
    </w:p>
    <w:p w14:paraId="2A0130AB" w14:textId="77777777" w:rsidR="00C16740" w:rsidRPr="007D1F16" w:rsidRDefault="00C16740" w:rsidP="00C16740">
      <w:pPr>
        <w:pStyle w:val="NormalHanging12a"/>
        <w:rPr>
          <w:b/>
          <w:i/>
        </w:rPr>
      </w:pPr>
      <w:r w:rsidRPr="007D1F16">
        <w:rPr>
          <w:b/>
          <w:i/>
        </w:rPr>
        <w:t>Fødevaresikkerhed</w:t>
      </w:r>
    </w:p>
    <w:p w14:paraId="0AB4D941" w14:textId="77777777" w:rsidR="00C16740" w:rsidRPr="007D1F16" w:rsidRDefault="00C16740" w:rsidP="00C16740">
      <w:pPr>
        <w:pStyle w:val="NormalHanging12a"/>
        <w:rPr>
          <w:i/>
        </w:rPr>
      </w:pPr>
      <w:bookmarkStart w:id="20" w:name="_Hlk213251237"/>
      <w:r w:rsidRPr="007D1F16">
        <w:t>101.</w:t>
      </w:r>
      <w:r w:rsidRPr="007D1F16">
        <w:tab/>
        <w:t>glæder sig over hensigten om at arbejde hen imod en omfattende SPS-aftale mellem EU og Det Forenede Kongerige og understreger, at en sådan aftale skal opretholde et højt niveau af fødevaresikkerhed, dyrevelfærd samt forbruger- og miljøbeskyttelse; fremhæver behovet for at koordinere maksimalgrænseværdierne for pesticidrester for at beskytte menneskers sundhed og lette handelen med landbrugsfødevarer; fremhæver, at det er vigtigt at indgå en veterinæraftale for at sikre dyresundhed, forebygge udbrud af zoonotiske sygdomme og bekæmpe antimikrobiel resistens, navnlig i lyset af den senere tids udbrud og de deraf følgende handelsrestriktioner;</w:t>
      </w:r>
    </w:p>
    <w:bookmarkEnd w:id="20"/>
    <w:p w14:paraId="56FF50E1" w14:textId="77777777" w:rsidR="00C16740" w:rsidRPr="007D1F16" w:rsidRDefault="00C16740" w:rsidP="00C16740">
      <w:pPr>
        <w:pStyle w:val="NormalHanging12a"/>
        <w:rPr>
          <w:bCs/>
          <w:iCs/>
        </w:rPr>
      </w:pPr>
      <w:r w:rsidRPr="007D1F16">
        <w:t>102.</w:t>
      </w:r>
      <w:r w:rsidRPr="007D1F16">
        <w:tab/>
        <w:t xml:space="preserve">bemærker, at EU og Det Forenede Kongerige har forskellige grænseværdier og restriktioner for per- og polyfluoralkylstoffer (PFAS); opfordrer til et tættere samarbejde mellem Den Europæiske Fødevaresikkerhedsautoritet (EFSA), Det Europæiske Kemikalieagentur (ECHA) og Det Forenede Kongeriges kompetente myndigheder om PFAS-overvågning og </w:t>
      </w:r>
      <w:r w:rsidRPr="007D1F16">
        <w:noBreakHyphen/>
        <w:t xml:space="preserve">risikovurdering; anbefaler, at den videnskabelige dialog mellem EU og Det Forenede Kongerige om grænseværdierne i fødevarer og foder styrkes for at beskytte folkesundheden og samtidig opretholde høje standarder for fødevaresikkerhed; </w:t>
      </w:r>
    </w:p>
    <w:p w14:paraId="1BCE9F68" w14:textId="77777777" w:rsidR="00C16740" w:rsidRPr="007D1F16" w:rsidRDefault="00C16740" w:rsidP="00C16740">
      <w:pPr>
        <w:pStyle w:val="NormalHanging12a"/>
        <w:rPr>
          <w:bCs/>
          <w:iCs/>
        </w:rPr>
      </w:pPr>
      <w:r w:rsidRPr="007D1F16">
        <w:t>103.</w:t>
      </w:r>
      <w:r w:rsidRPr="007D1F16">
        <w:tab/>
        <w:t xml:space="preserve">noterer sig "Genetic Technology (Precision Breeding) Act" (loven om genteknologi (præcisionsavl)), som trådte i kraft i England den 23. marts 2023, og som reviderer </w:t>
      </w:r>
      <w:r w:rsidRPr="007D1F16">
        <w:lastRenderedPageBreak/>
        <w:t xml:space="preserve">reglerne for udsætning, markedsføring og risikovurdering af planter og dyr, der er udviklet gennem genmodificering og præcisionsavl; giver udtryk for bekymring over usikkerheden som følge af de reguleringsmæssige forskelle med hensyn til sådanne produkters retlige status og bevægelighed mellem Nordirland og EU; understreger, at det er nødvendigt at forhindre ukorrekt mærkede produkter i at komme ind i EU's fødevarekæde; </w:t>
      </w:r>
    </w:p>
    <w:p w14:paraId="60C62030" w14:textId="77777777" w:rsidR="00C16740" w:rsidRPr="007D1F16" w:rsidRDefault="00C16740" w:rsidP="00C16740">
      <w:pPr>
        <w:pStyle w:val="NormalHanging12a"/>
        <w:rPr>
          <w:b/>
          <w:i/>
        </w:rPr>
      </w:pPr>
      <w:r w:rsidRPr="007D1F16">
        <w:rPr>
          <w:b/>
          <w:i/>
        </w:rPr>
        <w:t>Folkesundhed</w:t>
      </w:r>
    </w:p>
    <w:p w14:paraId="2BCDAF40" w14:textId="77777777" w:rsidR="00C16740" w:rsidRPr="007D1F16" w:rsidRDefault="00C16740" w:rsidP="00C16740">
      <w:pPr>
        <w:pStyle w:val="NormalHanging12a"/>
        <w:rPr>
          <w:i/>
          <w:iCs/>
        </w:rPr>
      </w:pPr>
      <w:r w:rsidRPr="007D1F16">
        <w:rPr>
          <w:i/>
        </w:rPr>
        <w:t xml:space="preserve">Lovgivingsmæssige forskelle </w:t>
      </w:r>
    </w:p>
    <w:p w14:paraId="0CC8ED9D" w14:textId="77777777" w:rsidR="00C16740" w:rsidRPr="007D1F16" w:rsidRDefault="00C16740" w:rsidP="00C16740">
      <w:pPr>
        <w:pStyle w:val="NormalHanging12a"/>
        <w:rPr>
          <w:i/>
        </w:rPr>
      </w:pPr>
      <w:r w:rsidRPr="007D1F16">
        <w:t>104.</w:t>
      </w:r>
      <w:r w:rsidRPr="007D1F16">
        <w:tab/>
        <w:t>minder om, at Det Forenede Kongeriges udtræden af EU markerede et grundlæggende skift i det fælles lovgivningsmæssige landskab, der tidligere understøttede samarbejdet om folkesundhed, lægemidler og medicinsk forskning; udtrykker endvidere bekymring over den usikkerhed, der er skabt af Det Forenede Kongeriges "Retained EU Law (Revocation and Reform) Act" (lov om bibeholdt EU-ret (tilbagekaldelse og reform)), som afskaffer EU-rettens forrang og kan føre til divergerende fortolkninger af sundhedsbestemmelser;</w:t>
      </w:r>
    </w:p>
    <w:p w14:paraId="13505ED4" w14:textId="77777777" w:rsidR="00C16740" w:rsidRPr="007D1F16" w:rsidRDefault="00C16740" w:rsidP="00C16740">
      <w:pPr>
        <w:pStyle w:val="NormalHanging12a"/>
        <w:rPr>
          <w:bCs/>
          <w:iCs/>
        </w:rPr>
      </w:pPr>
      <w:r w:rsidRPr="007D1F16">
        <w:t>105.</w:t>
      </w:r>
      <w:r w:rsidRPr="007D1F16">
        <w:tab/>
        <w:t xml:space="preserve">minder om, at Det Forenede Kongeriges reguleringsmyndighed for lægemidler og sundhedsprodukter (MHRA) nu uafhængigt godkender lægemidler i Det Forenede Kongerige, hvilket potentielt kan føre til forskelle i godkendelsesfrister, godkendelseskriterier og overvågning efter markedsføring; understreger, at det er nødvendigt at overvåge virkningen af sådanne forskelle på patienternes adgang og sikkerhed på tværs af grænserne, og opfordrer til en struktureret EU-overvågning for at vurdere og reagere på sådanne forskelle; </w:t>
      </w:r>
    </w:p>
    <w:p w14:paraId="0D52A6BD" w14:textId="77777777" w:rsidR="00C16740" w:rsidRPr="007D1F16" w:rsidRDefault="00C16740" w:rsidP="00C16740">
      <w:pPr>
        <w:pStyle w:val="NormalHanging12a"/>
        <w:rPr>
          <w:bCs/>
          <w:iCs/>
        </w:rPr>
      </w:pPr>
      <w:r w:rsidRPr="007D1F16">
        <w:t>106.</w:t>
      </w:r>
      <w:r w:rsidRPr="007D1F16">
        <w:tab/>
        <w:t xml:space="preserve"> bifalder aftalen om gensidig udveksling af oplysninger mellem EU's Narkotikaagentur og Det Forenede Kongeriges myndigheder vedrørende risici og trusler forbundet med narkotika; opfordrer i den forbindelse til, at der hurtigst muligt indgås en operativ aftale mellem EU-agenturet og de relevante myndigheder i Det Forenede Kongerige;   </w:t>
      </w:r>
    </w:p>
    <w:p w14:paraId="36D34B38" w14:textId="77777777" w:rsidR="00C16740" w:rsidRPr="007D1F16" w:rsidRDefault="00C16740" w:rsidP="00C16740">
      <w:pPr>
        <w:pStyle w:val="NormalHanging12a"/>
        <w:rPr>
          <w:bCs/>
          <w:iCs/>
        </w:rPr>
      </w:pPr>
      <w:r w:rsidRPr="007D1F16">
        <w:t>107.</w:t>
      </w:r>
      <w:r w:rsidRPr="007D1F16">
        <w:tab/>
        <w:t xml:space="preserve">beklager Det Forenede Kongeriges og EU's forskellige tilgange til regulering af AI på sundhedsområdet, da forskellige tilgange kan risikere at undergrave grænseoverskridende interoperabilitet og samarbejde inden for digitale medicinske tjenester; opfordrer til en struktureret dialog for at undersøge konvergensen i standarder og overholdelsesmekanismer for digitalt medicinsk udstyr og AI-drevet diagnostik; </w:t>
      </w:r>
    </w:p>
    <w:p w14:paraId="62F983C6" w14:textId="77777777" w:rsidR="00C16740" w:rsidRPr="007D1F16" w:rsidRDefault="00C16740" w:rsidP="00C16740">
      <w:pPr>
        <w:pStyle w:val="NormalHanging12a"/>
        <w:rPr>
          <w:b/>
          <w:bCs/>
          <w:i/>
          <w:iCs/>
        </w:rPr>
      </w:pPr>
      <w:r w:rsidRPr="007D1F16">
        <w:rPr>
          <w:b/>
          <w:i/>
        </w:rPr>
        <w:t xml:space="preserve">Samarbejde på sundhedsområdet </w:t>
      </w:r>
    </w:p>
    <w:p w14:paraId="19413A5E" w14:textId="77777777" w:rsidR="00C16740" w:rsidRPr="007D1F16" w:rsidRDefault="00C16740" w:rsidP="00C16740">
      <w:pPr>
        <w:pStyle w:val="NormalHanging12a"/>
        <w:rPr>
          <w:bCs/>
          <w:iCs/>
        </w:rPr>
      </w:pPr>
      <w:r w:rsidRPr="007D1F16">
        <w:t>108.</w:t>
      </w:r>
      <w:r w:rsidRPr="007D1F16">
        <w:tab/>
        <w:t xml:space="preserve">understreger, at det er nødvendigt at forbedre samarbejdet for at beskytte alle aspekter af folkesundheden og gøre det muligt for patienter at få adgang til sundhedspleje, når det er klinisk begrundet; anbefaler, at dette samarbejde prioriterer behandlinger af sjældne og pædiatriske sygdomme og komplekse behandlinger, hvor der er ekspertise til rådighed hos en af parterne; anerkender i den forbindelse de europæiske referencenetværks succes og yderligere potentiale og opfordrer til, at der etableres en ramme for samarbejde med de respektive britiske referencenetværk; opfordrer til, at regulerings- og forskningssamarbejdet mellem EU og Det Forenede Kongerige på folkesundhedsområdet optrappes; støtter et sådant samarbejde gennem Det Forenede Kongeriges deltagelse i sundhedsklyngen inden for Horisont Europa-programmet og eventuel fremtidig inddragelse i HERA-relaterede initiativer; </w:t>
      </w:r>
    </w:p>
    <w:p w14:paraId="7668F027" w14:textId="77777777" w:rsidR="00C16740" w:rsidRPr="007D1F16" w:rsidRDefault="00C16740" w:rsidP="00C16740">
      <w:pPr>
        <w:pStyle w:val="NormalHanging12a"/>
        <w:rPr>
          <w:bCs/>
          <w:iCs/>
        </w:rPr>
      </w:pPr>
      <w:r w:rsidRPr="007D1F16">
        <w:lastRenderedPageBreak/>
        <w:t>109.</w:t>
      </w:r>
      <w:r w:rsidRPr="007D1F16">
        <w:tab/>
        <w:t xml:space="preserve">bemærker, at brexitrelaterede lovgivningsmæssige forskelle og øgede importomkostninger i betydelig grad har hindret britiske patienters adgang til livreddende kræftbehandlinger; fremhæver, at omkostningerne ved import af nye kræftlægemidler næsten er firedoblet efter brexit; understreger, at disse hindringer har ført til forsinkelser og afslag på kritiske behandlinger, hvilket har en negativ indvirkning på patienternes resultater, herunder hos børn med tilbagevendende kræft; anbefaler Det Forenede Kongerige at gøre noget ved disse udfordringer for at sikre lige adgang til livsvigtige lægemidler; </w:t>
      </w:r>
    </w:p>
    <w:p w14:paraId="32D1F75D" w14:textId="77777777" w:rsidR="00C16740" w:rsidRPr="007D1F16" w:rsidRDefault="00C16740" w:rsidP="00C16740">
      <w:pPr>
        <w:pStyle w:val="NormalHanging12a"/>
        <w:rPr>
          <w:bCs/>
          <w:iCs/>
        </w:rPr>
      </w:pPr>
      <w:r w:rsidRPr="007D1F16">
        <w:t>110.</w:t>
      </w:r>
      <w:r w:rsidRPr="007D1F16">
        <w:tab/>
        <w:t xml:space="preserve">fremhæver betydningen af at lette mobilitet, uddannelse og gensidig anerkendelse af sundhedsprofessionelles kvalifikationer og ophold mellem EU og Det Forenede Kongerige for at afhjælpe manglen på arbejdskraft og fremme udvekslingen af bedste praksis og ekspertise; fremhæver den strategiske mulighed for at styrke samarbejdet mellem EU og Det Forenede Kongerige om at tiltrække og fastholde talenter i verdensklasse og fremme videnskabelig ekspertise; glæder sig over EU's initiativer med henblik på at gøre Europa til et globalt forskningsknudepunkt, herunder støtte til flytning af forskere og forbedring af karrieremulighederne; tilskynder til udvikling af fælles programmer og mobilitetsordninger mellem EU og Det Forenede Kongerige for at støtte både sundhedspersonale og forskere og sikre, at Europa forbliver førende inden for medicinsk innovation og videnskabelig frihed; </w:t>
      </w:r>
    </w:p>
    <w:p w14:paraId="3C0B738B" w14:textId="77777777" w:rsidR="00C16740" w:rsidRPr="007D1F16" w:rsidRDefault="00C16740" w:rsidP="00C16740">
      <w:pPr>
        <w:pStyle w:val="NormalHanging12a"/>
        <w:rPr>
          <w:bCs/>
          <w:iCs/>
        </w:rPr>
      </w:pPr>
      <w:r w:rsidRPr="007D1F16">
        <w:t>111.</w:t>
      </w:r>
      <w:r w:rsidRPr="007D1F16">
        <w:tab/>
        <w:t>bemærker, at selv om handels- og samarbejdsaftalen mellem EU og Det Forenede Kongerige indeholder en protokol om koordinering af de sociale sikringsordninger, som bevarer mekanismer for gensidig sundhedspleje såsom det europæiske sygesikringskort, så blev der ved udløbet af Det Forenede Kongeriges deltagelse i direktivet om grænseoverskridende sundhedsydelser</w:t>
      </w:r>
      <w:r w:rsidRPr="007D1F16">
        <w:rPr>
          <w:rStyle w:val="FootnoteReference"/>
          <w:bCs/>
          <w:iCs/>
        </w:rPr>
        <w:footnoteReference w:id="38"/>
      </w:r>
      <w:r w:rsidRPr="007D1F16">
        <w:t xml:space="preserve"> ikke fulgt op med en tilsvarende ordning; konstaterer, at dette har haft en uensartet indvirkning, navnlig i Nordirland, hvor over 1 000 patienter om året tidligere modtog behandling i EU i henhold til direktivet; </w:t>
      </w:r>
    </w:p>
    <w:p w14:paraId="1E5C5D49" w14:textId="77777777" w:rsidR="00C16740" w:rsidRPr="007D1F16" w:rsidRDefault="00C16740" w:rsidP="00C16740">
      <w:pPr>
        <w:pStyle w:val="NormalHanging12a"/>
        <w:rPr>
          <w:bCs/>
          <w:iCs/>
        </w:rPr>
      </w:pPr>
      <w:r w:rsidRPr="007D1F16">
        <w:t>112.</w:t>
      </w:r>
      <w:r w:rsidRPr="007D1F16">
        <w:tab/>
        <w:t xml:space="preserve">anbefaler, at der nedsættes en særlig arbejdsgruppe mellem EU og Det Forenede Kongerige om lægemidler og medicinsk udstyr for at lette den løbende dialog, adressere lovgivningsmæssige forskelle og fremme tilpasning inden for områder som kliniske forsøg, lægemiddelovervågning, certificering af medicinsk udstyr og ulovlig handel med sundhedsrelaterede produkter; </w:t>
      </w:r>
    </w:p>
    <w:p w14:paraId="58737F6D" w14:textId="77777777" w:rsidR="00C16740" w:rsidRPr="007D1F16" w:rsidRDefault="00C16740" w:rsidP="00C16740">
      <w:pPr>
        <w:pStyle w:val="NormalHanging12a"/>
        <w:rPr>
          <w:bCs/>
          <w:iCs/>
        </w:rPr>
      </w:pPr>
      <w:r w:rsidRPr="007D1F16">
        <w:t>113.</w:t>
      </w:r>
      <w:r w:rsidRPr="007D1F16">
        <w:tab/>
        <w:t xml:space="preserve">erkender de begrænsede bestemmelser i handels- og samarbejdsaftalen om samarbejde om sundhedssikkerhed og beklager, at Det Forenede Kongerige ikke længere deltager i EU's Udvalg for Sundhedssikkerhed eller Det Europæiske Center for Forebyggelse af og Kontrol med Sygdomme (ECDC); advarer om, at dette begrænser kapaciteten til tidlig varsling og koordinerede reaktioner på grænseoverskridende sundhedstrusler såsom pandemier og antimikrobiel resistens; anbefaler, at der etableres en formel og regelmæssig dialog mellem EU's og Det Forenede Kongeriges offentlige sundhedsmyndigheder og offentlige sundhedsinstitutioner for at styrke tilliden og kapaciteten inden for kriseberedskab, pandemiindsats og grænseoverskridende epidemiologisk overvågning; </w:t>
      </w:r>
    </w:p>
    <w:p w14:paraId="61EC647E" w14:textId="77777777" w:rsidR="00C16740" w:rsidRPr="007D1F16" w:rsidRDefault="00C16740" w:rsidP="00C16740">
      <w:pPr>
        <w:pStyle w:val="NormalHanging12a"/>
        <w:rPr>
          <w:bCs/>
          <w:iCs/>
        </w:rPr>
      </w:pPr>
      <w:r w:rsidRPr="007D1F16">
        <w:t>114.</w:t>
      </w:r>
      <w:r w:rsidRPr="007D1F16">
        <w:tab/>
        <w:t xml:space="preserve">glæder sig over den nylige vedtagelse af en fælles forståelse om en ny dagsorden for </w:t>
      </w:r>
      <w:r w:rsidRPr="007D1F16">
        <w:lastRenderedPageBreak/>
        <w:t xml:space="preserve">samarbejdet mellem EU og Det Forenede Kongerige, på grundlag af hvilken Kommissionen og Det Forenede Kongerige vil undersøge potentialet til at muliggøre udveksling og samarbejde om sundhedssikkerhed, herunder påvisning af, beredskab over for og reaktion på nye sundhedstrusler, for at forebygge og afbøde fremtidige pandemier og sundhedskriser, bl.a. inden for rammerne af handels- og samarbejdsaftalens bestemmelser om sundhedssikkerhed, for at maksimere samarbejdet om sundhedssikkerhed; </w:t>
      </w:r>
    </w:p>
    <w:p w14:paraId="44D82531" w14:textId="77777777" w:rsidR="00C16740" w:rsidRPr="007D1F16" w:rsidRDefault="00C16740" w:rsidP="00C16740">
      <w:pPr>
        <w:pStyle w:val="NormalHanging12a"/>
        <w:rPr>
          <w:bCs/>
          <w:iCs/>
        </w:rPr>
      </w:pPr>
      <w:r w:rsidRPr="007D1F16">
        <w:t>115.</w:t>
      </w:r>
      <w:r w:rsidRPr="007D1F16">
        <w:tab/>
        <w:t xml:space="preserve">opfordrer indtrængende Kommissionen til i overensstemmelse med bestemmelserne i handels- og samarbejdsaftalen at suspendere samarbejdet i tilfælde, hvor Det Forenede Kongeriges reguleringsmæssige standarder for lægemiddelkvalitet, lægemiddelovervågning eller fremstilling ikke længere anses for at svare til EU's standarder som beskrevet i direktiv 2001/83/EF; </w:t>
      </w:r>
    </w:p>
    <w:p w14:paraId="3317A676" w14:textId="77777777" w:rsidR="00C16740" w:rsidRPr="007D1F16" w:rsidRDefault="00C16740" w:rsidP="00C16740">
      <w:pPr>
        <w:pStyle w:val="NormalHanging12a"/>
        <w:rPr>
          <w:bCs/>
          <w:iCs/>
        </w:rPr>
      </w:pPr>
      <w:r w:rsidRPr="007D1F16">
        <w:t>116.</w:t>
      </w:r>
      <w:r w:rsidRPr="007D1F16">
        <w:tab/>
        <w:t xml:space="preserve">påpeger den uløste situation med hensyn til lejeaftalen for Det Europæiske Lægemiddelagenturs tidligere lokaler efter dets flytning til Amsterdam og opfordrer til, at problemet tages op med Det Forenede Kongerige; </w:t>
      </w:r>
    </w:p>
    <w:p w14:paraId="2D59D8A8" w14:textId="77777777" w:rsidR="00C16740" w:rsidRPr="007D1F16" w:rsidRDefault="00C16740" w:rsidP="00C16740">
      <w:pPr>
        <w:pStyle w:val="NormalHanging12a"/>
        <w:rPr>
          <w:i/>
          <w:iCs/>
        </w:rPr>
      </w:pPr>
      <w:r w:rsidRPr="007D1F16">
        <w:rPr>
          <w:i/>
        </w:rPr>
        <w:t>Forsyningskæder</w:t>
      </w:r>
    </w:p>
    <w:p w14:paraId="6AD96C10" w14:textId="77777777" w:rsidR="00C16740" w:rsidRPr="007D1F16" w:rsidRDefault="00C16740" w:rsidP="00C16740">
      <w:pPr>
        <w:pStyle w:val="NormalHanging12a"/>
      </w:pPr>
      <w:r w:rsidRPr="007D1F16">
        <w:t>117.</w:t>
      </w:r>
      <w:r w:rsidRPr="007D1F16">
        <w:tab/>
        <w:t xml:space="preserve">fremhæver den øgede kompleksitet i de grænseoverskridende forsyningskæder for lægemidler efter brexit, navnlig for produkter, der tidligere har bevæget sig frit mellem EU og Det Forenede Kongerige; beklager, at toldkontrol og reguleringsprocesser har forårsaget forsinkelser, mangler og øgede omkostninger, hvilket har påvirket tilgængeligheden af lægemidler i Det Forenede Kongerige, navnlig i Nordirland, og i mindre EU-medlemsstater, der historisk set har været afhængige af forsyningskæder med base i Det Forenede Kongerige, såsom Malta, Cypern og Irland; </w:t>
      </w:r>
    </w:p>
    <w:p w14:paraId="32138325" w14:textId="77777777" w:rsidR="00C16740" w:rsidRPr="007D1F16" w:rsidRDefault="00C16740" w:rsidP="00C16740">
      <w:pPr>
        <w:pStyle w:val="NormalHanging12a"/>
      </w:pPr>
      <w:r w:rsidRPr="007D1F16">
        <w:t>118.</w:t>
      </w:r>
      <w:r w:rsidRPr="007D1F16">
        <w:tab/>
        <w:t>understreger, at den mulige forlængelse af undtagelserne fra visse forpligtelser vedrørende visse humanmedicinske lægemidler, der stilles til rådighed i Det Forenede Kongerige for så vidt angår Nordirland samt i Cypern, Irland og Malta som fastsat i Europa-Parlamentets og Rådets direktiv (EU) 2022/642</w:t>
      </w:r>
      <w:r w:rsidRPr="007D1F16">
        <w:rPr>
          <w:rStyle w:val="FootnoteReference"/>
        </w:rPr>
        <w:footnoteReference w:id="39"/>
      </w:r>
      <w:r w:rsidRPr="007D1F16">
        <w:t xml:space="preserve"> om ændring af direktiv 2001/20/EF og 2001/83/EF, skal være baseret på dokumentation for, at de fortsat er nødvendige, og at der er risiko for, at patienterne lider skade i de berørte medlemsstater, og ikke må ske på grundlag af administrativ bekvemmelighed; </w:t>
      </w:r>
    </w:p>
    <w:p w14:paraId="319AFA7C" w14:textId="77777777" w:rsidR="00C16740" w:rsidRPr="007D1F16" w:rsidRDefault="00C16740" w:rsidP="00C16740">
      <w:pPr>
        <w:pStyle w:val="NormalHanging12a"/>
      </w:pPr>
      <w:r w:rsidRPr="007D1F16">
        <w:t>119.</w:t>
      </w:r>
      <w:r w:rsidRPr="007D1F16">
        <w:tab/>
        <w:t xml:space="preserve">opfordrer indtrængende EU og Det Forenede Kongerige til at undersøge mulighederne for samarbejdsmekanismer såsom en aftale om gensidig anerkendelse af god fremstillingspraksis baseret på ens standarder for at sikre fortsat adgang til navnlig kritiske lægemidler, modvirke mangler og fjerne hindringer i forbindelse med batchtestning, datadeling inden for lægemiddelovervågning og forsyningslogistik for at minimere forstyrrelser i patientplejen og sikre patientsikkerheden; </w:t>
      </w:r>
    </w:p>
    <w:p w14:paraId="21882AEF" w14:textId="77777777" w:rsidR="00C16740" w:rsidRPr="007D1F16" w:rsidRDefault="00C16740" w:rsidP="00C16740">
      <w:pPr>
        <w:pStyle w:val="NormalHanging12a"/>
      </w:pPr>
      <w:r w:rsidRPr="007D1F16">
        <w:rPr>
          <w:i/>
        </w:rPr>
        <w:t>Internationalt samarbejde og udvikling</w:t>
      </w:r>
    </w:p>
    <w:p w14:paraId="7FE3DC07" w14:textId="77777777" w:rsidR="00C16740" w:rsidRPr="007D1F16" w:rsidRDefault="00C16740" w:rsidP="00C16740">
      <w:pPr>
        <w:pStyle w:val="NormalHanging12a"/>
        <w:rPr>
          <w:bCs/>
          <w:iCs/>
        </w:rPr>
      </w:pPr>
      <w:r w:rsidRPr="007D1F16">
        <w:t>120.</w:t>
      </w:r>
      <w:r w:rsidRPr="007D1F16">
        <w:tab/>
        <w:t xml:space="preserve">understreger, at det er bydende nødvendigt for begge parter i fællesskab at styrke deres engagement i og samarbejde inden for global sundhedsforvaltning og internationale udviklingsprogrammer, herunder, men ikke begrænset til, Verdenssundhedsorganisationens; fremhæver betydningen af en koordineret indsats i </w:t>
      </w:r>
      <w:r w:rsidRPr="007D1F16">
        <w:lastRenderedPageBreak/>
        <w:t xml:space="preserve">den henseende for at muliggøre en stærkere, mere retfærdig og mere effektiv international reaktion på grænseoverskridende sundhedskriser; </w:t>
      </w:r>
    </w:p>
    <w:p w14:paraId="637CE423" w14:textId="77777777" w:rsidR="00C16740" w:rsidRPr="007D1F16" w:rsidRDefault="00C16740" w:rsidP="00C16740">
      <w:pPr>
        <w:pStyle w:val="NormalHanging12a"/>
        <w:rPr>
          <w:b/>
          <w:i/>
        </w:rPr>
      </w:pPr>
      <w:r w:rsidRPr="007D1F16">
        <w:rPr>
          <w:b/>
          <w:i/>
        </w:rPr>
        <w:t>Forbrugerbeskyttelse</w:t>
      </w:r>
    </w:p>
    <w:p w14:paraId="49490C9F" w14:textId="77777777" w:rsidR="00C16740" w:rsidRPr="007D1F16" w:rsidRDefault="00C16740" w:rsidP="00C16740">
      <w:pPr>
        <w:pStyle w:val="NormalHanging12a"/>
        <w:rPr>
          <w:i/>
        </w:rPr>
      </w:pPr>
      <w:r w:rsidRPr="007D1F16">
        <w:t>121.</w:t>
      </w:r>
      <w:r w:rsidRPr="007D1F16">
        <w:tab/>
        <w:t xml:space="preserve">understreger, at forbrugerne i EU og Det Forenede Kongerige er udsat for diverse risici som følge af usikre og ulovlige produkter og manipulerende salgsteknikker online; fremhæver i den forbindelse de dermed forbundne udfordringer som følge af e-handel, som forbrugerne er udsat for; mener, at et tættere samarbejde og udveksling af vigtige oplysninger mellem EU's og Det Forenede Kongeriges håndhævelsesorganer på forbrugerområdet er afgørende for at tackle disse udfordringer; </w:t>
      </w:r>
    </w:p>
    <w:p w14:paraId="12761DE9" w14:textId="77777777" w:rsidR="00C16740" w:rsidRPr="007D1F16" w:rsidRDefault="00C16740" w:rsidP="00C16740">
      <w:pPr>
        <w:pStyle w:val="NormalHanging12a"/>
        <w:rPr>
          <w:bCs/>
          <w:iCs/>
        </w:rPr>
      </w:pPr>
      <w:r w:rsidRPr="007D1F16">
        <w:t>122.</w:t>
      </w:r>
      <w:r w:rsidRPr="007D1F16">
        <w:tab/>
        <w:t xml:space="preserve">understreger, at samarbejdet mellem EU og Det Forenede Kongerige skal opretholde et højt forbrugerbeskyttelsesniveau med særligt fokus på produktsikkerhed, e-handel og grænseoverskridende digitale tjenester; opfordrer til øget samarbejde for at tackle tilstedeværelsen af usikre produkter og urimelig handelspraksis; understreger, at der er behov for reguleringsmæssig konvergens inden for produktsikkerhed og digitale forbrugerrettigheder for at sikre et konsekvent og højt forbrugerbeskyttelsesniveau og dermed støtte forbrugernes tillid til grænseoverskridende handel; kræver, at samarbejdet mellem EU og Det Forenede Kongerige forpligter de to parter til dialog og informationsudveksling på områder af fælles interesse, herunder produktsikkerhed, digitale forbrugerrettigheder og urimelig handelspraksis; fremhæver, at EU og Det Forenede Kongerige er nødt til at samarbejde for at forhindre reguleringsmæssige forskelle, der vil have en negativ indvirkning på forbrugernes tillid eller den grænseoverskridende handel; </w:t>
      </w:r>
    </w:p>
    <w:p w14:paraId="58662792" w14:textId="77777777" w:rsidR="00C16740" w:rsidRPr="007D1F16" w:rsidRDefault="00C16740" w:rsidP="00C16740">
      <w:pPr>
        <w:pStyle w:val="NormalHanging12a"/>
        <w:rPr>
          <w:bCs/>
          <w:iCs/>
        </w:rPr>
      </w:pPr>
      <w:r w:rsidRPr="007D1F16">
        <w:t>123.</w:t>
      </w:r>
      <w:r w:rsidRPr="007D1F16">
        <w:tab/>
        <w:t>beklager, at handels- og samarbejdsaftalen ikke omfatter en samarbejdsordning vedrørende håndhævelse af forbrugerbeskyttelseslovgivningen, og opfordrer Kommissionen til at undersøge muligheden for at etablere en ordning mellem EU's netværk for forbrugerbeskyttelsessamarbejde og Det Forenede Kongeriges konkurrence- og markedsmyndighed; understreger, at en sådan ordning vil gøre det muligt for myndighederne at gribe mere effektivt ind ved at udveksle oplysninger vedrørende undersøgelser og udforske mulighederne for fælles aktioner; fremhæver, at et sådant samarbejde bør overvejes i henhold til forbrugerbeskyttelsesforordningen</w:t>
      </w:r>
      <w:r w:rsidRPr="007D1F16">
        <w:rPr>
          <w:rStyle w:val="FootnoteReference"/>
          <w:bCs/>
          <w:iCs/>
        </w:rPr>
        <w:footnoteReference w:id="40"/>
      </w:r>
      <w:r w:rsidRPr="007D1F16">
        <w:t xml:space="preserve">, da den muliggør samarbejde med ikke-EU-lande om at beskytte forbrugernes interesser; glæder sig over aftalen om at genoptage drøftelserne om regelmæssig informationsudveksling mellem EU's Safety Gate-system og Det Forenede Kongeriges database over markedsovervågning og produktsikkerhed i overensstemmelse med handels- og samarbejdsaftalens artikel 96, stk. 4; </w:t>
      </w:r>
    </w:p>
    <w:p w14:paraId="6208E128" w14:textId="77777777" w:rsidR="00C16740" w:rsidRPr="007D1F16" w:rsidRDefault="00C16740" w:rsidP="00C16740">
      <w:pPr>
        <w:pStyle w:val="NormalHanging12a"/>
        <w:rPr>
          <w:bCs/>
          <w:iCs/>
        </w:rPr>
      </w:pPr>
      <w:r w:rsidRPr="007D1F16">
        <w:t>124.</w:t>
      </w:r>
      <w:r w:rsidRPr="007D1F16">
        <w:tab/>
        <w:t xml:space="preserve">opfordrer EU til at fremme Det Forenede Kongeriges tiltrædelse af Luganokonventionen for at muliggøre gensidig anerkendelse og fuldbyrdelse af retsafgørelser mellem Det Forenede Kongerige og medlemsstaterne; </w:t>
      </w:r>
    </w:p>
    <w:p w14:paraId="09B2A290" w14:textId="1B063143" w:rsidR="00C16740" w:rsidRPr="007D1F16" w:rsidRDefault="00C16740" w:rsidP="00C16740">
      <w:pPr>
        <w:pStyle w:val="NormalHanging12a"/>
        <w:rPr>
          <w:bCs/>
          <w:iCs/>
        </w:rPr>
      </w:pPr>
      <w:r w:rsidRPr="007D1F16">
        <w:t xml:space="preserve">125. </w:t>
      </w:r>
      <w:r w:rsidR="00307982">
        <w:tab/>
      </w:r>
      <w:r w:rsidRPr="007D1F16">
        <w:t xml:space="preserve">glæder sig over den administrative aftale, der blev undertegnet den 30. april 2024 mellem Europa-Kommissionen og Ofcom, Det Forenede Kongeriges tilsynsmyndighed </w:t>
      </w:r>
      <w:r w:rsidRPr="007D1F16">
        <w:lastRenderedPageBreak/>
        <w:t xml:space="preserve">for radio- og TV-spredning, telekommunikation og posttjenester, som har til formål at føre tilsyn med, hvordan store onlineplatforme vurderer og håndterer risici, herunder beskyttelse af mindreårige, alderssvarende design og gennemsigtighed i platformene; udtrykker håb om, at dette markerer starten på et tættere samarbejde om at tackle disse og andre fælles udfordringer; </w:t>
      </w:r>
    </w:p>
    <w:p w14:paraId="2513186D" w14:textId="77777777" w:rsidR="00C16740" w:rsidRPr="007D1F16" w:rsidRDefault="00C16740" w:rsidP="00C16740">
      <w:pPr>
        <w:pStyle w:val="NormalHanging12a"/>
        <w:rPr>
          <w:b/>
          <w:i/>
        </w:rPr>
      </w:pPr>
      <w:r w:rsidRPr="007D1F16">
        <w:rPr>
          <w:b/>
          <w:i/>
        </w:rPr>
        <w:t>Energi</w:t>
      </w:r>
    </w:p>
    <w:p w14:paraId="689CC438" w14:textId="77777777" w:rsidR="00C16740" w:rsidRPr="007D1F16" w:rsidRDefault="00C16740" w:rsidP="00C16740">
      <w:pPr>
        <w:pStyle w:val="NormalHanging12a"/>
        <w:rPr>
          <w:i/>
        </w:rPr>
      </w:pPr>
      <w:r w:rsidRPr="007D1F16">
        <w:t>126.</w:t>
      </w:r>
      <w:r w:rsidRPr="007D1F16">
        <w:tab/>
        <w:t>fremhæver på baggrund af Ruslands angrebskrig mod Ukraine og i en situation med ustabile globale energimarkeder betydningen af at styrke samarbejdet mellem EU og Det Forenede Kongerige om energi og forsyningssikkerhed; tilskynder EU og Det Forenede Kongerige til at arbejde sammen om at bringe afhængigheden af russisk energi til ophør ved snarest muligt at standse importen af alle russiske fossile brændsler, herunder olie, gas, flydende naturgas (LNG), nukleart brændsel og andet nukleart materiale; bemærker, at både EU og Det Forenede Kongerige løbende gør fremskridt hen imod deres fælles mål om helt at kappe energiforbindelserne med Rusland; bifalder nedsættelsen af den nye arbejdsgruppe om forsyningssikkerhed mellem EU og Det Forenede Kongerige i henhold til handels- og samarbejdsaftalen som anbefalet af Partnerskabsrådet den 17. marts 2024 og efterfølgende gennemført af Specialudvalget om Energi; håber, at den nye arbejdsgruppe om forsyningssikkerhed mellem EU og Det Forenede Kongerige kan mødes regelmæssigt og udvikle konkrete løsninger og fælles tiltag på dette afgørende område i det bilaterale samarbejde;</w:t>
      </w:r>
    </w:p>
    <w:p w14:paraId="61208224" w14:textId="77777777" w:rsidR="00C16740" w:rsidRPr="007D1F16" w:rsidRDefault="00C16740" w:rsidP="00C16740">
      <w:pPr>
        <w:pStyle w:val="NormalHanging12a"/>
        <w:rPr>
          <w:bCs/>
          <w:iCs/>
        </w:rPr>
      </w:pPr>
      <w:r w:rsidRPr="007D1F16">
        <w:t>127.</w:t>
      </w:r>
      <w:r w:rsidRPr="007D1F16">
        <w:tab/>
        <w:t xml:space="preserve">understreger vigtigheden af at integrere EU's og Det Forenede Kongeriges energimarkeder, hvilket kan forbedre forsyningssikkerheden, stimulere produktionen af ren energi og nedbringe energiomkostningerne for begge parter; mener, at en høj grad af fysisk sammenkoblingskapacitet skal suppleres med mere integrerede engrosenergimarkeder, som kan fremme energisikkerheden og handelen med energi mellem EU og Det Forenede Kongerige; mener, at der trods tættere samarbejde mellem reguleringsmyndigheder og transmissionssystemoperatører kun er gjort beskedne fremskridt med hensyn til at udvikle nye ordninger for handel med elektricitet, jf. handels- og samarbejdsaftalens artikel 312; minder om, at Det Forenede Kongerige ikke længere gør brug af det indre markeds værktøjer til markedskobling for så vidt angår handel med elektricitet, såsom EU's "Single Day-Ahead Coupling", hvilket fører til ineffektiv handel via samkøringslinjer, som øger engrosomkostningerne og i sidste ende fører til højere forbrugerpriser og hindrer investeringer i samkøringslinjer med flere formål; </w:t>
      </w:r>
    </w:p>
    <w:p w14:paraId="372D8B33" w14:textId="0B9CAE8A" w:rsidR="00C16740" w:rsidRPr="007D1F16" w:rsidRDefault="00C16740" w:rsidP="00C16740">
      <w:pPr>
        <w:pStyle w:val="NormalHanging12a"/>
        <w:rPr>
          <w:bCs/>
          <w:iCs/>
        </w:rPr>
      </w:pPr>
      <w:r w:rsidRPr="007D1F16">
        <w:t xml:space="preserve">128. </w:t>
      </w:r>
      <w:r w:rsidRPr="007D1F16">
        <w:tab/>
        <w:t xml:space="preserve">bifalder EU's og Det Forenede Kongeriges nylige tilsagn og politiske aftale om løbende at udvide energisamarbejdet mellem EU og Det Forenede Kongerige og kigge nærmere på parametrene for Det Forenede Kongeriges mulige deltagelse i EU's indre marked for elektricitet, herunder dynamisk tilpasning og bidrag til de omkostninger, der er forbundet med dette politikområde, som fastsat i den fælles forståelse mellem EU og Det Forenede Kongerige; opfordrer til øjeblikkelige forhandlinger om tilpasning af markederne og til en rettidig afslutning af forhandlingerne og understreger, at der er behov for hurtige og markante fremskridt; fremhæver, at en sådan deltagelse vil sænke energipriserne og gavne forbrugere og virksomheder; understreger, at en sådan aftale skal indgås inden de nuværende ordninger udløber; understreger, at områder af åbenlys gensidig interesse, navnlig i lyset af den skiftende geopolitiske kontekst og den globale handelsusikkerhed, bl.a. er samarbejde om ren energi i Nordsøen, sammenkobling af EU's og Det Forenede Kongeriges respektive emissionshandelssystemer for at undgå </w:t>
      </w:r>
      <w:r w:rsidRPr="007D1F16">
        <w:lastRenderedPageBreak/>
        <w:t xml:space="preserve">gnidninger hidrørende fra deres respektive kulstofgrænsetilpasningsmekanismer, forbedring af ordningerne for handel med elektricitet samt tættere koordinering af infrastrukturplanlægningen, hvilket vil styrke energisikkerheden og erhvervslivets konkurrenceevne i hele Europa; opfordrer begge parter til at arbejde tæt sammen om at sikre, at der inden for en rimelig tid kan fastsættes en gennemførlig ramme, med henblik på at begrænse retsusikkerheden; opfordrer til en konkret fælles indsats fra EU's og Det Forenede Kongeriges side i retning af et øget samarbejde om kerneenergi – en kulstoffattig og økonomisk overkommelig energikilde, der er afgørende for at opnå klimaneutralitet og opretholde de europæiske industriers konkurrenceevne; minder om, at et struktureret samarbejde mellem EU og Det Forenede Kongerige på områder såsom elektricitetssammenkoblinger og offshore-infrastruktur for vedvarende energi kan forenes med EU's finansieringsprogrammer, herunder regionale initiativer og energiinitiativer; understreger, at enhver deltagelse af Det Forenede Kongerige inden for sådanne rammer kræver behørig forvaltning, overholdelse af EU-reglerne og passende finansielle bidrag, der afspejler EU's investeringer; opfordrer Kommissionen til at give Parlamentet fuldstændige oplysninger om ethvert finansielt bidrag, som Det Forenede Kongerige skal betale på disse områder; </w:t>
      </w:r>
    </w:p>
    <w:p w14:paraId="6942017C" w14:textId="77777777" w:rsidR="00C16740" w:rsidRPr="007D1F16" w:rsidRDefault="00C16740" w:rsidP="00C16740">
      <w:pPr>
        <w:pStyle w:val="NormalHanging12a"/>
        <w:rPr>
          <w:bCs/>
          <w:iCs/>
        </w:rPr>
      </w:pPr>
      <w:r w:rsidRPr="007D1F16">
        <w:t>129.</w:t>
      </w:r>
      <w:r w:rsidRPr="007D1F16">
        <w:tab/>
        <w:t>glæder sig over Kommissionens og Det Forenede Kongeriges fælles holdning – som kom til udtryk på det nylige topmøde mellem EU og Det Forenede Kongerige – om, at sammenkobling af CO</w:t>
      </w:r>
      <w:r w:rsidRPr="007D1F16">
        <w:rPr>
          <w:vertAlign w:val="subscript"/>
        </w:rPr>
        <w:t>2</w:t>
      </w:r>
      <w:r w:rsidRPr="007D1F16">
        <w:t>-markederne vil bidrage til at imødegå problemer i forbindelse med handel og lige konkurrencevilkår i overensstemmelse med handels- og samarbejdsaftalens artikel 392, stk. 6, og vil fritage virksomheder, der er baseret i Det Forenede Kongerige, fra CO</w:t>
      </w:r>
      <w:r w:rsidRPr="007D1F16">
        <w:rPr>
          <w:vertAlign w:val="subscript"/>
        </w:rPr>
        <w:t>2</w:t>
      </w:r>
      <w:r w:rsidRPr="007D1F16">
        <w:t>-grænsetilpasningsmekanismen, mindske handelsgnidninger og fremme tilpasning af CO</w:t>
      </w:r>
      <w:r w:rsidRPr="007D1F16">
        <w:rPr>
          <w:vertAlign w:val="subscript"/>
        </w:rPr>
        <w:t>2</w:t>
      </w:r>
      <w:r w:rsidRPr="007D1F16">
        <w:t xml:space="preserve">-prissætningen og dermed styrke de fælles dekarboniseringsmål og bidrage til at nå målene om klimaneutralitet; </w:t>
      </w:r>
    </w:p>
    <w:p w14:paraId="243FE9B6" w14:textId="77777777" w:rsidR="00C16740" w:rsidRPr="007D1F16" w:rsidRDefault="00C16740" w:rsidP="00C16740">
      <w:pPr>
        <w:pStyle w:val="NormalHanging12a"/>
        <w:rPr>
          <w:bCs/>
          <w:iCs/>
        </w:rPr>
      </w:pPr>
      <w:r w:rsidRPr="007D1F16">
        <w:t>130.</w:t>
      </w:r>
      <w:r w:rsidRPr="007D1F16">
        <w:tab/>
        <w:t xml:space="preserve">anerkender, at anvendelsen af forskellige kulstofgrænsetilpasningsmekanismer i EU og Det Forenede Kongerige kan føre til yderligere uønskede omkostninger for den fremtidige grænseoverskridende handel med elektricitet fra vedvarende energikilder, hvilket kan få negative konsekvenser for erhvervslivet og husstandene og navnlig kan medføre risici for integriteten af det indre marked for elektricitet på øen Irland; mener, at den mest effektive og enkle løsning vil være, at Det Forenede Kongerige knyttes direkte til EU's emissionshandelssystem som foreslået i den fælles forståelse; fastholder, at en fuldstændig ETS-sammenkobling burde forhindre uønskede omkostninger og fjerne unødvendige politiske hindringer for samarbejdet, navnlig i Nordsøen; opfordrer ikke desto mindre til, at der om nødvendigt træffes foreløbige foranstaltninger for at sikre, at EU's og Det Forenede Kongeriges kulstofgrænsetilpasningsmekanismer ikke lægger yderligere byrder på den grænseoverskridende handel med elektricitet i 2026, hvor forhandlingerne om deltagelse på elmarkedet og ETS-sammenkobling stadig kan være i gang; fremhæver, at Det Forenede Kongeriges eventuelle deltagelse i mekanismer eller systemer i forbindelse med EU ETS skal være ledsaget af et rimeligt og forholdsmæssigt afpasset finansielt bidrag, der dækker EU's administrative og programrelaterede omkostninger; insisterer på, at EU's finansielle og klimamæssige interesser skal beskyttes fuldt ud i enhver fremtidig ordning; </w:t>
      </w:r>
    </w:p>
    <w:p w14:paraId="42F5A1AA" w14:textId="77777777" w:rsidR="00C16740" w:rsidRPr="007D1F16" w:rsidRDefault="00C16740" w:rsidP="00C16740">
      <w:pPr>
        <w:pStyle w:val="NormalHanging12a"/>
        <w:rPr>
          <w:bCs/>
          <w:iCs/>
        </w:rPr>
      </w:pPr>
      <w:r w:rsidRPr="007D1F16">
        <w:t>131.</w:t>
      </w:r>
      <w:r w:rsidRPr="007D1F16">
        <w:tab/>
        <w:t xml:space="preserve">fremhæver vigtigheden af at fastlægge fælles regler for vedvarende offshoreenergi og rørledningsinfrastruktur i Nordsøområdet for at lette kommercielle aftaler mellem EU og Det Forenede Kongerige; opfordrer til fortsat samarbejde mellem EU og Det Forenede Kongerige om den internationale energiindsats inden for rammerne af FN's klimakonferencer; </w:t>
      </w:r>
    </w:p>
    <w:p w14:paraId="6447D996" w14:textId="77777777" w:rsidR="00C16740" w:rsidRPr="007D1F16" w:rsidRDefault="00C16740" w:rsidP="00C16740">
      <w:pPr>
        <w:pStyle w:val="NormalHanging12a"/>
        <w:rPr>
          <w:bCs/>
          <w:iCs/>
        </w:rPr>
      </w:pPr>
      <w:r w:rsidRPr="007D1F16">
        <w:lastRenderedPageBreak/>
        <w:t>132.</w:t>
      </w:r>
      <w:r w:rsidRPr="007D1F16">
        <w:tab/>
        <w:t>noterer sig det genbekræftede fælles internationale tilsagn om at gennemføre FN's dagsorden for 2030, verdensmålene for bæredygtig udvikling samt Parisaftalen; gentager, at EU og Det Forenede Kongerige er nødt til fortsat at arbejde sammen på internationale klimakonferencer, herunder den kommende COP30, for at bygge videre på de fremskridt, der er gjort, og føre an i yderligere globale tiltag til fremme af vedvarende energi, energieffektivitet og reduktion af metanemissioner fra energisektoren;</w:t>
      </w:r>
    </w:p>
    <w:p w14:paraId="33733FBC" w14:textId="77777777" w:rsidR="00C16740" w:rsidRPr="007D1F16" w:rsidRDefault="00C16740" w:rsidP="00C16740">
      <w:pPr>
        <w:spacing w:after="240"/>
        <w:ind w:left="540" w:hanging="540"/>
      </w:pPr>
      <w:r w:rsidRPr="007D1F16">
        <w:t>133.</w:t>
      </w:r>
      <w:r w:rsidRPr="007D1F16">
        <w:tab/>
        <w:t xml:space="preserve">glæder sig over, at de to parter har næsten de samme ambitioner for energieffektivitet og fremme af vedvarende energikilder inden 2030 og har som fælles slutmål at opnå klimaneutralitet senest i 2050; lykønsker Det Forenede Kongerige med den bedrift, det var at udfase kulkraftproduktionen pr. 1. oktober 2024 som det første G7-land og den første højtudviklede industrination, der har nået dette mål; understreger betydningen af handels- og samarbejdsaftalens klausul om ikkeforringelse af miljøbeskyttelse, som ingen af parterne kan fravige uden at bringe hele aftalen i fare; </w:t>
      </w:r>
    </w:p>
    <w:p w14:paraId="63F5FB82" w14:textId="14E09A75" w:rsidR="00307982" w:rsidRPr="007D1F16" w:rsidRDefault="00C16740" w:rsidP="00307982">
      <w:pPr>
        <w:spacing w:after="240"/>
        <w:ind w:left="540" w:hanging="540"/>
      </w:pPr>
      <w:r w:rsidRPr="007D1F16">
        <w:t>134.</w:t>
      </w:r>
      <w:r w:rsidRPr="007D1F16">
        <w:tab/>
        <w:t>ser positivt på begge parters villighed til at overveje øget reguleringsmæssigt og teknologisk samarbejde om rene teknologier såsom CO</w:t>
      </w:r>
      <w:r w:rsidRPr="007D1F16">
        <w:rPr>
          <w:vertAlign w:val="subscript"/>
        </w:rPr>
        <w:t>2</w:t>
      </w:r>
      <w:r w:rsidRPr="007D1F16">
        <w:t>-opsamling</w:t>
      </w:r>
      <w:r w:rsidR="00307982">
        <w:t xml:space="preserve">, </w:t>
      </w:r>
      <w:r w:rsidR="00307982" w:rsidRPr="00307982">
        <w:t>anvendelse</w:t>
      </w:r>
      <w:r w:rsidRPr="007D1F16">
        <w:t xml:space="preserve"> og lagring samt vedvarende energi, herunder havvind, brint, biometan og bæredygtige biobrændstoffer; bemærker imidlertid, at Det Forenede Kongeriges beslutning om at udtræde af EU's indre marked indebærer uundgåelige udfordringer for det bilaterale samarbejde på energiområdet hvad angår dets format og omfang; opfordrer begge parter til at finde frem til nye måder, hvorpå kvaliteten og dybden af deres bilaterale samarbejde om teknologier inden for ren og vedvarende energi kan øges; </w:t>
      </w:r>
    </w:p>
    <w:p w14:paraId="0C6C6EED" w14:textId="77777777" w:rsidR="00C16740" w:rsidRPr="007D1F16" w:rsidRDefault="00C16740" w:rsidP="00C16740">
      <w:pPr>
        <w:spacing w:after="240"/>
        <w:ind w:left="540" w:hanging="540"/>
      </w:pPr>
      <w:r w:rsidRPr="007D1F16">
        <w:t>135.</w:t>
      </w:r>
      <w:r w:rsidRPr="007D1F16">
        <w:tab/>
        <w:t>fremhæver vigtigheden af koordineret planlægning og konvergens i tilladelsesprocedurerne i EU og Det Forenede Kongerige for at sikre udviklingen af vedvarende energi, og navnlig havvindenergi, elektricitetsinfrastruktur og CO</w:t>
      </w:r>
      <w:r w:rsidRPr="007D1F16">
        <w:rPr>
          <w:vertAlign w:val="subscript"/>
        </w:rPr>
        <w:t>2</w:t>
      </w:r>
      <w:r w:rsidRPr="007D1F16">
        <w:t xml:space="preserve">-lagring samt hybride energiprojekter i Nordsøen; mener, at de to parter er nødt til at arbejde tæt sammen om at omdanne Nordsøen til et knudepunkt for grøn energi, som også kan bidrage til at garantere forsyningssikkerheden, bl.a. gennem en omfattende havvindenergiproduktion, i overensstemmelse med det ikkebindende EU-mål om senest i 2050 at have installeret en produktionskapacitet for havvindenergi på ca. 360 GW; opfordrer Kommissionen og medlemsstaterne til at styrke det regionale samarbejde med Det Forenede Kongerige om planlægning af havenerginettet og udvikling af kritisk energiinfrastruktur og med nabolande om alle havområder for at styrke elnettenes robusthed og mindske sandsynligheden for infrastrukturforstyrrelser og energiforsyningssvigt; </w:t>
      </w:r>
    </w:p>
    <w:p w14:paraId="36E81EE3" w14:textId="77777777" w:rsidR="00C16740" w:rsidRPr="007D1F16" w:rsidRDefault="00C16740" w:rsidP="00C16740">
      <w:pPr>
        <w:spacing w:after="240"/>
        <w:ind w:left="540" w:hanging="540"/>
      </w:pPr>
      <w:r w:rsidRPr="007D1F16">
        <w:t>136.</w:t>
      </w:r>
      <w:r w:rsidRPr="007D1F16">
        <w:tab/>
        <w:t xml:space="preserve">minder om, at fuld udnyttelse af havenergiressourcerne vil kræve meget betydelige investeringer i netkapacitet og sammenkoblingskapacitet; fremhæver endvidere behovet for at udvikle et formasket havenerginet, herunder hybride samkøringslinjer og passende omkostningsdelingsmekanismer; mener, at udviklingen af elektricitetsinfrastruktur med henblik på at udnytte potentialet i havvindenergi er en fælles prioritet for EU og Det Forenede Kongerige; understreger, at udnyttelsen af de fælles vedvarende ressourcer kan være til gensidig fordel for EU og Det Forenede Kongerige og kan nedbringe omkostningerne ved omstillingen til ren energi for begge parter; </w:t>
      </w:r>
    </w:p>
    <w:p w14:paraId="01F5CB6D" w14:textId="77777777" w:rsidR="00C16740" w:rsidRPr="007D1F16" w:rsidRDefault="00C16740" w:rsidP="00C16740">
      <w:pPr>
        <w:spacing w:after="240"/>
        <w:ind w:left="567" w:hanging="567"/>
      </w:pPr>
      <w:r w:rsidRPr="007D1F16">
        <w:t>137.</w:t>
      </w:r>
      <w:r w:rsidRPr="007D1F16">
        <w:tab/>
        <w:t xml:space="preserve">bifalder Det Forenede Kongeriges aktive deltagelse i energisamarbejdet i Nordsøen (NSEC), der bygger på det aftalememorandum, som Det Forenede Kongerige undertegnede i december 2022; fastholder, at Det Forenede Kongeriges deltagelse i </w:t>
      </w:r>
      <w:r w:rsidRPr="007D1F16">
        <w:lastRenderedPageBreak/>
        <w:t xml:space="preserve">NSEC i sidste ende bør føre til levedygtige fælles projekter, der er i overensstemmelse med det fælles mål om at udvikle Nordsøen som "Europas grønne kraftværk", som fastsat i Oostende-erklæringen, som Det Forenede Kongerige undertegnede den 24. april 2023; </w:t>
      </w:r>
    </w:p>
    <w:p w14:paraId="4D89C9B9" w14:textId="77777777" w:rsidR="00C16740" w:rsidRPr="007D1F16" w:rsidRDefault="00C16740" w:rsidP="00C16740">
      <w:pPr>
        <w:spacing w:after="240"/>
        <w:ind w:left="567" w:hanging="567"/>
      </w:pPr>
      <w:r w:rsidRPr="007D1F16">
        <w:t>138.</w:t>
      </w:r>
      <w:r w:rsidRPr="007D1F16">
        <w:tab/>
        <w:t xml:space="preserve">bemærker, at Specialudvalget om Energi ved udgangen af 2024 vedtog både en henstilling om og en køreplan for handel med elektricitet, hvori både EU og Det Forenede Kongerige blev opfordret til at intensivere det tekniske arbejde, der er nødvendigt for at gennemføre nye handelsordninger mellem parterne, bl.a. en konceptvalideringsfase for "multi-region loose volume coupling" (MRLVC), den foreslåede handelsmodel i bilag 29 til handels- og samarbejdsaftalen; </w:t>
      </w:r>
    </w:p>
    <w:p w14:paraId="3A0C8FBB" w14:textId="77777777" w:rsidR="00C16740" w:rsidRPr="007D1F16" w:rsidRDefault="00C16740" w:rsidP="00C16740">
      <w:pPr>
        <w:spacing w:after="240"/>
        <w:ind w:left="567" w:hanging="567"/>
      </w:pPr>
      <w:r w:rsidRPr="007D1F16">
        <w:t>139.</w:t>
      </w:r>
      <w:r w:rsidRPr="007D1F16">
        <w:tab/>
        <w:t xml:space="preserve">noterer sig aftalen mellem Det Europæiske Atomenergifællesskab (Euratom) og Det Forenede Kongerige, som blev indgået den 21. december 2020 inden for rammerne af handels- og samarbejdsaftalen, og som omfatter samarbejde om sikker og fredelig brug af kerneenergi og understøttes af tilsagn fra begge parter om at overholde internationale forpligtelser; fremhæver de gensidige fordele ved, at EU og Det Forenede Kongerige samarbejder om civil kerneenergi på områder såsom næste generation af reaktorer, affaldshåndtering, små modulreaktorer, sikkerheds- og sundhedsstandarder, forsyningskædens modstandsdygtighed og fusionsteknologier, herunder gennem forskning, medicinske anvendelser, mobilitet for atomforskere samt i fornødent omfang adgang til fælles videnskabelig infrastruktur; </w:t>
      </w:r>
    </w:p>
    <w:p w14:paraId="0EF2DB65" w14:textId="77777777" w:rsidR="00C16740" w:rsidRPr="007D1F16" w:rsidRDefault="00C16740" w:rsidP="00C16740">
      <w:pPr>
        <w:spacing w:after="240"/>
        <w:ind w:left="567" w:hanging="567"/>
      </w:pPr>
      <w:r w:rsidRPr="007D1F16">
        <w:t>140.</w:t>
      </w:r>
      <w:r w:rsidRPr="007D1F16">
        <w:tab/>
        <w:t xml:space="preserve">minder om betydningen af at opretholde høje miljø- og arbejdsstandarder i energiprojekter; fremhæver behovet for reguleringssamarbejde for at sikre, at energiinitiativer fremmer opadgående konvergens inden for arbejdstagerrettigheder, sundhed og sikkerhed samt miljøbeskyttelse; </w:t>
      </w:r>
    </w:p>
    <w:p w14:paraId="15D758BB" w14:textId="77777777" w:rsidR="00C16740" w:rsidRPr="007D1F16" w:rsidRDefault="00C16740" w:rsidP="00C16740">
      <w:pPr>
        <w:pStyle w:val="NormalHanging12a"/>
        <w:rPr>
          <w:b/>
          <w:i/>
        </w:rPr>
      </w:pPr>
      <w:r w:rsidRPr="007D1F16">
        <w:rPr>
          <w:b/>
          <w:i/>
        </w:rPr>
        <w:t>Transport</w:t>
      </w:r>
    </w:p>
    <w:p w14:paraId="0173C9C4" w14:textId="77777777" w:rsidR="00C16740" w:rsidRPr="007D1F16" w:rsidRDefault="00C16740" w:rsidP="00C16740">
      <w:pPr>
        <w:pStyle w:val="NormalHanging12a"/>
        <w:rPr>
          <w:i/>
          <w:iCs/>
        </w:rPr>
      </w:pPr>
      <w:r w:rsidRPr="007D1F16">
        <w:rPr>
          <w:i/>
        </w:rPr>
        <w:t>Generelle bemærkninger</w:t>
      </w:r>
    </w:p>
    <w:p w14:paraId="521010C9" w14:textId="77777777" w:rsidR="00C16740" w:rsidRPr="007D1F16" w:rsidRDefault="00C16740" w:rsidP="00C16740">
      <w:pPr>
        <w:pStyle w:val="NormalHanging12a"/>
        <w:rPr>
          <w:bCs/>
          <w:iCs/>
        </w:rPr>
      </w:pPr>
      <w:r w:rsidRPr="007D1F16">
        <w:t>141.</w:t>
      </w:r>
      <w:r w:rsidRPr="007D1F16">
        <w:tab/>
        <w:t>glæder sig over den gnidningsløse gennemførelse af handels- og samarbejdsaftalen mellem EU og Det Forenede Kongerige på transportområdet og den effektive udøvelse af de gensidigt tildelte rettigheder i den henseende, som har opretholdt effektive transportforbindelser, siden den midlertidige anvendelse af aftalen blev påbegyndt i januar 2021;</w:t>
      </w:r>
    </w:p>
    <w:p w14:paraId="4D60CBC8" w14:textId="77777777" w:rsidR="00C16740" w:rsidRPr="007D1F16" w:rsidRDefault="00C16740" w:rsidP="00C16740">
      <w:pPr>
        <w:pStyle w:val="NormalHanging12a"/>
        <w:rPr>
          <w:bCs/>
          <w:iCs/>
        </w:rPr>
      </w:pPr>
      <w:r w:rsidRPr="007D1F16">
        <w:t>142.</w:t>
      </w:r>
      <w:r w:rsidRPr="007D1F16">
        <w:tab/>
        <w:t xml:space="preserve">opfordrer Kommissionen til at fortsætte sit tilsyn med gennemførelsen af handels- og samarbejdsaftalen og til at uddybe samarbejdet med henblik på yderligere at integrere EU's marked og Det Forenede Kongeriges marked, at fremme gnidningsløs grænseoverskridende mobilitet og infrastrukturintegration og at nå parternes fælles klima- og transportmål i fuld overensstemmelse med handels- og samarbejdsaftalens rammer, på grundlag af gensidighed og bevarelse af lige konkurrencevilkår; </w:t>
      </w:r>
    </w:p>
    <w:p w14:paraId="15769804" w14:textId="77777777" w:rsidR="00C16740" w:rsidRPr="007D1F16" w:rsidRDefault="00C16740" w:rsidP="00C16740">
      <w:pPr>
        <w:pStyle w:val="NormalHanging12a"/>
        <w:rPr>
          <w:bCs/>
          <w:iCs/>
        </w:rPr>
      </w:pPr>
      <w:r w:rsidRPr="007D1F16">
        <w:t>143.</w:t>
      </w:r>
      <w:r w:rsidRPr="007D1F16">
        <w:tab/>
        <w:t xml:space="preserve">udtrykker bekymring over den stigende mulighed for reguleringsmæssige forskelle mellem EU og Det Forenede Kongerige, som kan skabe hindringer for gnidningsløs transportdrift og mindske fordelene ved konnektivitet; fremhæver navnlig behovet for fortsat samarbejde om fremtidige ajourføringer af reglerne om passagerrettigheder, der potentielt kan føre til manglende symmetri mellem tærsklerne for udbetaling af erstatning i tilfælde af forsinkelser og beskyttelsen af multimodale rejser, hvilket </w:t>
      </w:r>
      <w:r w:rsidRPr="007D1F16">
        <w:lastRenderedPageBreak/>
        <w:t xml:space="preserve">risikerer at skabe forvirring blandt forbrugerne og at undergrave tilliden til grænseoverskridende transportforbindelser; </w:t>
      </w:r>
    </w:p>
    <w:p w14:paraId="01B29B90" w14:textId="77777777" w:rsidR="00C16740" w:rsidRPr="007D1F16" w:rsidRDefault="00C16740" w:rsidP="00C16740">
      <w:pPr>
        <w:pStyle w:val="NormalHanging12a"/>
        <w:rPr>
          <w:bCs/>
          <w:iCs/>
        </w:rPr>
      </w:pPr>
      <w:r w:rsidRPr="007D1F16">
        <w:t>144.</w:t>
      </w:r>
      <w:r w:rsidRPr="007D1F16">
        <w:tab/>
        <w:t xml:space="preserve">opfordrer Kommissionen og Det Forenede Kongerige til at indføre en fælles hurtig varslingsmekanisme for transportforstyrrelser, som skal sikre øjeblikkelig udveksling af information om hændelser, der påvirker transportkorridorerne i det transeuropæiske transportnet (TEN‑T); </w:t>
      </w:r>
    </w:p>
    <w:p w14:paraId="3C068914" w14:textId="77777777" w:rsidR="00C16740" w:rsidRPr="007D1F16" w:rsidRDefault="00C16740" w:rsidP="00C16740">
      <w:pPr>
        <w:pStyle w:val="NormalHanging12a"/>
        <w:rPr>
          <w:bCs/>
          <w:iCs/>
        </w:rPr>
      </w:pPr>
      <w:r w:rsidRPr="007D1F16">
        <w:t>145.</w:t>
      </w:r>
      <w:r w:rsidRPr="007D1F16">
        <w:tab/>
        <w:t xml:space="preserve">anerkender de sikkerhedsmæssige fordele ved det europæiske ind- og udrejsesystem (EES), men advarer om mulige transportforstyrrelser under udrulningen af det i 2025; opfordrer til, at det prioriteres at få infrastrukturen hurtigt indført og brugsklar i lufthavne og i havne som Dover og Calais sideløbende med oplysningskampagner for passagererne for at forhindre trængsel ved grænserne; bemærker, at EU-borgere siden den 2. april 2025 har skullet rekvirere en elektronisk indrejsetilladelse (ETA) mod betaling af et gebyr på ca. 19 EUR for at kunne tage på kortvarige ophold i Det Forenede Kongerige, hvilket udgør et nyt administrativt krav for rejser over Den Engelske Kanal; </w:t>
      </w:r>
    </w:p>
    <w:p w14:paraId="61C58CB9" w14:textId="77777777" w:rsidR="00C16740" w:rsidRPr="007D1F16" w:rsidRDefault="00C16740" w:rsidP="00C16740">
      <w:pPr>
        <w:pStyle w:val="NormalHanging12a"/>
        <w:rPr>
          <w:bCs/>
          <w:iCs/>
        </w:rPr>
      </w:pPr>
      <w:r w:rsidRPr="007D1F16">
        <w:t>146.</w:t>
      </w:r>
      <w:r w:rsidRPr="007D1F16">
        <w:tab/>
        <w:t xml:space="preserve">anbefaler et tæt samarbejde mellem parterne vedrørende uddannelse, erhvervsuddannelse og anerkendelse af kvalifikationer for transportarbejdere for at komme erhvervslivets mangel på kvalificeret arbejdskraft til livs og støtte arbejdstagernes mobilitet i overensstemmelse med EU's sociale og sikkerhedsmæssige standarder; </w:t>
      </w:r>
    </w:p>
    <w:p w14:paraId="72B4787C" w14:textId="77777777" w:rsidR="00C16740" w:rsidRPr="007D1F16" w:rsidRDefault="00C16740" w:rsidP="00C16740">
      <w:pPr>
        <w:pStyle w:val="NormalHanging12a"/>
        <w:spacing w:after="120"/>
      </w:pPr>
      <w:r w:rsidRPr="007D1F16">
        <w:t>147.</w:t>
      </w:r>
      <w:r w:rsidRPr="007D1F16">
        <w:tab/>
        <w:t xml:space="preserve">understreger vigtigheden af sikker og effektiv godstransport mellem EU og Det Forenede Kongerige; minder i den forbindelse om, at lastvognschauffører oplever stadig flere udfordringer, bl.a. med, at ulovlige indvandrere forsøger at gemme sig i deres køjetøjer for derved at krydse grænsen illegalt, og at nogle lastvognschauffører er blevet udsat for voldelige angreb ved havnen i Calais; understreger, at EU-rederier og </w:t>
      </w:r>
      <w:r w:rsidRPr="007D1F16">
        <w:noBreakHyphen/>
        <w:t xml:space="preserve">lastvognschauffører ikke skal bære omkostningerne ved og konsekvenserne af grænsekontrolmyndighedernes sikkerhedssvigt; </w:t>
      </w:r>
    </w:p>
    <w:p w14:paraId="107F20BD" w14:textId="77777777" w:rsidR="00C16740" w:rsidRPr="007D1F16" w:rsidRDefault="00C16740" w:rsidP="00C16740">
      <w:pPr>
        <w:pStyle w:val="NormalHanging12a"/>
        <w:rPr>
          <w:i/>
          <w:iCs/>
        </w:rPr>
      </w:pPr>
      <w:r w:rsidRPr="007D1F16">
        <w:rPr>
          <w:i/>
        </w:rPr>
        <w:t>Luftfart</w:t>
      </w:r>
    </w:p>
    <w:p w14:paraId="7817B784" w14:textId="77777777" w:rsidR="00C16740" w:rsidRPr="007D1F16" w:rsidRDefault="00C16740" w:rsidP="00C16740">
      <w:pPr>
        <w:pStyle w:val="NormalHanging12a"/>
        <w:rPr>
          <w:bCs/>
          <w:iCs/>
        </w:rPr>
      </w:pPr>
      <w:r w:rsidRPr="007D1F16">
        <w:t>148.</w:t>
      </w:r>
      <w:r w:rsidRPr="007D1F16">
        <w:tab/>
        <w:t xml:space="preserve">bemærker med tilfredshed den gnidningsløse overgang på luftfartssikkerhedsområdet med godt samarbejde og god ansvarsdeling mellem EU's Luftfartssikkerhedsagentur og Det Forenede Kongeriges civile luftfartsmyndighed, navnlig hvad angår validering af certificeringsanmodninger udstedt af de to organer; </w:t>
      </w:r>
    </w:p>
    <w:p w14:paraId="40E84062" w14:textId="77777777" w:rsidR="00C16740" w:rsidRPr="007D1F16" w:rsidRDefault="00C16740" w:rsidP="00C16740">
      <w:pPr>
        <w:pStyle w:val="NormalHanging12a"/>
        <w:rPr>
          <w:bCs/>
          <w:iCs/>
        </w:rPr>
      </w:pPr>
      <w:r w:rsidRPr="007D1F16">
        <w:t>149.</w:t>
      </w:r>
      <w:r w:rsidRPr="007D1F16">
        <w:tab/>
        <w:t xml:space="preserve">bifalder de bilaterale aftaler, der til dato er undertegnet om hhv. fragtflytrafik og passagerflytrafik, som garanterer kontinuerlige og problemfri luftfartsforbindelser mellem EU og Det Forenede Kongerige; </w:t>
      </w:r>
    </w:p>
    <w:p w14:paraId="28FACC24" w14:textId="77777777" w:rsidR="00C16740" w:rsidRPr="007D1F16" w:rsidRDefault="00C16740" w:rsidP="00C16740">
      <w:pPr>
        <w:pStyle w:val="NormalHanging12a"/>
        <w:rPr>
          <w:bCs/>
          <w:iCs/>
        </w:rPr>
      </w:pPr>
      <w:r w:rsidRPr="007D1F16">
        <w:t>150.</w:t>
      </w:r>
      <w:r w:rsidRPr="007D1F16">
        <w:tab/>
        <w:t>glæder sig over de igangværende drøftelser i Specialudvalget om Lufttransport om luftfartens ikke-CO</w:t>
      </w:r>
      <w:r w:rsidRPr="007D1F16">
        <w:rPr>
          <w:vertAlign w:val="subscript"/>
        </w:rPr>
        <w:t>2</w:t>
      </w:r>
      <w:r w:rsidRPr="007D1F16">
        <w:t xml:space="preserve">-relaterede klimapåvirkning og opfordrer til vedvarende koordinering inden for forskning, overvågning og rapportering for at undgå fremtidige uoverensstemmelser i lovgivningen; </w:t>
      </w:r>
    </w:p>
    <w:p w14:paraId="38764111" w14:textId="77777777" w:rsidR="00C16740" w:rsidRPr="007D1F16" w:rsidRDefault="00C16740" w:rsidP="00C16740">
      <w:pPr>
        <w:pStyle w:val="NormalHanging12a"/>
        <w:rPr>
          <w:bCs/>
          <w:iCs/>
        </w:rPr>
      </w:pPr>
      <w:r w:rsidRPr="007D1F16">
        <w:t>151.</w:t>
      </w:r>
      <w:r w:rsidRPr="007D1F16">
        <w:tab/>
        <w:t xml:space="preserve">ser med tilfredshed på den rolle, som Specialudvalget om Lufttransport spiller med hensyn til at holde begge parter orienteret om bestræbelserne på at lovgive om og tilskynde til bæredygtige alternative brændstoffer til luftfarten, og anbefaler, at initiativerne bringes på linje med hinanden for at maksimere de </w:t>
      </w:r>
      <w:r w:rsidRPr="007D1F16">
        <w:lastRenderedPageBreak/>
        <w:t xml:space="preserve">bæredygtighedsrelaterede fordele, fremme innovation og understøtte luftfartsektorens konkurrenceevne; </w:t>
      </w:r>
    </w:p>
    <w:p w14:paraId="2BAB07A9" w14:textId="77777777" w:rsidR="00C16740" w:rsidRPr="007D1F16" w:rsidRDefault="00C16740" w:rsidP="00C16740">
      <w:pPr>
        <w:pStyle w:val="NormalHanging12a"/>
        <w:rPr>
          <w:bCs/>
          <w:iCs/>
        </w:rPr>
      </w:pPr>
      <w:r w:rsidRPr="007D1F16">
        <w:t>152.</w:t>
      </w:r>
      <w:r w:rsidRPr="007D1F16">
        <w:tab/>
        <w:t xml:space="preserve">noterer sig den igangværende debat om wetleasing-bestemmelser mellem EU og Det Forenede Kongerige, nu hvor sidstnævnte skal overholde yderligere restriktioner, der gælder for ikke-EU-lande, og noterer sig Det Forenede Kongeriges anmodning om, at procedurerne strømlines i den situation, der er gældende efter brexit, med henblik på at kunne håndtere høj sæsonbestemt efterspørgsel; </w:t>
      </w:r>
    </w:p>
    <w:p w14:paraId="5B51BA1B" w14:textId="77777777" w:rsidR="00C16740" w:rsidRPr="007D1F16" w:rsidRDefault="00C16740" w:rsidP="00C16740">
      <w:pPr>
        <w:pStyle w:val="NormalHanging12a"/>
        <w:rPr>
          <w:bCs/>
          <w:iCs/>
        </w:rPr>
      </w:pPr>
      <w:r w:rsidRPr="007D1F16">
        <w:t>153.</w:t>
      </w:r>
      <w:r w:rsidRPr="007D1F16">
        <w:tab/>
        <w:t xml:space="preserve">understreger imidlertid, at disse anmodninger skal tages i betragtning i forbindelse med de aktuelle anmodninger om hurtig præcisering af regler og praksis for wetleasing inden for og uden for EU, herunder om tilsyn og håndhævelse, samt øget effektivitet af luftfartstjenester; </w:t>
      </w:r>
    </w:p>
    <w:p w14:paraId="695D843C" w14:textId="77777777" w:rsidR="00C16740" w:rsidRPr="007D1F16" w:rsidRDefault="00C16740" w:rsidP="00C16740">
      <w:pPr>
        <w:pStyle w:val="NormalHanging12a"/>
        <w:rPr>
          <w:bCs/>
          <w:iCs/>
        </w:rPr>
      </w:pPr>
      <w:r w:rsidRPr="007D1F16">
        <w:t>154.</w:t>
      </w:r>
      <w:r w:rsidRPr="007D1F16">
        <w:tab/>
        <w:t>anbefaler derfor Kommissionen at foreslå fælleslovgiverne at revidere forordningen om lufttrafiktjenester</w:t>
      </w:r>
      <w:r w:rsidRPr="007D1F16">
        <w:rPr>
          <w:rStyle w:val="FootnoteReference"/>
          <w:bCs/>
          <w:iCs/>
        </w:rPr>
        <w:footnoteReference w:id="41"/>
      </w:r>
      <w:r w:rsidRPr="007D1F16">
        <w:t xml:space="preserve"> med henblik på at præcisere reglerne, tilsynsmekanismerne og håndhævelsesbestemmelserne om wetleasing inden for og uden for EU for at adressere eventuelle problemer, der måtte blive rejst i forbindelse med handels- og samarbejdsaftalen mellem EU og Det Forenede Kongerige, snarere end at fastlægge retningslinjer for anliggender, som fælleslovgiverne endnu ikke har taget stilling til; </w:t>
      </w:r>
    </w:p>
    <w:p w14:paraId="43A6D740" w14:textId="77777777" w:rsidR="00C16740" w:rsidRPr="007D1F16" w:rsidRDefault="00C16740" w:rsidP="00C16740">
      <w:pPr>
        <w:pStyle w:val="NormalHanging12a"/>
        <w:rPr>
          <w:bCs/>
          <w:iCs/>
        </w:rPr>
      </w:pPr>
      <w:r w:rsidRPr="007D1F16">
        <w:t>155.</w:t>
      </w:r>
      <w:r w:rsidRPr="007D1F16">
        <w:tab/>
        <w:t xml:space="preserve">påpeger, at en række lokale og regionale lufthavne i EU har mange flyforbindelser til Det Forenede Kongerige; understreger, at det er nødvendigt at sikre tilgængeligheden af denne type flyvninger, som benyttes af EU-borgere, der bor og arbejder i Det Forenede Kongerige, men også af britiske statsborgere, der flyver til Europa som turister; </w:t>
      </w:r>
    </w:p>
    <w:p w14:paraId="729C89D7" w14:textId="77777777" w:rsidR="00C16740" w:rsidRPr="007D1F16" w:rsidRDefault="00C16740" w:rsidP="00C16740">
      <w:pPr>
        <w:pStyle w:val="NormalHanging12a"/>
        <w:rPr>
          <w:bCs/>
          <w:iCs/>
        </w:rPr>
      </w:pPr>
      <w:r w:rsidRPr="007D1F16">
        <w:t>156.</w:t>
      </w:r>
      <w:r w:rsidRPr="007D1F16">
        <w:tab/>
        <w:t>anerkender, at den fortsatte stigning i lufttrafikken og den øgede belastning af de globale lufttrafikstyringssystemer kræver et forstærket samarbejde mellem EU og Det Forenede Kongerige for at optimere ydeevnen, effektiviteten og styringen af luftrummet; bifalder Det Forenede Kongeriges fortsatte koordinering med Eurocontrol og tilskynder til, at yderligere muligheder for gensidigt fordelagtigt samarbejde undersøges; </w:t>
      </w:r>
    </w:p>
    <w:p w14:paraId="7A60E3E7" w14:textId="77777777" w:rsidR="00C16740" w:rsidRPr="007D1F16" w:rsidRDefault="00C16740" w:rsidP="00C16740">
      <w:pPr>
        <w:pStyle w:val="NormalHanging12a"/>
        <w:rPr>
          <w:i/>
        </w:rPr>
      </w:pPr>
      <w:r w:rsidRPr="007D1F16">
        <w:rPr>
          <w:i/>
        </w:rPr>
        <w:t>Vejtransport</w:t>
      </w:r>
    </w:p>
    <w:p w14:paraId="72141D36" w14:textId="77777777" w:rsidR="00C16740" w:rsidRPr="007D1F16" w:rsidRDefault="00C16740" w:rsidP="00C16740">
      <w:pPr>
        <w:pStyle w:val="NormalHanging12a"/>
        <w:rPr>
          <w:bCs/>
          <w:iCs/>
        </w:rPr>
      </w:pPr>
      <w:r w:rsidRPr="007D1F16">
        <w:t>157.</w:t>
      </w:r>
      <w:r w:rsidRPr="007D1F16">
        <w:tab/>
        <w:t>understreger vigtigheden af at koble Det Forenede Kongerige til det europæiske register over vejtransportvirksomheder (ERRU), og glæder sig over begge parters tilsagn om at gøre fremskridt med hensyn til dataudveksling mellem nationale elektroniske registre over (alvorlige) overtrædelser af vejtransportreglerne og derved bidrage til en effektiv håndhævelse af handels- og samarbejdsaftalens regler for vejtransport; opfordrer begge parter til at arbejde hen imod en bilateral aftale, som yderligere skal lette den grænseoverskridende informationsudveksling i overensstemmelse med direktiv (EU) 2024/3237</w:t>
      </w:r>
      <w:r w:rsidRPr="007D1F16">
        <w:rPr>
          <w:rStyle w:val="FootnoteReference"/>
          <w:bCs/>
          <w:iCs/>
        </w:rPr>
        <w:footnoteReference w:id="42"/>
      </w:r>
      <w:r w:rsidRPr="007D1F16">
        <w:t xml:space="preserve">, med henblik på at forbedre trafiksikkerheden og samtidig sikre </w:t>
      </w:r>
      <w:r w:rsidRPr="007D1F16">
        <w:lastRenderedPageBreak/>
        <w:t xml:space="preserve">databeskyttelseskravene for chauffører; </w:t>
      </w:r>
    </w:p>
    <w:p w14:paraId="08B18A0C" w14:textId="77777777" w:rsidR="00C16740" w:rsidRPr="007D1F16" w:rsidRDefault="00C16740" w:rsidP="00C16740">
      <w:pPr>
        <w:pStyle w:val="NormalHanging12a"/>
        <w:rPr>
          <w:bCs/>
          <w:iCs/>
        </w:rPr>
      </w:pPr>
      <w:r w:rsidRPr="007D1F16">
        <w:t>158.</w:t>
      </w:r>
      <w:r w:rsidRPr="007D1F16">
        <w:tab/>
        <w:t xml:space="preserve">glæder sig over beslutningen om at benytte version 2 af intelligente fartskrivere i nyindregistrerede køretøjer i EU og Det Forenede Kongerige for at sikre et fortsat højt niveau af trafiksikkerhed på vejene og lige konkurrencevilkår inden for vejgodstransport på begge parters territorium; </w:t>
      </w:r>
    </w:p>
    <w:p w14:paraId="1E09915A" w14:textId="77777777" w:rsidR="00C16740" w:rsidRPr="007D1F16" w:rsidRDefault="00C16740" w:rsidP="00C16740">
      <w:pPr>
        <w:pStyle w:val="NormalHanging12a"/>
        <w:rPr>
          <w:i/>
        </w:rPr>
      </w:pPr>
      <w:r w:rsidRPr="007D1F16">
        <w:rPr>
          <w:i/>
        </w:rPr>
        <w:t>Søfart</w:t>
      </w:r>
    </w:p>
    <w:p w14:paraId="7019FCDD" w14:textId="77777777" w:rsidR="00C16740" w:rsidRPr="007D1F16" w:rsidRDefault="00C16740" w:rsidP="00C16740">
      <w:pPr>
        <w:pStyle w:val="NormalHanging12a"/>
        <w:rPr>
          <w:bCs/>
          <w:iCs/>
        </w:rPr>
      </w:pPr>
      <w:r w:rsidRPr="007D1F16">
        <w:t>159.</w:t>
      </w:r>
      <w:r w:rsidRPr="007D1F16">
        <w:tab/>
        <w:t>bemærker bekymringen over potentielle flytninger af skibsruter og aktiviteter til britiske havne for at undgå omkostningerne ved søfartsemissioner under EU ETS og opfordrer indtrængende Kommissionen til nøje at overvåge havneaktiviteterne i britiske havne; bifalder i den forbindelse den fælles forståelse, som man nåede frem til på topmødet mellem Det Forenede Kongerige og EU, om at etablere en fungerende forbindelse mellem EU's og Det Forenede Kongeriges emissionshandelssystemer, som vil skulle omfatte indenlandsk og international søfart samt indenlandsk og international luftfart, og fremhæver betydningen af at tilpasse rammerne for CO</w:t>
      </w:r>
      <w:r w:rsidRPr="007D1F16">
        <w:rPr>
          <w:vertAlign w:val="subscript"/>
        </w:rPr>
        <w:t>2</w:t>
      </w:r>
      <w:r w:rsidRPr="007D1F16">
        <w:t xml:space="preserve">-prissætning og ‑overvågning for at fastholde miljøambitionen, sikre lige konkurrencevilkår og forhindre kulstoflækage og forvridning af havnenes konkurrenceevne samt for at beskytte EU's havnearbejdere og havnevirksomheder; </w:t>
      </w:r>
    </w:p>
    <w:p w14:paraId="30069BF4" w14:textId="77777777" w:rsidR="00C16740" w:rsidRPr="007D1F16" w:rsidRDefault="00C16740" w:rsidP="00C16740">
      <w:pPr>
        <w:pStyle w:val="NormalHanging12a"/>
        <w:rPr>
          <w:bCs/>
          <w:iCs/>
        </w:rPr>
      </w:pPr>
      <w:r w:rsidRPr="007D1F16">
        <w:t>160.</w:t>
      </w:r>
      <w:r w:rsidRPr="007D1F16">
        <w:tab/>
        <w:t>bakker op om Kommissionens gennemførelsesafgørelse</w:t>
      </w:r>
      <w:r w:rsidRPr="007D1F16">
        <w:rPr>
          <w:rStyle w:val="FootnoteReference"/>
          <w:bCs/>
          <w:iCs/>
        </w:rPr>
        <w:footnoteReference w:id="43"/>
      </w:r>
      <w:r w:rsidRPr="007D1F16">
        <w:t xml:space="preserve"> af 11. oktober 2022 om anerkendelse af Det Forenede Kongerige i henhold til direktiv (EU) 2022/993</w:t>
      </w:r>
      <w:r w:rsidRPr="007D1F16">
        <w:rPr>
          <w:rStyle w:val="FootnoteReference"/>
          <w:bCs/>
          <w:iCs/>
        </w:rPr>
        <w:footnoteReference w:id="44"/>
      </w:r>
      <w:r w:rsidRPr="007D1F16">
        <w:t xml:space="preserve"> for så vidt angår uddannelses- og bevisudstedelsessystemet for søfarende, efter at have fastslået, at alle uddannelses- og beviskrav i den internationale konvention om uddannelse af søfarende, om sønæring og om vagthold er opfyldt; </w:t>
      </w:r>
    </w:p>
    <w:p w14:paraId="0899A840" w14:textId="77777777" w:rsidR="00C16740" w:rsidRPr="007D1F16" w:rsidRDefault="00C16740" w:rsidP="00C16740">
      <w:pPr>
        <w:pStyle w:val="NormalHanging12a"/>
        <w:rPr>
          <w:i/>
        </w:rPr>
      </w:pPr>
      <w:r w:rsidRPr="007D1F16">
        <w:rPr>
          <w:i/>
        </w:rPr>
        <w:t>Jernbanetransport</w:t>
      </w:r>
    </w:p>
    <w:p w14:paraId="09D8531B" w14:textId="77777777" w:rsidR="00C16740" w:rsidRPr="007D1F16" w:rsidRDefault="00C16740" w:rsidP="00C16740">
      <w:pPr>
        <w:pStyle w:val="NormalHanging12a"/>
        <w:rPr>
          <w:bCs/>
          <w:iCs/>
        </w:rPr>
      </w:pPr>
      <w:r w:rsidRPr="007D1F16">
        <w:t>161.</w:t>
      </w:r>
      <w:r w:rsidRPr="007D1F16">
        <w:tab/>
        <w:t xml:space="preserve">bemærker, at jernbanetransport stadig ikke er omfattet af handels- og samarbejdsaftalens anvendelsesområde, hvilket afspejler, at EU og Det Forenede Kongerige forlader sig på bilaterale aftaler; glæder sig ikke desto mindre over de fremskridt, der er gjort med hensyn til licenser til jernbanevirksomheder og sikkerhedscertificering; </w:t>
      </w:r>
    </w:p>
    <w:p w14:paraId="4AF8DA98" w14:textId="77777777" w:rsidR="00C16740" w:rsidRPr="007D1F16" w:rsidRDefault="00C16740" w:rsidP="00C16740">
      <w:pPr>
        <w:pStyle w:val="NormalHanging12a"/>
        <w:rPr>
          <w:bCs/>
          <w:iCs/>
        </w:rPr>
      </w:pPr>
      <w:r w:rsidRPr="007D1F16">
        <w:t>162.</w:t>
      </w:r>
      <w:r w:rsidRPr="007D1F16">
        <w:tab/>
        <w:t xml:space="preserve">minder om, at Kanaltunnelen er af strategisk betydning som en afgørende infrastrukturforbindelse mellem Det Forenede Kongerige og EU; bemærker med bekymring, at gods- og passagertransporten med jernbane via Kanaltunnelen trods de bilaterale fremskridt fortsat ligger langt under de oprindelige prognoser på grund af høje omkostninger, lovgivningsmæssige hindringer, der påvirker både gods- og passagertransporten, og kapacitetsbegrænsninger i infrastrukturen for vidererejse inden for Det Forenede Kongerige, idet store dele af det britiske jernbanenet ikke er kompatibelt med standardiserede europæiske godscontainere og ‑vogne; </w:t>
      </w:r>
    </w:p>
    <w:p w14:paraId="47E6E45E" w14:textId="77777777" w:rsidR="00C16740" w:rsidRPr="007D1F16" w:rsidRDefault="00C16740" w:rsidP="00C16740">
      <w:pPr>
        <w:pStyle w:val="NormalHanging12a"/>
        <w:rPr>
          <w:b/>
          <w:i/>
        </w:rPr>
      </w:pPr>
      <w:r w:rsidRPr="007D1F16">
        <w:rPr>
          <w:b/>
          <w:i/>
        </w:rPr>
        <w:lastRenderedPageBreak/>
        <w:t>Fiskeri</w:t>
      </w:r>
    </w:p>
    <w:p w14:paraId="7FD3BA3E" w14:textId="77777777" w:rsidR="00C16740" w:rsidRPr="007D1F16" w:rsidRDefault="00C16740" w:rsidP="00C16740">
      <w:pPr>
        <w:pStyle w:val="NormalHanging12a"/>
        <w:rPr>
          <w:i/>
          <w:iCs/>
        </w:rPr>
      </w:pPr>
      <w:r w:rsidRPr="007D1F16">
        <w:rPr>
          <w:i/>
        </w:rPr>
        <w:t xml:space="preserve">Gennemførelsen af afsnittet "Fiskeri" i handels- og samarbejdsaftalen </w:t>
      </w:r>
    </w:p>
    <w:p w14:paraId="789CE364" w14:textId="77777777" w:rsidR="00C16740" w:rsidRPr="007D1F16" w:rsidRDefault="00C16740" w:rsidP="00C16740">
      <w:pPr>
        <w:pStyle w:val="NormalHanging12a"/>
        <w:rPr>
          <w:i/>
        </w:rPr>
      </w:pPr>
      <w:r w:rsidRPr="007D1F16">
        <w:t>163.</w:t>
      </w:r>
      <w:r w:rsidRPr="007D1F16">
        <w:tab/>
        <w:t>noterer sig Kommissionens rapporter fra 2023 og 2024 om gennemførelsen af handels- og samarbejdsaftalen, navnlig punkterne under overskriften "Fiskeri";</w:t>
      </w:r>
    </w:p>
    <w:p w14:paraId="35CC71BC" w14:textId="77777777" w:rsidR="00C16740" w:rsidRPr="007D1F16" w:rsidRDefault="00C16740" w:rsidP="00C16740">
      <w:pPr>
        <w:pStyle w:val="NormalHanging12a"/>
        <w:rPr>
          <w:bCs/>
          <w:iCs/>
        </w:rPr>
      </w:pPr>
      <w:r w:rsidRPr="007D1F16">
        <w:t>164.</w:t>
      </w:r>
      <w:r w:rsidRPr="007D1F16">
        <w:tab/>
        <w:t xml:space="preserve">glæder sig over det forbedrede samarbejde mellem parterne i de årlige forhandlinger om samlede tilladte fangstmængder (TAC'er), som resulterede i en rettidig aftale i 2023 og 2024, der gjorde det muligt at undgå anvendelsen af foreløbige TAC'er og dermed sikre klarhed og forudsigelighed for fiskerisektoren med hensyn til fiskerimuligheder for det følgende år; </w:t>
      </w:r>
    </w:p>
    <w:p w14:paraId="7F33FD41" w14:textId="77777777" w:rsidR="00C16740" w:rsidRPr="007D1F16" w:rsidRDefault="00C16740" w:rsidP="00C16740">
      <w:pPr>
        <w:pStyle w:val="NormalHanging12a"/>
        <w:rPr>
          <w:bCs/>
          <w:iCs/>
        </w:rPr>
      </w:pPr>
      <w:r w:rsidRPr="007D1F16">
        <w:t>165.</w:t>
      </w:r>
      <w:r w:rsidRPr="007D1F16">
        <w:tab/>
        <w:t xml:space="preserve">beklager dybt den ustabilitet, som brexit har forårsaget i de internationale fiskeriforbindelser med kyststaterne, og som gør det vanskeligere at opnå en balance i fordelingsordningerne og udveksle fiskerimuligheder; bemærker med bekymring, at nogle kyststater udnytter denne ustabilitet ved ensidigt og uretfærdigt at forsøge at øge deres fiskerimuligheder på bekostning af EU's fiskerimuligheder; minder om, at det er vigtigt at respektere historiske fiskerirettigheder; opfordrer til øget samarbejde mellem EU og kyststaterne for at opnå bæredygtig forvaltning af fælles fiskebestande og større stabilitet og forudsigelighed med hensyn til fiskekvoter, navnlig i forbindelse med årlige konsultationer og trilaterale ordninger; </w:t>
      </w:r>
    </w:p>
    <w:p w14:paraId="08879D27" w14:textId="77777777" w:rsidR="00C16740" w:rsidRPr="007D1F16" w:rsidRDefault="00C16740" w:rsidP="00C16740">
      <w:pPr>
        <w:pStyle w:val="NormalHanging12a"/>
        <w:rPr>
          <w:bCs/>
          <w:iCs/>
        </w:rPr>
      </w:pPr>
      <w:r w:rsidRPr="007D1F16">
        <w:t>166.</w:t>
      </w:r>
      <w:r w:rsidRPr="007D1F16">
        <w:tab/>
        <w:t xml:space="preserve">minder om, at Det Forenede Kongerige har indført en fiskerilicensordning, for at EU-fartøjer kan få adgang til dets farvande; bemærker, at denne ordning i betydelig grad har forsinket den effektive gennemførelse af handels- og samarbejdsaftalen, da Det Forenede Kongerige har tilføjet mange forudsætninger for udstedelsen af disse licenser og navnlig har straffet fartøjer med en længde på under 12 meter, som historisk set har fisket i Det Forenede Kongeriges territorialfarvande, men har haft vanskeligt ved at bevise deres tilstedeværelse i Det Forenede Kongeriges farvande; beklager dybt, at denne situation har ført til, at mange mindre fartøjer ikke har fået udstedt licenser, hvilket har tvunget dem til at flytte til andre områder eller indstille deres aktiviteter og dermed har forværret den negative situation og de negative virkninger af andre ekstraomkostninger og bureaukratiske byrder i forbindelse med brexit; beklager desuden, at handels- og samarbejdsaftalen har gjort traktaten om Granville-bugten, som indtil brexit regulerede fiskeriet i Jerseys farvande, ugyldig; minder endelig om, at problemet med det generelle loft for licenser udstedt af Jersey stadig ikke er blevet løst fuldt ud, hvilket efterlader nogle fiskere i meget stor usikkerhed om deres fiskeriaktiviteter i kronbesiddelsernes farvande; </w:t>
      </w:r>
    </w:p>
    <w:p w14:paraId="55A4A26E" w14:textId="77777777" w:rsidR="00C16740" w:rsidRPr="007D1F16" w:rsidRDefault="00C16740" w:rsidP="00C16740">
      <w:pPr>
        <w:pStyle w:val="NormalHanging12a"/>
        <w:rPr>
          <w:bCs/>
          <w:iCs/>
        </w:rPr>
      </w:pPr>
      <w:r w:rsidRPr="007D1F16">
        <w:t>167.</w:t>
      </w:r>
      <w:r w:rsidRPr="007D1F16">
        <w:tab/>
        <w:t>minder om, at forvaltningsmæssige og tekniske foranstaltninger, der kan have indvirkning på den anden parts fartøjer, i henhold til handels- og samarbejdsaftalens artikel 496 skal meddeles i tilstrækkelig god tid til, at den anden part kan fremsætte bemærkninger eller anmode om præciseringer; understreger, at sådanne foranstaltninger skal være forholdsmæssige, ikkediskriminerende og baseret på den bedste tilgængelige videnskabelige rådgivning og skal tage hensyn til langsigtet miljømæssig, social og økonomisk bæredygtighed; beklager, at konsekvensanalyser ikke systematisk gennemføres med ligelig deltagelse af interessenter fra begge parter og i god tro; </w:t>
      </w:r>
    </w:p>
    <w:p w14:paraId="27F837D2" w14:textId="77777777" w:rsidR="00C16740" w:rsidRPr="007D1F16" w:rsidRDefault="00C16740" w:rsidP="00C16740">
      <w:pPr>
        <w:pStyle w:val="NormalHanging12a"/>
        <w:rPr>
          <w:bCs/>
          <w:iCs/>
        </w:rPr>
      </w:pPr>
      <w:r w:rsidRPr="007D1F16">
        <w:t>168.</w:t>
      </w:r>
      <w:r w:rsidRPr="007D1F16">
        <w:tab/>
        <w:t xml:space="preserve">beklager, at Det Forenede Kongerige ensidigt har gennemført en lang række fiskeriforvaltningsforanstaltninger, navnlig af teknisk karakter, herunder forbud mod </w:t>
      </w:r>
      <w:r w:rsidRPr="007D1F16">
        <w:lastRenderedPageBreak/>
        <w:t xml:space="preserve">visse former for fiskeri, indførelse af mindstemål for fangst af visse arter, lukning af fiskeri i beskyttede havområder (f.eks. ved Doggerbanke) og etablering af vindmølleparker, hvilket har ført til en drastisk begrænsning af EU-fartøjers adgang til Det Forenede Kongeriges fiskepladser og -ressourcer, navnlig i 6-12-sømilezonen; beklager, at disse foranstaltninger og foranstaltningerne på det sociale område har større indvirkning på EU-fartøjer end på fartøjer fra Det Forenede Kongeriges, hvilket har socioøkonomiske konsekvenser for EU's fiskeriindustri og navnlig for småfiskere; er bekymret for, at denne type foranstaltninger i sidste ende kan udelukke EU-fartøjer fra hele fiskeriområder, hvilket vil sætte spørgsmålstegn ved EU's fiskerirettigheder i britiske farvande; </w:t>
      </w:r>
    </w:p>
    <w:p w14:paraId="78822F4E" w14:textId="77777777" w:rsidR="00C16740" w:rsidRPr="007D1F16" w:rsidRDefault="00C16740" w:rsidP="00C16740">
      <w:pPr>
        <w:pStyle w:val="NormalHanging12a"/>
        <w:rPr>
          <w:bCs/>
          <w:iCs/>
        </w:rPr>
      </w:pPr>
      <w:r w:rsidRPr="007D1F16">
        <w:t>169.</w:t>
      </w:r>
      <w:r w:rsidRPr="007D1F16">
        <w:tab/>
        <w:t>opfordrer Kommissionen til at foretage omfattende og systematiske vurderinger af de sociale, økonomiske og miljømæssige virkninger af disse foranstaltninger, herunder i kronbesiddelserne, med henblik på at fastslå, om de er forholdsmæssige og ikkediskriminerende, og, hvor det er relevant, reagere beslutsomt og anvende tvistbilæggelsesmekanismen eller de gengældelsesforanstaltninger, der er fastsat i handels- og samarbejdsaftalen, herunder kompensationsforanstaltninger såsom suspension af præferencetoldbehandling af fiskevarer samt alle andre politiske og diplomatiske midler, den har til rådighed; </w:t>
      </w:r>
    </w:p>
    <w:p w14:paraId="355DB022" w14:textId="77777777" w:rsidR="00C16740" w:rsidRPr="007D1F16" w:rsidRDefault="00C16740" w:rsidP="00C16740">
      <w:pPr>
        <w:pStyle w:val="NormalHanging12a"/>
        <w:rPr>
          <w:bCs/>
          <w:iCs/>
        </w:rPr>
      </w:pPr>
      <w:r w:rsidRPr="007D1F16">
        <w:t>170.</w:t>
      </w:r>
      <w:r w:rsidRPr="007D1F16">
        <w:tab/>
        <w:t xml:space="preserve">glæder sig i den forbindelse over voldgiftsrettens endelige afgørelse af 28. april 2025 i tvisten mellem EU og Det Forenede Kongerige om afgørelsen om at lukke tobisfiskeriet i de engelske farvande i Nordsøen og i skotske farvande; bemærker, at voldgiftsretten i denne specifikke sag fandt, at der ikke var nogen overtrædelse af princippet om ikkeforskelsbehandling, og at foranstaltningen var videnskabeligt baseret; understreger, at voldgiftsretten fandt, at forbuddet mod tobisfiskeri i engelske farvande er i strid med proportionalitetsprincippet i handels- og samarbejdsaftalen, og at Det Forenede Kongerige ikke har opfyldt sin forpligtelse til at give fuld adgang til sine farvande med henblik på tobisfiskeri; minder om, at Det Forenede Kongerige er forpligtet til at træffe de nødvendige foranstaltninger for at efterkomme voldgiftsrettens afgørelse; mener, at denne afgørelse skaber en vigtig retlig præcedens for at beskytte EU's fiskerirettigheder og reagere på fremtidige lignende foranstaltninger, der træffes af Det Forenede Kongerige; opfordrer Kommissionen til fortsat at holde nøje øje med ensidige foranstaltninger, der træffes af Det Forenede Kongerige, for at sikre overholdelse af handels- og samarbejdsaftalen; </w:t>
      </w:r>
    </w:p>
    <w:p w14:paraId="663AD84C" w14:textId="77777777" w:rsidR="00C16740" w:rsidRPr="007D1F16" w:rsidRDefault="00C16740" w:rsidP="00C16740">
      <w:pPr>
        <w:pStyle w:val="NormalHanging12a"/>
        <w:rPr>
          <w:bCs/>
          <w:iCs/>
        </w:rPr>
      </w:pPr>
      <w:r w:rsidRPr="007D1F16">
        <w:t>171.</w:t>
      </w:r>
      <w:r w:rsidRPr="007D1F16">
        <w:tab/>
        <w:t xml:space="preserve">er bekymret over, at ensidige foranstaltninger har en dominoeffekt på EU's fiskerisektors og dens værdikædes overlevelsesmuligheder; </w:t>
      </w:r>
      <w:bookmarkStart w:id="21" w:name="_Hlk204088230"/>
      <w:r w:rsidRPr="007D1F16">
        <w:t>giver endvidere udtryk for sin bekymring over, at en begrænsning af adgangen til Det Forenede Kongeriges farvande fører til, at fiskeriindsatsen flyttes til Den Engelske Kanal og Nordsøen med øget pres på TAC-arter og arter, der ikke er omfattet af TAC, til følge;</w:t>
      </w:r>
      <w:bookmarkEnd w:id="21"/>
      <w:r w:rsidRPr="007D1F16">
        <w:t xml:space="preserve"> fremhæver, at den øgede anvendelse af EU's farvande har konsekvenser for sikkerheden og forvaltningen af det maritime rum, men også for adgangen til ressourcer, navnlig for ikkeindustrielt fiskeri, hvilket skaber tvivl om fiskeriaktiviteternes sociale, økonomiske og miljømæssige bæredygtighed; </w:t>
      </w:r>
    </w:p>
    <w:p w14:paraId="7A88D48A" w14:textId="77777777" w:rsidR="00C16740" w:rsidRPr="007D1F16" w:rsidRDefault="00C16740" w:rsidP="00C16740">
      <w:pPr>
        <w:pStyle w:val="NormalHanging12a"/>
        <w:rPr>
          <w:bCs/>
          <w:iCs/>
        </w:rPr>
      </w:pPr>
      <w:r w:rsidRPr="007D1F16">
        <w:t>172.</w:t>
      </w:r>
      <w:r w:rsidRPr="007D1F16">
        <w:tab/>
        <w:t xml:space="preserve">opfordrer begge parter til hurtigt at imødegå det øgede pres i Den Engelske Kanal og Nordsøen ved at foreslå en regional forvaltningsplan for at sikre bæredygtig udnyttelse af ressourcerne og flerårig fiskeriforvaltning; minder i den forbindelse Kommissionen om reglerne for den flerårige plan for Nordsøen, som også omfatter disse farvande, og mener, at de om nødvendigt bør justeres for at rette op på eventuelle </w:t>
      </w:r>
      <w:r w:rsidRPr="007D1F16">
        <w:lastRenderedPageBreak/>
        <w:t xml:space="preserve">uoverensstemmelser og sikre juridisk klarhed for operatørerne og medlemsstaterne; </w:t>
      </w:r>
    </w:p>
    <w:p w14:paraId="6E4EB8C7" w14:textId="77777777" w:rsidR="00C16740" w:rsidRPr="007D1F16" w:rsidRDefault="00C16740" w:rsidP="00C16740">
      <w:pPr>
        <w:pStyle w:val="NormalHanging12a"/>
        <w:rPr>
          <w:i/>
          <w:iCs/>
        </w:rPr>
      </w:pPr>
      <w:r w:rsidRPr="007D1F16">
        <w:rPr>
          <w:i/>
        </w:rPr>
        <w:t xml:space="preserve">Tilpasningsperiodens udløb </w:t>
      </w:r>
    </w:p>
    <w:p w14:paraId="5D1393DE" w14:textId="77777777" w:rsidR="00C16740" w:rsidRPr="007D1F16" w:rsidRDefault="00C16740" w:rsidP="00C16740">
      <w:pPr>
        <w:pStyle w:val="NormalHanging12a"/>
        <w:rPr>
          <w:bCs/>
          <w:iCs/>
        </w:rPr>
      </w:pPr>
      <w:r w:rsidRPr="007D1F16">
        <w:t>173.</w:t>
      </w:r>
      <w:r w:rsidRPr="007D1F16">
        <w:tab/>
        <w:t xml:space="preserve">opfordrer begge parter til at respektere det princip, der er fastsat i artikel 500 med titlen "Adgang til farvande", for at sikre en gensidigt tilfredsstillende balance mellem deres respektive interesser; minder om, at adgangen til farvande, herunder 6-12-sømilezonen, skal være gensidig og stå i et rimeligt forhold til den anden parts TAC'er eller gennemsnitlige fangstniveauer; opfordrer Kommissionen til at gennemføre denne artikel fuldt ud og til i Specialudvalget om Fiskeri at udarbejde de nødvendige retningslinjer for at lette dens praktiske anvendelse; </w:t>
      </w:r>
    </w:p>
    <w:p w14:paraId="531C82F0" w14:textId="77777777" w:rsidR="00C16740" w:rsidRPr="007D1F16" w:rsidRDefault="00C16740" w:rsidP="00C16740">
      <w:pPr>
        <w:pStyle w:val="NormalHanging12a"/>
        <w:rPr>
          <w:bCs/>
          <w:iCs/>
        </w:rPr>
      </w:pPr>
      <w:r w:rsidRPr="007D1F16">
        <w:t>174.</w:t>
      </w:r>
      <w:r w:rsidRPr="007D1F16">
        <w:tab/>
        <w:t xml:space="preserve">understreger, at handels- og samarbejdsaftalen indeholder en revisionsklausul, som fastsætter bestemmelse om en gennemgang i 2030 for at styrke og kodificere gennemførelsen af handels- og samarbejdsaftalen, men har i mente, at denne klausul ikke kan anvendes til at begrænse adgangen til farvande; opfordrer i den henseende Kommissionen til at gøre alt for at sikre forudsigelig, fortsat og øget adgang til farvande i de kommende år; </w:t>
      </w:r>
    </w:p>
    <w:p w14:paraId="07D8227C" w14:textId="77777777" w:rsidR="00C16740" w:rsidRPr="007D1F16" w:rsidRDefault="00C16740" w:rsidP="00C16740">
      <w:pPr>
        <w:pStyle w:val="NormalHanging12a"/>
      </w:pPr>
      <w:r w:rsidRPr="007D1F16">
        <w:t>175.</w:t>
      </w:r>
      <w:r w:rsidRPr="007D1F16">
        <w:tab/>
      </w:r>
      <w:bookmarkStart w:id="22" w:name="_Hlk210921900"/>
      <w:r w:rsidRPr="007D1F16">
        <w:t xml:space="preserve">fremhæver betydningen af en retfærdig og bæredygtig fiskeriaftale mellem EU og Det Forenede Kongerige; glæder sig over den politiske aftale, der blev indgået den 19. maj 2025 mellem EU og Det Forenede Kongerige, navnlig fornyelsen af den gensidige, stabile og fortsatte adgang til farvande indtil den 30. juni 2038, som giver stabilitet for fiskersamfundene; glæder sig over, at fiskeriet har spillet en betydelig rolle i disse nylige forhandlinger; opfordrer begge parter til at bibeholde en pragmatisk og gensidigt fordelagtig tilgang i fremtidige forhandlinger; </w:t>
      </w:r>
      <w:bookmarkEnd w:id="22"/>
    </w:p>
    <w:p w14:paraId="09AF94BD" w14:textId="77777777" w:rsidR="00C16740" w:rsidRPr="007D1F16" w:rsidRDefault="00C16740" w:rsidP="00C16740">
      <w:pPr>
        <w:pStyle w:val="NormalHanging12a"/>
      </w:pPr>
      <w:r w:rsidRPr="007D1F16">
        <w:t>176.</w:t>
      </w:r>
      <w:r w:rsidRPr="007D1F16">
        <w:tab/>
        <w:t>glæder sig over, at Specialudvalget om Fiskeri har formaliseret den politiske aftale; opfordrer Kommissionen til at være meget opmærksom på gennemførelsen af denne nye aftale, herunder med hensyn til adgangen til 6-12-sømilezonen, navnlig for franske ikkeindustrielle fartøjer og kystfartøjer; understreger den absolutte nødvendighed af solid overvågning og håndhævelse for at opretholde fælles forpligtelser, beskytte marine økosystemer og sikre levebrødet for EU-fiskere og dem, der bor i kystsamfund;</w:t>
      </w:r>
    </w:p>
    <w:p w14:paraId="2FE9D826" w14:textId="77777777" w:rsidR="00C16740" w:rsidRPr="007D1F16" w:rsidRDefault="00C16740" w:rsidP="00C16740">
      <w:pPr>
        <w:pStyle w:val="NormalHanging12a"/>
      </w:pPr>
      <w:r w:rsidRPr="007D1F16">
        <w:t>177.</w:t>
      </w:r>
      <w:r w:rsidRPr="007D1F16">
        <w:tab/>
        <w:t xml:space="preserve">gentager, at gensidig og vedvarende adgang til farvande og fiskeressourcer skal bevares som en væsentlig del af forbindelserne mellem EU og Det Forenede Kongerige og derfor skal behandles sammen med andre dele af handels- og samarbejdsaftalen, såsom handel, adgang til det indre marked for fiskevarer og energisamarbejde; </w:t>
      </w:r>
    </w:p>
    <w:p w14:paraId="3915FA34" w14:textId="77777777" w:rsidR="00C16740" w:rsidRPr="007D1F16" w:rsidRDefault="00C16740" w:rsidP="00C16740">
      <w:pPr>
        <w:pStyle w:val="NormalHanging12a"/>
      </w:pPr>
      <w:r w:rsidRPr="007D1F16">
        <w:t>178.</w:t>
      </w:r>
      <w:r w:rsidRPr="007D1F16">
        <w:tab/>
        <w:t xml:space="preserve">bemærker, at handels- og samarbejdsaftalen fastsætter en gradvis reduktion på 25 % af EU's TAC'er i Det Forenede Kongeriges farvande i overgangsperioden indtil udgangen af 2026; understreger, at denne reduktion var et enormt offer for EU's fiskere og har haft en betydelig indvirkning på EU's fiskeri, som har ført til flådeudfasningsplaner og tab af fartøjer; glæder sig over, at fiskerimulighederne efter 2026 vil blive fastholdt som minimum på dette niveau og ikke vil blive draget i tvivl; </w:t>
      </w:r>
    </w:p>
    <w:p w14:paraId="1B2C72E9" w14:textId="77777777" w:rsidR="00C16740" w:rsidRPr="007D1F16" w:rsidRDefault="00C16740" w:rsidP="00C16740">
      <w:pPr>
        <w:pStyle w:val="NormalHanging12a"/>
      </w:pPr>
      <w:r w:rsidRPr="007D1F16">
        <w:t>179.</w:t>
      </w:r>
      <w:r w:rsidRPr="007D1F16">
        <w:tab/>
        <w:t xml:space="preserve">beklager manglen på data eller undersøgelser om konsekvenserne af brexit for fiskerisektoren; opfordrer Kommissionen til at foretage en fuldstændig vurdering af tilpasningsperiodens konsekvenser for hele værdikæden i EU's fiskerisektor; </w:t>
      </w:r>
    </w:p>
    <w:p w14:paraId="13411C34" w14:textId="77777777" w:rsidR="00C16740" w:rsidRPr="007D1F16" w:rsidRDefault="00C16740" w:rsidP="00C16740">
      <w:pPr>
        <w:pStyle w:val="NormalHanging12a"/>
      </w:pPr>
      <w:r w:rsidRPr="007D1F16">
        <w:t>180.</w:t>
      </w:r>
      <w:r w:rsidRPr="007D1F16">
        <w:tab/>
        <w:t xml:space="preserve">understreger, at handels- og samarbejdsaftalen giver mulighed for at overveje at udvikle </w:t>
      </w:r>
      <w:r w:rsidRPr="007D1F16">
        <w:lastRenderedPageBreak/>
        <w:t xml:space="preserve">flerårige strategier for bevarelse og forvaltning af TAC'er og bestande uden for kvoten; opfordrer begge parter til at arbejde hen imod større stabilitet og forudsigelighed med hensyn til fiskekvoter og til at sikre en bæredygtig forvaltning af bestandene i Nordsøen og det nordøstlige Atlanterhav for begge parters fiskerisektorer; </w:t>
      </w:r>
    </w:p>
    <w:p w14:paraId="43E3BC46" w14:textId="77777777" w:rsidR="00C16740" w:rsidRPr="007D1F16" w:rsidRDefault="00C16740" w:rsidP="00C16740">
      <w:pPr>
        <w:pStyle w:val="NormalHanging12a"/>
        <w:rPr>
          <w:i/>
          <w:iCs/>
        </w:rPr>
      </w:pPr>
      <w:r w:rsidRPr="007D1F16">
        <w:rPr>
          <w:i/>
        </w:rPr>
        <w:t xml:space="preserve">Fiskeriforvaltning og -samarbejde mellem EU og Det Forenede Kongerige </w:t>
      </w:r>
    </w:p>
    <w:p w14:paraId="12BAAAEA" w14:textId="77777777" w:rsidR="00C16740" w:rsidRPr="007D1F16" w:rsidRDefault="00C16740" w:rsidP="00C16740">
      <w:pPr>
        <w:pStyle w:val="NormalHanging12a"/>
        <w:rPr>
          <w:bCs/>
          <w:iCs/>
        </w:rPr>
      </w:pPr>
      <w:r w:rsidRPr="007D1F16">
        <w:t>181.</w:t>
      </w:r>
      <w:r w:rsidRPr="007D1F16">
        <w:tab/>
        <w:t xml:space="preserve">understreger vigtigheden af et stærkere og tættere samarbejde mellem EU og Det Forenede Kongerige, ikke kun om fiskeri og forvaltning af beskyttede havområder, men generelt om maritim fysisk planlægning samt om tekniske, kontrol-, told- og sundhedsmæssige foranstaltninger, der involverer alle organer, herunder Specialudvalget om Fiskeri; opfordrer begge parter til at forbedre forvaltningsorganernes funktion og gennemsigtighed ved at sikre forudgående drøftelser forud for fastsættelsen af foranstaltninger, som bør være baseret på velfunderede videnskabelige og socioøkonomiske overvejelser og hverken bør være diskriminerende eller kunne forhindre de berørte aktører i at nå de kvoter, de har fået tildelt; </w:t>
      </w:r>
    </w:p>
    <w:p w14:paraId="1E3B928D" w14:textId="77777777" w:rsidR="00C16740" w:rsidRPr="007D1F16" w:rsidRDefault="00C16740" w:rsidP="00C16740">
      <w:pPr>
        <w:pStyle w:val="NormalHanging12a"/>
        <w:rPr>
          <w:bCs/>
          <w:iCs/>
        </w:rPr>
      </w:pPr>
      <w:r w:rsidRPr="007D1F16">
        <w:t>182.</w:t>
      </w:r>
      <w:r w:rsidRPr="007D1F16">
        <w:tab/>
        <w:t xml:space="preserve">opfordrer Kommissionen til at være særlig opmærksom på, at de fastsatte betingelser og de aftalte vilkår overholdes, og til at reagere kraftigt, hvis Det Forenede Kongerige handler på en diskriminerende måde; opfordrer endvidere Kommissionen til i Specialudvalget om Fiskeri at tilpasse told-, sundheds- og kontrolbegrænsningerne ved landing af fartøjer fra den ene part på den anden parts territorium, f.eks. ved at indføre en plan for fælles kontrol mellem Det Forenede Kongerige og de enkelte medlemsstater, forudsat at der gives ens garantier for fiskevarernes sporbarhed og overensstemmelse; fremhæver behovet for at sikre logistikkanalerne for både import og eksport ved at fjerne hindringer i forbindelse med manglende sundheds- og toldkontrol i visse havne; </w:t>
      </w:r>
    </w:p>
    <w:p w14:paraId="6E71DFE5" w14:textId="77777777" w:rsidR="00C16740" w:rsidRPr="007D1F16" w:rsidRDefault="00C16740" w:rsidP="00C16740">
      <w:pPr>
        <w:pStyle w:val="NormalHanging12a"/>
        <w:rPr>
          <w:bCs/>
          <w:iCs/>
        </w:rPr>
      </w:pPr>
      <w:r w:rsidRPr="007D1F16">
        <w:t>183.</w:t>
      </w:r>
      <w:r w:rsidRPr="007D1F16">
        <w:tab/>
        <w:t xml:space="preserve">giver udtryk for tiltagende bekymring over det stigende antal overtrædelser begået af fartøjer fra Det Forenede Kongerige i EU-farvande; opfordrer medlemsstaternes myndigheder til at styrke havovervågningskapaciteten, øge kontrollen og anvende passende sanktioner; </w:t>
      </w:r>
    </w:p>
    <w:p w14:paraId="21A748A2" w14:textId="77777777" w:rsidR="00C16740" w:rsidRPr="007D1F16" w:rsidRDefault="00C16740" w:rsidP="00C16740">
      <w:pPr>
        <w:pStyle w:val="NormalHanging12a"/>
        <w:rPr>
          <w:bCs/>
          <w:iCs/>
        </w:rPr>
      </w:pPr>
      <w:r w:rsidRPr="007D1F16">
        <w:t>184.</w:t>
      </w:r>
      <w:r w:rsidRPr="007D1F16">
        <w:tab/>
        <w:t xml:space="preserve">opfordrer parterne til at sikre sammenhæng, kompatibilitet og interoperabilitet mellem deres kontrolforanstaltninger, herunder de elektroniske fjernovervågnings- og kamerasystemer, der er indført for at undgå at påføre en uforholdsmæssig stor administrativ eller finansiel byrde, og at foranstaltningerne ikke afviger urimeligt fra hinanden; gentager, at begge parter bør være i tæt dialog med repræsentanter for sektoren, inden de indfører disse foranstaltninger; </w:t>
      </w:r>
    </w:p>
    <w:p w14:paraId="299A2CD2" w14:textId="77777777" w:rsidR="00C16740" w:rsidRPr="007D1F16" w:rsidRDefault="00C16740" w:rsidP="00C16740">
      <w:pPr>
        <w:pStyle w:val="NormalHanging12a"/>
        <w:rPr>
          <w:bCs/>
          <w:iCs/>
        </w:rPr>
      </w:pPr>
      <w:r w:rsidRPr="007D1F16">
        <w:t>185.</w:t>
      </w:r>
      <w:r w:rsidRPr="007D1F16">
        <w:tab/>
        <w:t xml:space="preserve">bemærker, at Specialudvalget om Fiskeri har holdt ni møder, siden handels- og samarbejdsaftalen trådte i kraft; beklager imidlertid dette organs manglende gennemsigtighed og ansvarlighed; anmoder om, at medlemmerne af Parlamentets Fiskeriudvalg inddrages i og indbydes til at deltage i møderne for at muliggøre behørig kontrol, og at mødeprotokoller og </w:t>
      </w:r>
      <w:r w:rsidRPr="007D1F16">
        <w:noBreakHyphen/>
        <w:t xml:space="preserve">dokumenter deles så hurtigt som muligt; </w:t>
      </w:r>
    </w:p>
    <w:p w14:paraId="1AB63016" w14:textId="77777777" w:rsidR="00C16740" w:rsidRPr="007D1F16" w:rsidRDefault="00C16740" w:rsidP="00C16740">
      <w:pPr>
        <w:pStyle w:val="NormalHanging12a"/>
        <w:rPr>
          <w:bCs/>
          <w:iCs/>
        </w:rPr>
      </w:pPr>
      <w:r w:rsidRPr="007D1F16">
        <w:t>186.</w:t>
      </w:r>
      <w:r w:rsidRPr="007D1F16">
        <w:tab/>
        <w:t xml:space="preserve">opfordrer EU og Det Forenede Kongerige til at styrke deres bestræbelser på at fremme bevarelse og bæredygtig udnyttelse af fiskeressourcerne, til at øge samarbejdet og udvekslingen af god praksis for at forbedre selektiviteten og mindske virkningerne af visse fangstmetoder og til at gennemføre den økosystembaserede tilgang fuldt ud; </w:t>
      </w:r>
    </w:p>
    <w:p w14:paraId="5A5F6D85" w14:textId="77777777" w:rsidR="00C16740" w:rsidRPr="007D1F16" w:rsidRDefault="00C16740" w:rsidP="00C16740">
      <w:pPr>
        <w:pStyle w:val="NormalHanging12a"/>
        <w:rPr>
          <w:bCs/>
          <w:iCs/>
        </w:rPr>
      </w:pPr>
      <w:r w:rsidRPr="007D1F16">
        <w:t>187.</w:t>
      </w:r>
      <w:r w:rsidRPr="007D1F16">
        <w:tab/>
        <w:t xml:space="preserve">opfordrer begge parter til at styrke deres samarbejde og koordinering på internationalt </w:t>
      </w:r>
      <w:r w:rsidRPr="007D1F16">
        <w:lastRenderedPageBreak/>
        <w:t xml:space="preserve">plan inden for rammerne af regionale fiskeriforvaltningsorganisationer eller med kyststater om fælles forvaltning af fiskebestande; fremhæver behovet for, at EU og Det Forenede Kongerige intensiverer deres samarbejde om bekæmpelse af ulovligt, urapporteret og ureguleret fiskeri og støtter de foranstaltninger, der er nødvendige for at udrydde det i alle internationale fora, med særlig vægt på at styrke reglerne om gennemsigtighed og sporbarhed af importerede fiskevarer; </w:t>
      </w:r>
    </w:p>
    <w:p w14:paraId="19F963A1" w14:textId="77777777" w:rsidR="00C16740" w:rsidRPr="007D1F16" w:rsidRDefault="00C16740" w:rsidP="00C16740">
      <w:pPr>
        <w:pStyle w:val="NormalHanging12a"/>
        <w:rPr>
          <w:bCs/>
          <w:iCs/>
        </w:rPr>
      </w:pPr>
      <w:r w:rsidRPr="007D1F16">
        <w:t>188.</w:t>
      </w:r>
      <w:r w:rsidRPr="007D1F16">
        <w:tab/>
        <w:t xml:space="preserve">minder begge parter om behovet for øget samarbejde om deres foranstaltninger vedrørende maritim fysisk planlægning, navnlig for så vidt angår konflikter mellem havvindmølleparkprojekter og bevaringsmålsætninger eller med fiskerisektoren; opfordrer til en tilgang, som afbalancerer alle interesser vedrørende anvendelsen af det maritime rum, og som bør afveje miljømæssige, økonomiske og sociale dimensioner og sikre sammenhæng og retfærdighed på tværs af sektorer; </w:t>
      </w:r>
    </w:p>
    <w:p w14:paraId="0F6FE8F0" w14:textId="77777777" w:rsidR="00C16740" w:rsidRPr="007D1F16" w:rsidRDefault="00C16740" w:rsidP="00C16740">
      <w:pPr>
        <w:pStyle w:val="NormalHanging12a"/>
        <w:rPr>
          <w:bCs/>
          <w:iCs/>
        </w:rPr>
      </w:pPr>
      <w:r w:rsidRPr="007D1F16">
        <w:t>189.</w:t>
      </w:r>
      <w:r w:rsidRPr="007D1F16">
        <w:tab/>
        <w:t xml:space="preserve">opfordrer begge parter til at gøre en fælles indsats for at fremme videnskabelig forskning og udveksle bedste praksis med hensyn til at finde frem til og fjerne ammunition fra havbunden; </w:t>
      </w:r>
    </w:p>
    <w:p w14:paraId="534803AC" w14:textId="77777777" w:rsidR="00C16740" w:rsidRPr="007D1F16" w:rsidRDefault="00C16740" w:rsidP="00C16740">
      <w:pPr>
        <w:pStyle w:val="NormalHanging12a"/>
        <w:rPr>
          <w:bCs/>
          <w:iCs/>
        </w:rPr>
      </w:pPr>
      <w:r w:rsidRPr="007D1F16">
        <w:t>190.</w:t>
      </w:r>
      <w:r w:rsidRPr="007D1F16">
        <w:tab/>
      </w:r>
      <w:bookmarkStart w:id="23" w:name="_Hlk204088509"/>
      <w:r w:rsidRPr="007D1F16">
        <w:t>opfordrer alle parter</w:t>
      </w:r>
      <w:bookmarkEnd w:id="23"/>
      <w:r w:rsidRPr="007D1F16">
        <w:t xml:space="preserve"> til at sikre, at udstedelsen af licenser og tilladelser til EU-fartøjer til at fiske i Det Forenede Kongeriges og kronbesiddelsernes farvande gennemføres uden administrative, skattemæssige eller finansielle hindringer; </w:t>
      </w:r>
    </w:p>
    <w:p w14:paraId="0CC1B813" w14:textId="77777777" w:rsidR="00C16740" w:rsidRPr="007D1F16" w:rsidRDefault="00C16740" w:rsidP="00C16740">
      <w:pPr>
        <w:pStyle w:val="NormalHanging12a"/>
        <w:rPr>
          <w:bCs/>
          <w:iCs/>
        </w:rPr>
      </w:pPr>
      <w:r w:rsidRPr="007D1F16">
        <w:t>191.</w:t>
      </w:r>
      <w:r w:rsidRPr="007D1F16">
        <w:tab/>
        <w:t xml:space="preserve">opfordrer i betragtning af Kanaløernes særlige situation Kommissionen til at lette samarbejdet mellem parterne gennem en bedre sammenhæng mellem den regionale dialog og firepartsmødet ("quad meeting"); opfordrer parterne til at inddrage repræsentanter for fiskerisektoren, alle relevante interessenter og lokale og regionale myndigheder og til at fremme modellen for fælles fiskeriforvaltning; </w:t>
      </w:r>
    </w:p>
    <w:p w14:paraId="7EBF7B87" w14:textId="77777777" w:rsidR="00C16740" w:rsidRPr="007D1F16" w:rsidRDefault="00C16740" w:rsidP="00C16740">
      <w:pPr>
        <w:pStyle w:val="NormalHanging12a"/>
        <w:rPr>
          <w:bCs/>
          <w:iCs/>
        </w:rPr>
      </w:pPr>
      <w:r w:rsidRPr="007D1F16">
        <w:t>192.</w:t>
      </w:r>
      <w:r w:rsidRPr="007D1F16">
        <w:tab/>
        <w:t xml:space="preserve">minder om, at brexittilpasningsreserven blev oprettet for at kompensere for de økonomiske, sociale, territoriale og miljømæssige konsekvenser af brexit; minder om, at denne fond på 5,4 mia. EUR var beregnet til at gavne fiskerisektoren, herunder ikkeindustrielt fiskeri, som blev uforholdsmæssigt hårdt ramt af brexit; minder om, at forordningen om brexittilpasningsreserven pålagde Kommissionen at underrette Parlamentet og Rådet om status for gennemførelsesprocessen senest i juni 2024; beklager, at Kommissionen ikke har fremsendt nogen oplysninger om emnet til dato; anmoder om, at Parlamentet og Rådet inden udgangen af 2025 underrettes om status for gennemførelsesprocessen for brexittilpasningsreserven; </w:t>
      </w:r>
    </w:p>
    <w:p w14:paraId="12F2E6F4" w14:textId="77777777" w:rsidR="00C16740" w:rsidRPr="007D1F16" w:rsidRDefault="00C16740" w:rsidP="00C16740">
      <w:pPr>
        <w:pStyle w:val="NormalHanging12a"/>
        <w:rPr>
          <w:b/>
          <w:i/>
        </w:rPr>
      </w:pPr>
      <w:r w:rsidRPr="007D1F16">
        <w:rPr>
          <w:b/>
          <w:i/>
        </w:rPr>
        <w:t>Koordinering af de sociale sikringsordninger</w:t>
      </w:r>
    </w:p>
    <w:p w14:paraId="0B92CA54" w14:textId="77777777" w:rsidR="00C16740" w:rsidRPr="007D1F16" w:rsidRDefault="00C16740" w:rsidP="00C16740">
      <w:pPr>
        <w:pStyle w:val="NormalHanging12a"/>
        <w:rPr>
          <w:szCs w:val="24"/>
        </w:rPr>
      </w:pPr>
      <w:r w:rsidRPr="007D1F16">
        <w:t>193.</w:t>
      </w:r>
      <w:r w:rsidRPr="007D1F16">
        <w:tab/>
        <w:t xml:space="preserve">glæder sig over, at Kommissionen vurderer, at samarbejdet mellem EU og Det Forenede Kongerige inden for koordinering af de sociale sikringsordninger har været konstruktivt, idet der ikke blev konstateret nogen systemiske eller strukturelle problemer hverken i 2023 eller i 2024, og at begge parter har engageret sig i at løse alle problemer, der måtte opstå i forbindelse med gennemførelsen af handels- og samarbejdsaftalens protokol om koordinering af de sociale sikringsordninger; bemærker, at Specialudvalget om Koordinering af Sociale Sikringsordninger har vedtaget to afgørelser hhv. vedrørende udstationerede arbejdstagere og selvstændige erhvervsdrivende, hvori visse finansielle aspekter præciseres; understreger vigtigheden af en dynamisk protokol, som er tilpasset revideringerne af bestemmelserne om koordinering af de sociale sikringsordninger; opfordrer til fortsatte bestræbelser på at forenkle procedurerne, sikre en ensartet </w:t>
      </w:r>
      <w:r w:rsidRPr="007D1F16">
        <w:lastRenderedPageBreak/>
        <w:t>fortolkning i medlemsstaterne og Det Forenede Kongerige og forbedre borgernes adgang til social sikring gennem bedre vejledning, digitale værktøjer og administrativt samarbejde;</w:t>
      </w:r>
    </w:p>
    <w:p w14:paraId="1968A806" w14:textId="77777777" w:rsidR="00C16740" w:rsidRPr="007D1F16" w:rsidRDefault="00C16740" w:rsidP="00C16740">
      <w:pPr>
        <w:spacing w:after="240"/>
        <w:ind w:left="567" w:hanging="567"/>
      </w:pPr>
      <w:r w:rsidRPr="007D1F16">
        <w:t>194.</w:t>
      </w:r>
      <w:r w:rsidRPr="007D1F16">
        <w:tab/>
        <w:t xml:space="preserve">bemærker, at Specialudvalget om Koordinering af Sociale Sikringsordninger har udført teknisk arbejde inden for emner såsom ændringer af strukturerede elektroniske dokumenter og personbårne dokumenter, procedurer for refusion af udgifter til ydelser ved sygdom, og gennemførelsen af relevante afgørelser fra EU's Administrative Kommission for Koordinering af Sociale Sikringsordninger; opfordrer udvalget til at intensivere sin indsats og levere mærkbare fremskridt med hensyn til at forbedre procedurerne, sikre en ensartet fortolkning i medlemsstaterne og Det Forenede Kongerige samt forbedre koordineringen af socialsikringsrettigheder for mobile arbejdstagere og grænsearbejdere; </w:t>
      </w:r>
    </w:p>
    <w:p w14:paraId="5F02A7CC" w14:textId="77777777" w:rsidR="00C16740" w:rsidRPr="007D1F16" w:rsidRDefault="00C16740" w:rsidP="00C16740">
      <w:pPr>
        <w:spacing w:after="240"/>
        <w:ind w:left="567" w:hanging="567"/>
      </w:pPr>
      <w:r w:rsidRPr="007D1F16">
        <w:t>195.</w:t>
      </w:r>
      <w:r w:rsidRPr="007D1F16">
        <w:tab/>
        <w:t>understreger, at det er vigtigt at garantere anstændige, retfærdige og sikre arbejdsvilkår for sæsonarbejdere, navnlig i vigtige sektorer som landbrug, turisme og byggeri; opfordrer Kommissionen til i forbindelse med gennemførelsen af handels- og samarbejdsaftalen at fremme indførelsen af en særlig mekanisme for sæsonarbejderes mobilitet, som indeholder fælles standarder for ansættelsesvarighed, adgang til social sikring og beskyttelse mod udnyttelse og med garantier svarende til dem, der er fastsat i direktiv 2014/36/EU</w:t>
      </w:r>
      <w:r w:rsidRPr="007D1F16">
        <w:rPr>
          <w:rStyle w:val="FootnoteReference"/>
        </w:rPr>
        <w:footnoteReference w:id="45"/>
      </w:r>
      <w:r w:rsidRPr="007D1F16">
        <w:t xml:space="preserve">; </w:t>
      </w:r>
    </w:p>
    <w:p w14:paraId="03EC311A" w14:textId="77777777" w:rsidR="00C16740" w:rsidRPr="007D1F16" w:rsidRDefault="00C16740" w:rsidP="00C16740">
      <w:pPr>
        <w:spacing w:after="240"/>
        <w:ind w:left="567" w:hanging="567"/>
      </w:pPr>
      <w:r w:rsidRPr="007D1F16">
        <w:t>196.</w:t>
      </w:r>
      <w:r w:rsidRPr="007D1F16">
        <w:tab/>
        <w:t xml:space="preserve">opfordrer Kommissionen til at vurdere muligheden for at oprette et fælles kontaktpunkt for EU og Det Forenede Kongerige til indberetning af krænkelser af arbejdstagernes rettigheder, hindringer for adgang til sociale ydelser eller problemer med anerkendelse af grænseoverskridende ansættelseskontrakter; </w:t>
      </w:r>
    </w:p>
    <w:p w14:paraId="17246CD1" w14:textId="77777777" w:rsidR="00C16740" w:rsidRPr="007D1F16" w:rsidRDefault="00C16740" w:rsidP="00C16740">
      <w:pPr>
        <w:spacing w:after="240"/>
        <w:ind w:left="567" w:hanging="567"/>
      </w:pPr>
      <w:r w:rsidRPr="007D1F16">
        <w:t>197.</w:t>
      </w:r>
      <w:r w:rsidRPr="007D1F16">
        <w:tab/>
        <w:t xml:space="preserve">noterer sig betydningen og værdien af EU's sociale model og opfordrer Det Forenede Kongeriges regering til at udvide klausulen om ikkeforringelse til hele EU's regelværk på det sociale område; </w:t>
      </w:r>
    </w:p>
    <w:p w14:paraId="6B6F5482" w14:textId="77777777" w:rsidR="00C16740" w:rsidRPr="007D1F16" w:rsidRDefault="00C16740" w:rsidP="00C16740">
      <w:pPr>
        <w:pStyle w:val="NormalHanging12a"/>
        <w:rPr>
          <w:b/>
          <w:i/>
        </w:rPr>
      </w:pPr>
      <w:r w:rsidRPr="007D1F16">
        <w:rPr>
          <w:b/>
          <w:i/>
        </w:rPr>
        <w:t>Deltagelse i EU-programmer</w:t>
      </w:r>
    </w:p>
    <w:p w14:paraId="2909DD1D" w14:textId="77777777" w:rsidR="00C16740" w:rsidRPr="007D1F16" w:rsidRDefault="00C16740" w:rsidP="00C16740">
      <w:pPr>
        <w:pStyle w:val="NormalHanging12a"/>
        <w:rPr>
          <w:szCs w:val="24"/>
        </w:rPr>
      </w:pPr>
      <w:r w:rsidRPr="007D1F16">
        <w:t>198.</w:t>
      </w:r>
      <w:r w:rsidRPr="007D1F16">
        <w:tab/>
        <w:t>gentager sit synspunkt om, at handels- og samarbejdsaftalens afsnit om Det Forenede Kongeriges deltagelse i EU-programmer, forsvarlig økonomisk forvaltning og finansielle bestemmelser udgør et rimeligt grundlag for Det Forenede Kongeriges deltagelse og bidrager til at sikre beskyttelsen af EU's finansielle interesser; understreger behovet for gennemsigtige budgetterings- og omkostningsdelingsordninger;</w:t>
      </w:r>
    </w:p>
    <w:p w14:paraId="7A746BF0" w14:textId="77777777" w:rsidR="00C16740" w:rsidRPr="007D1F16" w:rsidRDefault="00C16740" w:rsidP="00C16740">
      <w:pPr>
        <w:pStyle w:val="NormalHanging12a"/>
      </w:pPr>
      <w:r w:rsidRPr="007D1F16">
        <w:t>199.</w:t>
      </w:r>
      <w:r w:rsidRPr="007D1F16">
        <w:tab/>
        <w:t xml:space="preserve">glæder sig meget over, at Det Forenede Kongerige i henhold til protokol I og II til handels- og samarbejdsaftalen deltager i Horisont Europa og Copernicuskomponenten i EU's rumprogram og har adgang til tjenester fra EU-rumovervågnings- og sporingskomponenten i EU's rumprogram; fremhæver fordelene for EU og dets borgere ved ikke-EU-landes deltagelse i EU-programmer; mener, at Det Forenede Kongeriges deltagelse i Horisont Europa er en anerkendelse af, at britisk videnskab og innovation er </w:t>
      </w:r>
      <w:r w:rsidRPr="007D1F16">
        <w:lastRenderedPageBreak/>
        <w:t>en integreret del af det europæiske økosystem for videnskab og innovation; mener, at det er til gensidig gavn, at Det Forenede Kongerige associeres med det fremtidige 10. forskningsrammeprogram (RP10), og at anvendelsesområdet for en sådan associering bør opfylde målet om at fremme økonomisk vækst i EU gennem innovation; mener, at det derfor er afgørende, at der i sidste ende opnås en rimelig balance mellem Det Forenede Kongeriges bidrag og de fordele, som det vil modtage til gengæld;</w:t>
      </w:r>
    </w:p>
    <w:p w14:paraId="5F5DBE30" w14:textId="77777777" w:rsidR="00C16740" w:rsidRPr="007D1F16" w:rsidRDefault="00C16740" w:rsidP="00C16740">
      <w:pPr>
        <w:spacing w:after="240"/>
        <w:ind w:left="539" w:hanging="539"/>
      </w:pPr>
      <w:r w:rsidRPr="007D1F16">
        <w:t>200.</w:t>
      </w:r>
      <w:r w:rsidRPr="007D1F16">
        <w:tab/>
        <w:t xml:space="preserve">gentager ikke desto mindre sin bekymring over bestemmelserne i protokol I om en automatisk korrektionsmekanisme for Det Forenede Kongerige i forbindelse med Horisont Europa, der ikke blev aftalt som led i selve handels- og samarbejdsaftalen; noterer sig, at Det Forenede Kongeriges korrektionsmekanisme finder anvendelse indtil udløbet af den nuværende flerårige finansielle ramme (FFR) og er mindre gunstig end korrektionsmekanismen i handels- og samarbejdsaftalen; </w:t>
      </w:r>
    </w:p>
    <w:p w14:paraId="2A5615C6" w14:textId="77777777" w:rsidR="00C16740" w:rsidRPr="007D1F16" w:rsidRDefault="00C16740" w:rsidP="00C16740">
      <w:pPr>
        <w:spacing w:after="240"/>
        <w:ind w:left="540" w:hanging="540"/>
      </w:pPr>
      <w:r w:rsidRPr="007D1F16">
        <w:t>201.</w:t>
      </w:r>
      <w:r w:rsidRPr="007D1F16">
        <w:tab/>
        <w:t xml:space="preserve">fremhæver </w:t>
      </w:r>
      <w:proofErr w:type="gramStart"/>
      <w:r w:rsidRPr="007D1F16">
        <w:t>endvidere</w:t>
      </w:r>
      <w:proofErr w:type="gramEnd"/>
      <w:r w:rsidRPr="007D1F16">
        <w:t xml:space="preserve"> de vanskeligheder, som høje visumgebyrer og sundhedstillægget udgør for EU-forskere, der drager fordel af Horisont Europa og ønsker at udøve deres ret til mobilitet ved at flytte til Det Forenede Kongerige, og opfordrer indtrængende Det Forenede Kongerige til at løse dette problem; </w:t>
      </w:r>
    </w:p>
    <w:p w14:paraId="438E1AB5" w14:textId="77777777" w:rsidR="00C16740" w:rsidRPr="007D1F16" w:rsidRDefault="00C16740" w:rsidP="00C16740">
      <w:pPr>
        <w:spacing w:after="240"/>
        <w:ind w:left="540" w:hanging="540"/>
      </w:pPr>
      <w:r w:rsidRPr="007D1F16">
        <w:t>202.</w:t>
      </w:r>
      <w:r w:rsidRPr="007D1F16">
        <w:tab/>
        <w:t xml:space="preserve">er fortsat bekymret over den ændrede associeringsprotokol fra 2023 inden for rammerne af handels- og samarbejdsaftalen, navnlig over det forhold, at den automatiske rabat på Det Forenede Kongeriges bidrag til Horisont Europa, i tilfælde af at Det Forenede Kongerige deltager i programmet i mindre omfang end forventet, har skabt uoverensstemmelser med bestemmelserne i handels- og samarbejdsaftalen, som Parlamentet godkendte i december 2020; bemærker, at denne ændring af handels- og samarbejdsaftalen gennem vedtagelsen af en protokol bevirkede, at Parlamentet ikke havde mulighed for på meningsfuld vis at give sin godkendelse af eller føre effektiv kontrol med noget, der udgør en central del af den samlede aftale; </w:t>
      </w:r>
    </w:p>
    <w:p w14:paraId="3DA35A0F" w14:textId="77777777" w:rsidR="00C16740" w:rsidRPr="007D1F16" w:rsidRDefault="00C16740" w:rsidP="00C16740">
      <w:pPr>
        <w:spacing w:after="240"/>
        <w:ind w:left="567" w:hanging="567"/>
      </w:pPr>
      <w:r w:rsidRPr="007D1F16">
        <w:t>203.</w:t>
      </w:r>
      <w:r w:rsidRPr="007D1F16">
        <w:tab/>
        <w:t>understreger, at enhver international aftale om Det Forenede Kongeriges associering med EU-programmer fuldt ud bør respektere Parlamentets beføjelse til på meningsfuld vis at give sin godkendelse i overensstemmelse med Parlamentets beslutning af 8. februar 2024 om associeringsaftaler om tredjelandes deltagelse i EU-programmer</w:t>
      </w:r>
      <w:r w:rsidRPr="007D1F16">
        <w:rPr>
          <w:rStyle w:val="FootnoteReference"/>
        </w:rPr>
        <w:footnoteReference w:id="46"/>
      </w:r>
      <w:r w:rsidRPr="007D1F16">
        <w:t xml:space="preserve">; </w:t>
      </w:r>
    </w:p>
    <w:p w14:paraId="3EC2D627" w14:textId="77777777" w:rsidR="00C16740" w:rsidRPr="007D1F16" w:rsidRDefault="00C16740" w:rsidP="00C16740">
      <w:pPr>
        <w:spacing w:after="240"/>
        <w:ind w:left="567" w:hanging="567"/>
      </w:pPr>
      <w:r w:rsidRPr="007D1F16">
        <w:t>204.</w:t>
      </w:r>
      <w:r w:rsidRPr="007D1F16">
        <w:tab/>
        <w:t xml:space="preserve">opfordrer til, at Parlamentet inddrages fuldt ud i alle forhandlinger om Det Forenede Kongeriges deltagelse i det 10. forskningsrammeprogram (RP10) og i forbindelse med gennemførelsen af RP10 i løbet af den næste FFR-periode; håber, at begge parter kan undgå de forsinkelser, der har præget Det Forenede Kongeriges deltagelse i Horisont Europa og Copernicusprogrammet under den nuværende FFR, for at sikre kontinuitet i finansieringen af EU's centrale forsknings- og innovationsprojekter, der involverer partnere fra Det Forenede Kongerige; </w:t>
      </w:r>
    </w:p>
    <w:p w14:paraId="539E74CD" w14:textId="77777777" w:rsidR="00C16740" w:rsidRPr="007D1F16" w:rsidRDefault="00C16740" w:rsidP="00C16740">
      <w:pPr>
        <w:spacing w:after="240"/>
        <w:ind w:left="567" w:hanging="567"/>
      </w:pPr>
      <w:r w:rsidRPr="007D1F16">
        <w:t>205.</w:t>
      </w:r>
      <w:r w:rsidRPr="007D1F16">
        <w:tab/>
        <w:t xml:space="preserve">bemærker, at Choose Europe for Science-initiativet klart positionerer både Det Europæiske Forskningsråd (EFR) og Marie Skłodowska‑Curie-aktionerne (MSCA) som vigtige programmer, der kan hjælpe EU med at tiltrække videnskabelige talenter fra hele verden; bemærker, at Det Forenede Kongerige kan deltage i begge disse programmer, og fremhæver Det Forenede Kongeriges positive resultater i begge programmer; minder om det retlige krav, der er fastsat i artikel 16, stk. 3, i forordningen </w:t>
      </w:r>
      <w:r w:rsidRPr="007D1F16">
        <w:lastRenderedPageBreak/>
        <w:t>om Horisont Europa</w:t>
      </w:r>
      <w:r w:rsidRPr="007D1F16">
        <w:rPr>
          <w:rStyle w:val="FootnoteReference"/>
        </w:rPr>
        <w:footnoteReference w:id="47"/>
      </w:r>
      <w:r w:rsidRPr="007D1F16">
        <w:t xml:space="preserve"> om, at anvendelsesområdet for konkrete tredjelandes associering skal gøres til genstand for en analyse af fordelene for Unionen og målet om at fremme økonomisk vækst i Unionen gennem innovation; mener, at manglen på talenter udgør en begrænsende faktor for EU's økonomiske vækst, navnlig i højteknologiske sektorer; anmoder derfor Kommissionen om en detaljeret analyse af fordelene for EU ved Det Forenede Kongeriges deltagelse i EFR og MSCA, navnlig i betragtning af, hvordan dette indvirker på EU's evne til at tiltrække talenter til det videnskabelige område, samt om at dele denne analyse med Parlamentet, helst sideløbende med forhandlingerne om lovgivningsforslaget om RP10; </w:t>
      </w:r>
    </w:p>
    <w:p w14:paraId="00F3C620" w14:textId="77777777" w:rsidR="00C16740" w:rsidRPr="007D1F16" w:rsidRDefault="00C16740" w:rsidP="00C16740">
      <w:pPr>
        <w:spacing w:after="240"/>
        <w:ind w:left="567" w:hanging="567"/>
      </w:pPr>
      <w:r w:rsidRPr="007D1F16">
        <w:t>206.</w:t>
      </w:r>
      <w:r w:rsidRPr="007D1F16">
        <w:tab/>
        <w:t xml:space="preserve">udtrykker bekymring over, at Det Forenede Kongerige har forhøjet sundhedstillægget og visumgebyrerne betydeligt for forskere, som rejser til Det Forenede Kongerige med finansiering fra Horisont Europa, hvilket har gjort mobiliteten økonomisk vanskeligere for forskere fra EU og for deres partnerinstitutioner i Det Forenede Kongerige; støtter den opfordring til at vende tilbage til det tillæg og de gebyrer, der tidligere var gældende, som EU kom med på det tredje møde i Partnerskabsrådet den 16. maj 2024; ville hilse et tilsagn om yderligere at mindske den administrative byrde og de dermed forbundne omkostninger for forskere fra EU, som tager på mobilitetsophold i Det Forenede Kongerige som led i Horisont Europa og dets efterfølger, RP10, velkommen; </w:t>
      </w:r>
    </w:p>
    <w:p w14:paraId="23047173" w14:textId="77777777" w:rsidR="00C16740" w:rsidRPr="007D1F16" w:rsidRDefault="00C16740" w:rsidP="00C16740">
      <w:pPr>
        <w:spacing w:after="240"/>
        <w:ind w:left="540" w:hanging="540"/>
      </w:pPr>
      <w:r w:rsidRPr="007D1F16">
        <w:t>207.</w:t>
      </w:r>
      <w:r w:rsidRPr="007D1F16">
        <w:tab/>
        <w:t xml:space="preserve">noterer sig, at Det Forenede Kongerige i sidste ende besluttede sig for ikke at deltage i hverken Euratoms forsknings- og uddannelsesprogram, fællesforetagendet Fusion for Energy (F4E) eller ITER-projektet for forskning i nuklear fusionsenergi, selv om dets deltagelse var forudset i den fælles erklæring mellem EU og Det Forenede Kongerige om deltagelse i EU-programmer, som ledsagede handels- og samarbejdsaftalen; giver udtryk for bekymring over, at Rusland fortsat deltager i ITER-projektet; opfordrer til beskyttelse af den videnskabelige arv fra Joint European Torus, som er beliggende i Culham i Det Forenede Kongerige, og som igennem årtier har fungeret som flagskibet for europæisk forskning i kernefusion; understreger, at den igangværende afvikling af dette enestående anlæg risikerer at medføre et uopretteligt tab af videnskabelig infrastruktur og ekspertise; </w:t>
      </w:r>
    </w:p>
    <w:p w14:paraId="7C81089D" w14:textId="77777777" w:rsidR="00C16740" w:rsidRPr="007D1F16" w:rsidRDefault="00C16740" w:rsidP="00C16740">
      <w:pPr>
        <w:spacing w:after="240"/>
        <w:ind w:left="540" w:hanging="540"/>
      </w:pPr>
      <w:r w:rsidRPr="007D1F16">
        <w:t>208.</w:t>
      </w:r>
      <w:r w:rsidRPr="007D1F16">
        <w:tab/>
        <w:t xml:space="preserve">beklager, at Det Forenede Kongerige har valgt ikke at deltage i andre EU-programmer, og dets beslutning om ikke at deltage i Euratom og F4E som oprindeligt forudset i den fælles erklæring fra december 2020; mener, at Det Forenede Kongeriges deltagelse i ITER-projektet skal være baseret på deltagelse i F4E; beklager dybt beslutningen om at afvikle Joint European Torus; opfordrer indtrængende Det Forenede Kongerige til at genoverveje sin holdning til disse spørgsmål; </w:t>
      </w:r>
    </w:p>
    <w:p w14:paraId="7D347172" w14:textId="77777777" w:rsidR="00C16740" w:rsidRPr="007D1F16" w:rsidRDefault="00C16740" w:rsidP="00C16740">
      <w:pPr>
        <w:spacing w:after="240"/>
        <w:ind w:left="567" w:hanging="567"/>
      </w:pPr>
      <w:r w:rsidRPr="007D1F16">
        <w:t>209.</w:t>
      </w:r>
      <w:r w:rsidRPr="007D1F16">
        <w:tab/>
        <w:t xml:space="preserve">fremhæver PEACEPLUS-programmet, som er en efterfølger til tidligere grænseoverskridende samarbejdsinitiativer, og dets afgørende rolle med hensyn til at fremme fred, forsoning og socioøkonomisk velstand i hele Nordirland og grænseregionen; bemærker, at programmet finansieres gennem betydelige bidrag fra EU og Det Forenede Kongerige; </w:t>
      </w:r>
    </w:p>
    <w:p w14:paraId="5FF11521" w14:textId="77777777" w:rsidR="00C16740" w:rsidRPr="007D1F16" w:rsidRDefault="00C16740" w:rsidP="00C16740">
      <w:pPr>
        <w:pStyle w:val="NormalHanging12a"/>
      </w:pPr>
      <w:r w:rsidRPr="007D1F16">
        <w:lastRenderedPageBreak/>
        <w:t>210.</w:t>
      </w:r>
      <w:r w:rsidRPr="007D1F16">
        <w:tab/>
        <w:t>glæder sig over aftalen om statistisk samarbejde, der er indgået mellem Eurostat og Det Forenede Kongeriges statistikmyndighed, og som muliggør udveksling af statistiske data, der er relevante for Det Forenede Kongeriges deltagelse i EU-programmer; mener, at pålidelige statistiske oplysninger udgør et vigtigt grundlag for beslutningstagningen på dette område og for at kontrollere, at de finansielle bestemmelser, der er fastsat i handels- og samarbejdsaftalen, overholdes;</w:t>
      </w:r>
    </w:p>
    <w:p w14:paraId="3EC4706D" w14:textId="77777777" w:rsidR="00C16740" w:rsidRPr="007D1F16" w:rsidRDefault="00C16740" w:rsidP="00C16740">
      <w:pPr>
        <w:pStyle w:val="NormalHanging12a"/>
        <w:rPr>
          <w:b/>
          <w:i/>
        </w:rPr>
      </w:pPr>
      <w:r w:rsidRPr="007D1F16">
        <w:rPr>
          <w:b/>
          <w:i/>
        </w:rPr>
        <w:t>Uddannelse, kultur, unge og sport</w:t>
      </w:r>
    </w:p>
    <w:p w14:paraId="1119CC7C" w14:textId="77777777" w:rsidR="00C16740" w:rsidRPr="007D1F16" w:rsidRDefault="00C16740" w:rsidP="00C16740">
      <w:pPr>
        <w:pStyle w:val="NormalHanging12a"/>
        <w:rPr>
          <w:szCs w:val="24"/>
        </w:rPr>
      </w:pPr>
      <w:r w:rsidRPr="007D1F16">
        <w:t>211.</w:t>
      </w:r>
      <w:r w:rsidRPr="007D1F16">
        <w:tab/>
        <w:t>bemærker den store vægt, der blev lagt på at styrke mellemfolkelige bånd, navnlig blandt den yngre generation på det nylige topmøde mellem EU og Det Forenede Kongerige;</w:t>
      </w:r>
    </w:p>
    <w:p w14:paraId="25C65E15" w14:textId="77777777" w:rsidR="00C16740" w:rsidRPr="007D1F16" w:rsidDel="000D4D5A" w:rsidRDefault="00C16740" w:rsidP="00C16740">
      <w:pPr>
        <w:spacing w:after="240"/>
        <w:ind w:left="567" w:hanging="567"/>
      </w:pPr>
      <w:r w:rsidRPr="007D1F16">
        <w:t>212.</w:t>
      </w:r>
      <w:r w:rsidRPr="007D1F16">
        <w:tab/>
        <w:t xml:space="preserve">minder om, at borgernes rettigheder står centralt i udtrædelsesaftalen, og at de skal beskyttes fuldt ud; bemærker imidlertid, at det siden brexit er blevet mere besværligt for EU-borgere at rejse og flytte til Det Forenede Kongerige; er yderst bekymret over de ændringer af indvandringspolitikken, der i øjeblikket drøftes i Det Forenede Kongerige, for så vidt som de kan påvirke EU-borgernes rettigheder i Det Forenede Kongerige, herunder studerende fra EU og de studieafgifter, der er gældende for dem; </w:t>
      </w:r>
    </w:p>
    <w:p w14:paraId="46140579" w14:textId="77777777" w:rsidR="00C16740" w:rsidRPr="007D1F16" w:rsidRDefault="00C16740" w:rsidP="00C16740">
      <w:pPr>
        <w:pStyle w:val="NormalHanging12a"/>
      </w:pPr>
      <w:r w:rsidRPr="007D1F16">
        <w:t>213.</w:t>
      </w:r>
      <w:r w:rsidRPr="007D1F16">
        <w:tab/>
        <w:t>understreger, at unges mobilitet blev alvorligt hæmmet af brexit; glæder sig over Kommissionens forslag om at oprette en mobilitetsordning for unge</w:t>
      </w:r>
      <w:r w:rsidRPr="007D1F16">
        <w:rPr>
          <w:rStyle w:val="FootnoteReference"/>
        </w:rPr>
        <w:footnoteReference w:id="48"/>
      </w:r>
      <w:r w:rsidRPr="007D1F16">
        <w:t xml:space="preserve"> og over det fælles tilsagn, der kommer til udtryk i den fælles forståelse, om at arbejde hen imod en afbalanceret og gensidigt fordelagtig ungdomserfaringsordning med henblik på at gøre det lettere for unge fra EU og Det Forenede Kongerige at deltage i forskellige aktiviteter såsom arbejde, studier, au pair-ophold, frivilligt arbejde eller blot at rejse i en begrænset periode; tilskynder begge parter til hurtigt og ambitiøst at gå videre med udformningen og gennemførelsen heraf og sikre gensidig adgang, juridisk klarhed og passende social beskyttelse for deltagerne som et meget vigtigt skridt i genoprettelsen af mellemfolkelige forbindelser og langsigtet samarbejde; fremhæver behovet for, hvor det er relevant, at sikre anstændige lønninger og arbejdsvilkår for deltagere i enhver fremtidig ungdomserfaringsordning; tilskynder kraftigt Det Forenede Kongerige til at udvise åbenhed over for de forslag, som Kommissionen fremlagde på dette område i 2024; er af den faste overbevisning, at en aftale om unges mobilitet skal udgøre en væsentlig del af enhver fremtidig revidering af handels- og samarbejdsaftalen;</w:t>
      </w:r>
    </w:p>
    <w:p w14:paraId="0922D57E" w14:textId="77777777" w:rsidR="00C16740" w:rsidRPr="007D1F16" w:rsidRDefault="00C16740" w:rsidP="00C16740">
      <w:pPr>
        <w:spacing w:after="240"/>
        <w:ind w:left="567" w:hanging="567"/>
        <w:rPr>
          <w:i/>
          <w:iCs/>
        </w:rPr>
      </w:pPr>
      <w:r w:rsidRPr="007D1F16">
        <w:t>214.</w:t>
      </w:r>
      <w:r w:rsidRPr="007D1F16">
        <w:tab/>
        <w:t>mener, at en sådan ordning har et betydeligt potentiale til at inspirere en ny generation af unge i EU og Det Forenede Kongerige ved at skabe lovlige mellemfolkelige udvekslinger, som er forankret i fælles demokratiske værdier, kulturel forståelse og gensidig tillid, og at den kan danne grundlag for langsigtet samarbejde, social samhørighed og stærkere tværnationale netværk blandt unge; tilskynder desuden begge parter til at overveje at lette mobiliteten mellem Det Forenede Kongerige og EU, selv ud over den foreslåede ungdomserfaringsordning;</w:t>
      </w:r>
      <w:r w:rsidRPr="007D1F16">
        <w:rPr>
          <w:b/>
          <w:i/>
        </w:rPr>
        <w:t xml:space="preserve"> </w:t>
      </w:r>
    </w:p>
    <w:p w14:paraId="1864F0C8" w14:textId="77777777" w:rsidR="00C16740" w:rsidRPr="007D1F16" w:rsidRDefault="00C16740" w:rsidP="00C16740">
      <w:pPr>
        <w:ind w:left="540" w:hanging="540"/>
      </w:pPr>
      <w:r w:rsidRPr="007D1F16">
        <w:t>215.</w:t>
      </w:r>
      <w:r w:rsidRPr="007D1F16">
        <w:tab/>
        <w:t xml:space="preserve">understreger, at denne bestemmelses midlertidige karakter gør den til et kulturelt og uddannelsesmæssigt udvekslingsværktøj og ikke et migrationspolitisk redskab; bemærker, at Det Forenede Kongerige allerede har ungdomsmobilitetsordninger med </w:t>
      </w:r>
      <w:r w:rsidRPr="007D1F16">
        <w:lastRenderedPageBreak/>
        <w:t xml:space="preserve">andre lande såsom Japan; understreger, at der kan opnås mere jævnbyrdige fordele, hvis EU fører fælles forhandlinger, end hvis medlemsstaterne forhandler bilaterale aftaler hver især; </w:t>
      </w:r>
    </w:p>
    <w:p w14:paraId="7375F05C" w14:textId="77777777" w:rsidR="00C16740" w:rsidRPr="007D1F16" w:rsidRDefault="00C16740" w:rsidP="00C16740">
      <w:pPr>
        <w:ind w:left="540" w:hanging="540"/>
      </w:pPr>
    </w:p>
    <w:p w14:paraId="0E92F31C" w14:textId="77777777" w:rsidR="00C16740" w:rsidRPr="007D1F16" w:rsidRDefault="00C16740" w:rsidP="00C16740">
      <w:pPr>
        <w:ind w:left="540" w:hanging="540"/>
      </w:pPr>
      <w:r w:rsidRPr="007D1F16">
        <w:t>216.</w:t>
      </w:r>
      <w:r w:rsidRPr="007D1F16">
        <w:tab/>
        <w:t xml:space="preserve">glæder sig ligeledes over hensigtserklæringen fra topmødet mellem EU og Det Forenede Kongerige om at arbejde hen imod Det Forenede Kongeriges deltagelse i EU's Erasmus+-program, hvilket vil være til gensidig fordel, da fremme af ungdomsmobilitet, uddannelse og sport mellem EU og Det Forenede Kongerige vil være yderst værdifuld; opfordrer Kommissionen og Det Forenede Kongerige til at fremskynde forhandlingerne i den henseende for at finde en associeringsløsning, der vil være til gavn for begge parter; fremhæver i den forbindelse den særlige rolle, som Erasmus+ spiller som drivkraft for europæiske værdier, kulturel mangfoldighed, aktivt medborgerskab og social inklusion, og den dermed forbundne styrkelse af Europas modstandsdygtighed; bemærker, at ungdomsmobilitetsordningen og Det Forenede Kongeriges reassociering med Erasmus+-programmet kan iværksættes samtidigt, hvilket understreger behovet for, at begge initiativer supplerer hinanden og styrker hinanden gensidigt; </w:t>
      </w:r>
    </w:p>
    <w:p w14:paraId="36852C0D" w14:textId="77777777" w:rsidR="00C16740" w:rsidRPr="007D1F16" w:rsidRDefault="00C16740" w:rsidP="00C16740">
      <w:pPr>
        <w:spacing w:line="259" w:lineRule="auto"/>
      </w:pPr>
    </w:p>
    <w:p w14:paraId="2DF7AF03" w14:textId="77777777" w:rsidR="00C16740" w:rsidRPr="007D1F16" w:rsidRDefault="00C16740" w:rsidP="00C16740">
      <w:pPr>
        <w:spacing w:after="240"/>
        <w:ind w:left="567" w:hanging="567"/>
      </w:pPr>
      <w:r w:rsidRPr="007D1F16">
        <w:t>217.</w:t>
      </w:r>
      <w:r w:rsidRPr="007D1F16">
        <w:tab/>
        <w:t xml:space="preserve">insisterer på, at denne associering skal være i overensstemmelse med FFR'en og handels- og samarbejdsaftalen; minder om, at Det Forenede Kongeriges eventuelle deltagelse i EU-programmer såsom Erasmus+ bør vurderes og udformes på en måde, der fuldt ud beskytter og fremmer EU's interesser, herunder sikring af klar merværdi for EU og dets borgere; opfordrer Kommissionen til at fremlægge rettidige og detaljerede oplysninger om de finansielle vilkår for Det Forenede Kongeriges fremtidige deltagelse i Erasmus+ og om eventuelle finansielle konsekvenser af enhver fremtidig ungdomserfaringsordning; </w:t>
      </w:r>
    </w:p>
    <w:p w14:paraId="1201DA16" w14:textId="77777777" w:rsidR="00C16740" w:rsidRPr="007D1F16" w:rsidRDefault="00C16740" w:rsidP="00C16740">
      <w:pPr>
        <w:spacing w:after="240"/>
        <w:ind w:left="567" w:hanging="567"/>
      </w:pPr>
      <w:r w:rsidRPr="007D1F16">
        <w:t>218.</w:t>
      </w:r>
      <w:r w:rsidRPr="007D1F16">
        <w:tab/>
        <w:t xml:space="preserve">beklager, at kulturelle udvekslinger er blevet ramt som følge af brexit; bemærker med bekymring den uvished og de vanskeligheder, der er opstået for studerende, lærere, omrejsende kunstnere og kulturarbejdere, som ønsker at lære, undervise, optræde og arbejde på begge sider af Den Engelske Kanal; glæder sig over henvisningen til kulturelle og kunstneriske udvekslinger og til omrejsende kunstnere i konklusionerne fra topmødet mellem EU og Det Forenede Kongerige; fremhæver behovet for gensidighed i eksisterende og fremtidige procedurer og foranstaltninger; tilskynder Kommissionen til at foretage en vurdering af konsekvenserne af Det Forenede Kongeriges udtræden af EU-programmer for kulturel og uddannelsesmæssig udveksling og til at arbejde på kreative løsninger; </w:t>
      </w:r>
    </w:p>
    <w:p w14:paraId="6C184938" w14:textId="77777777" w:rsidR="00C16740" w:rsidRPr="007D1F16" w:rsidRDefault="00C16740" w:rsidP="00C16740">
      <w:pPr>
        <w:spacing w:after="240"/>
        <w:ind w:left="539" w:hanging="539"/>
      </w:pPr>
      <w:r w:rsidRPr="007D1F16">
        <w:t>219.</w:t>
      </w:r>
      <w:r w:rsidRPr="007D1F16">
        <w:tab/>
        <w:t xml:space="preserve"> bemærker, at samarbejde med interessenter i EU og Det Forenede Kongerige vil være afgørende for at støtte kulturel udveksling og tackle de hindringer, som britiske professionelle omrejsende kunstnere står over for; opfordrer til en mere konkret plan for at tackle de problemer, som kunstnere står over for; opfordrer i den forbindelse Kommissionen til at fortsætte sine bestræbelser på igen at få Det Forenede Kongerige associeret med programmet Et Kreativt Europa;</w:t>
      </w:r>
    </w:p>
    <w:p w14:paraId="7ABDD144" w14:textId="77777777" w:rsidR="00C16740" w:rsidRPr="007D1F16" w:rsidRDefault="00C16740" w:rsidP="00C16740">
      <w:pPr>
        <w:spacing w:after="240"/>
        <w:ind w:left="562" w:hanging="562"/>
      </w:pPr>
      <w:r w:rsidRPr="007D1F16">
        <w:t>220.</w:t>
      </w:r>
      <w:r w:rsidRPr="007D1F16">
        <w:tab/>
        <w:t xml:space="preserve">bemærker med bekymring, at skolerejser og ungdomsmobilitet hindres af Det Forenede Kongeriges nye indrejseregler; opfordrer derfor til, at der indføres en grupperejseordning for personer under 18 år; </w:t>
      </w:r>
    </w:p>
    <w:p w14:paraId="5F121B82" w14:textId="77777777" w:rsidR="00C16740" w:rsidRPr="007D1F16" w:rsidRDefault="00C16740" w:rsidP="00C16740">
      <w:pPr>
        <w:pStyle w:val="NormalHanging12a"/>
      </w:pPr>
      <w:r w:rsidRPr="007D1F16">
        <w:t>221.</w:t>
      </w:r>
      <w:r w:rsidRPr="007D1F16">
        <w:tab/>
        <w:t xml:space="preserve">er alvorligt bekymret over nedgangen i antallet af EU-studerende, der studerer på britiske universiteter; understreger, at denne situation tydeligvis hænger sammen med Det Forenede Kongeriges udtræden af Erasmus+-programmet og afskaffelsen af </w:t>
      </w:r>
      <w:r w:rsidRPr="007D1F16">
        <w:lastRenderedPageBreak/>
        <w:t>reglerne om ligebehandling af EU-studerende med hensyn til undervisningsafgifter og stipendier</w:t>
      </w:r>
      <w:r w:rsidRPr="007D1F16">
        <w:rPr>
          <w:rStyle w:val="FootnoteReference"/>
        </w:rPr>
        <w:footnoteReference w:id="49"/>
      </w:r>
      <w:r w:rsidRPr="007D1F16">
        <w:t>; opfordrer indtrængende Det Forenede Kongerige og EU til at nå til enighed om at sænke undervisningsafgifterne for at give flere unge fra EU mulighed for at studere i Det Forenede Kongerige;</w:t>
      </w:r>
    </w:p>
    <w:p w14:paraId="54B6232A" w14:textId="77777777" w:rsidR="00C16740" w:rsidRPr="007D1F16" w:rsidRDefault="00C16740" w:rsidP="00C16740">
      <w:pPr>
        <w:ind w:left="562" w:hanging="562"/>
      </w:pPr>
      <w:r w:rsidRPr="007D1F16">
        <w:t>222.</w:t>
      </w:r>
      <w:r w:rsidRPr="007D1F16">
        <w:tab/>
        <w:t xml:space="preserve">er af den faste overbevisning, at Det Forenede Kongerige og EU bliver nødt til at uddybe deres akademiske samarbejde for at tackle de aktuelle geopolitiske udfordringer og styrke deres respektive "bløde magt"; påpeger i den forbindelse den afgørende rolle, som princippet om international gensidighed, der er nedfældet i Erasmus-chartret for videregående uddannelse, spiller for at opbygge stabile og langsigtede partnerskaber mellem højere læreanstalter; </w:t>
      </w:r>
    </w:p>
    <w:p w14:paraId="6A6FF366" w14:textId="77777777" w:rsidR="00C16740" w:rsidRPr="007D1F16" w:rsidRDefault="00C16740" w:rsidP="00C16740">
      <w:pPr>
        <w:ind w:left="562" w:hanging="562"/>
      </w:pPr>
    </w:p>
    <w:p w14:paraId="63D97488" w14:textId="77777777" w:rsidR="00C16740" w:rsidRPr="007D1F16" w:rsidRDefault="00C16740" w:rsidP="00C16740">
      <w:pPr>
        <w:ind w:left="562" w:hanging="562"/>
      </w:pPr>
      <w:r w:rsidRPr="007D1F16">
        <w:t>223.</w:t>
      </w:r>
      <w:r w:rsidRPr="007D1F16">
        <w:tab/>
        <w:t xml:space="preserve">noterer sig den britiske regerings oprettelse af Turing-ordningen, det walisiske program "Taith" og det skotske projekt "Scottish Education Exchange Programme Test and Learn", hvoraf sidstnævnte i øjeblikket befinder sig i pilotfasen; beklager imidlertid, at Turing-ordningen kun omfatter mobilitet ud af landet og derfor ikke kan betragtes som en fuldstændig erstatning for Erasmus+; </w:t>
      </w:r>
    </w:p>
    <w:p w14:paraId="28587580" w14:textId="77777777" w:rsidR="00C16740" w:rsidRPr="007D1F16" w:rsidRDefault="00C16740" w:rsidP="00C16740">
      <w:pPr>
        <w:ind w:left="562" w:hanging="562"/>
        <w:rPr>
          <w:i/>
          <w:iCs/>
        </w:rPr>
      </w:pPr>
    </w:p>
    <w:p w14:paraId="64A07F26" w14:textId="77777777" w:rsidR="00C16740" w:rsidRPr="007D1F16" w:rsidRDefault="00C16740" w:rsidP="00C16740">
      <w:pPr>
        <w:ind w:left="562" w:hanging="562"/>
      </w:pPr>
      <w:r w:rsidRPr="007D1F16">
        <w:t>224.</w:t>
      </w:r>
      <w:r w:rsidRPr="007D1F16">
        <w:tab/>
        <w:t xml:space="preserve">bemærker, at universiteter i Det Forenede Kongerige har ret til at deltage i europæiske universitetsalliancer, men ikke længere kan indgå i sådanne alliancers forvaltningsstruktur, hvilket i realiteten giver dem status som andenrangspartnere; tilskynder dem til at fortsætte deres partnerskaber gennem initiativet "alliance mellem Europauniversiteter", hvor de kan drage fordel af den nye form for retlig status, som giver dem mulighed for blive fuldgyldige partnere; </w:t>
      </w:r>
    </w:p>
    <w:p w14:paraId="7C3AB1DD" w14:textId="77777777" w:rsidR="00C16740" w:rsidRPr="007D1F16" w:rsidRDefault="00C16740" w:rsidP="00C16740">
      <w:pPr>
        <w:ind w:left="562" w:hanging="562"/>
      </w:pPr>
    </w:p>
    <w:p w14:paraId="72C65C0D" w14:textId="77777777" w:rsidR="00C16740" w:rsidRPr="007D1F16" w:rsidRDefault="00C16740" w:rsidP="00C16740">
      <w:pPr>
        <w:pStyle w:val="NormalHanging12a"/>
      </w:pPr>
      <w:r w:rsidRPr="007D1F16">
        <w:t>225.</w:t>
      </w:r>
      <w:r w:rsidRPr="007D1F16">
        <w:tab/>
        <w:t>understreger, at Det Forenede Kongerige</w:t>
      </w:r>
      <w:r w:rsidRPr="007D1F16">
        <w:rPr>
          <w:rStyle w:val="FootnoteReference"/>
        </w:rPr>
        <w:footnoteReference w:id="50"/>
      </w:r>
      <w:r w:rsidRPr="007D1F16">
        <w:t xml:space="preserve"> fortsat deltager i det europæiske område for videregående uddannelse ("Bolognaprocessen"); opfordrer indtrængende Det Forenede Kongerige, Kommissionen og medlemsstaterne til at fortsætte deres arbejde hen imod fuld gensidig anerkendelse af akademiske kvalifikationer, eksamensbeviser, universitetsgrader og udvekslingsophold;</w:t>
      </w:r>
    </w:p>
    <w:p w14:paraId="3EC646CC" w14:textId="77777777" w:rsidR="00C16740" w:rsidRPr="007D1F16" w:rsidRDefault="00C16740" w:rsidP="00C16740">
      <w:pPr>
        <w:ind w:left="562" w:hanging="562"/>
      </w:pPr>
      <w:r w:rsidRPr="007D1F16">
        <w:t>226.</w:t>
      </w:r>
      <w:r w:rsidRPr="007D1F16">
        <w:tab/>
        <w:t xml:space="preserve">bemærker, at EU og Det Forenede Kongerige fortsat er vigtige markeder for kulturel udveksling, der deler langvarige forbindelser og gensidige påvirkninger mellem deres kulturelle sfærer; anerkender den britiske kultursektors høje økonomiske værdi; opfordrer til fornyet og fortsat samarbejde mellem kunstnere fra EU og Det Forenede Kongerige og andre fagfolk i de kulturelle og kreative sektorer og industrier samt til, at deres arbejdstagerrettigheder beskyttes; </w:t>
      </w:r>
    </w:p>
    <w:p w14:paraId="5796E57C" w14:textId="77777777" w:rsidR="00C16740" w:rsidRPr="007D1F16" w:rsidRDefault="00C16740" w:rsidP="00C16740">
      <w:pPr>
        <w:ind w:left="562" w:hanging="562"/>
      </w:pPr>
    </w:p>
    <w:p w14:paraId="52EEBD08" w14:textId="77777777" w:rsidR="00C16740" w:rsidRPr="007D1F16" w:rsidRDefault="00C16740" w:rsidP="00C16740">
      <w:pPr>
        <w:ind w:left="562" w:hanging="562"/>
      </w:pPr>
      <w:r w:rsidRPr="007D1F16">
        <w:t xml:space="preserve">227. </w:t>
      </w:r>
      <w:r w:rsidRPr="007D1F16">
        <w:tab/>
        <w:t xml:space="preserve">bemærker, at programmet Et Kreativt Europa ikke blev erstattet af andre kulturprogrammer til støtte for udøvende kunstnere i Det Forenede Kongerige; </w:t>
      </w:r>
    </w:p>
    <w:p w14:paraId="2BD6C6D5" w14:textId="77777777" w:rsidR="00C16740" w:rsidRPr="007D1F16" w:rsidRDefault="00C16740" w:rsidP="00C16740">
      <w:pPr>
        <w:ind w:left="562" w:hanging="562"/>
      </w:pPr>
    </w:p>
    <w:p w14:paraId="69969492" w14:textId="77777777" w:rsidR="00C16740" w:rsidRPr="007D1F16" w:rsidRDefault="00C16740" w:rsidP="00C16740">
      <w:pPr>
        <w:ind w:left="562" w:hanging="562"/>
      </w:pPr>
      <w:r w:rsidRPr="007D1F16">
        <w:t xml:space="preserve">228. </w:t>
      </w:r>
      <w:r w:rsidRPr="007D1F16">
        <w:tab/>
        <w:t xml:space="preserve">beklager, at der ikke er medtaget nogen bestemmelser vedrørende kulturlivet og de kulturelle og kreative sektorer i handels- og samarbejdsaftalen efter Det Forenede Kongeriges udtræden af EU, og ophøret af Det Forenede Kongeriges deltagelse i den fri bevægelighed, hvilket har skabt administrative hindringer for omrejsende kunstnere, </w:t>
      </w:r>
      <w:r w:rsidRPr="007D1F16">
        <w:lastRenderedPageBreak/>
        <w:t xml:space="preserve">navnlig for nye og uafhængige kunstnere; bemærker, at kunstnere og kulturarbejdere fra Det Forenede Kongerige, som rejser rundt i EU, skal overholde adskillige forskellige visum-, indvandrings- og arbejdstilladelsesordninger; anmoder derfor medlemsstaterne om at præcisere kravene vedrørende ATA-carneter (for midlertidig indførsel af varer); opfordrer til, at kultursektoren medtages i den kommende revidering af handels- og samarbejdsaftalen; </w:t>
      </w:r>
    </w:p>
    <w:p w14:paraId="50CE91E9" w14:textId="77777777" w:rsidR="00C16740" w:rsidRPr="007D1F16" w:rsidRDefault="00C16740" w:rsidP="00C16740">
      <w:pPr>
        <w:ind w:left="562" w:hanging="562"/>
      </w:pPr>
    </w:p>
    <w:p w14:paraId="1FC06E90" w14:textId="77777777" w:rsidR="00C16740" w:rsidRPr="007D1F16" w:rsidRDefault="00C16740" w:rsidP="00C16740">
      <w:pPr>
        <w:ind w:left="561" w:hanging="561"/>
      </w:pPr>
      <w:r w:rsidRPr="007D1F16">
        <w:t>229.</w:t>
      </w:r>
      <w:r w:rsidRPr="007D1F16">
        <w:tab/>
        <w:t xml:space="preserve">opfordrer til, at der findes en løsning på de vanskeligheder, som kunstnere og kulturarbejdere, ikke mindst de unge og nye, står over for efter brexit i forbindelse med turnéer og festivaldeltagelse, såsom told- og momsregler for merchandising og regler for international transport; anmoder Det Forenede Kongerige, medlemsstaterne og Kommissionen om at arbejde hen imod at finde løsninger, der vil gøre det lettere for kunstnere at arbejde på begge sider af Den Engelske Kanal, og til at gøre noget ved problemerne med visa og arbejdstilladelser til kortvarige kulturelle ophold og harmoniserede procedurer for toldformaliteter; </w:t>
      </w:r>
    </w:p>
    <w:p w14:paraId="345E58C3" w14:textId="77777777" w:rsidR="00C16740" w:rsidRPr="007D1F16" w:rsidRDefault="00C16740" w:rsidP="00C16740">
      <w:pPr>
        <w:ind w:left="562" w:hanging="562"/>
      </w:pPr>
    </w:p>
    <w:p w14:paraId="22801180" w14:textId="77777777" w:rsidR="00C16740" w:rsidRPr="007D1F16" w:rsidRDefault="00C16740" w:rsidP="00C16740">
      <w:pPr>
        <w:ind w:left="562" w:hanging="562"/>
      </w:pPr>
      <w:r w:rsidRPr="007D1F16">
        <w:t>230.</w:t>
      </w:r>
      <w:r w:rsidRPr="007D1F16">
        <w:tab/>
        <w:t xml:space="preserve">bemærker, at der er behov for at sikre konvergens i fremtidige digitale lovgivningsmæssige rammer for audiovisuelle tjenester og medietjenester i Det Forenede Kongerige og EU for at sikre stabile, forudsigelige og tydelige krav til den kulturelle og kreative sektor og sportssektoren i lyset af de voksende globale udfordringer; </w:t>
      </w:r>
    </w:p>
    <w:p w14:paraId="262C1B1E" w14:textId="77777777" w:rsidR="00C16740" w:rsidRPr="007D1F16" w:rsidRDefault="00C16740" w:rsidP="00C16740">
      <w:pPr>
        <w:ind w:left="562" w:hanging="562"/>
      </w:pPr>
    </w:p>
    <w:p w14:paraId="0519098C" w14:textId="77777777" w:rsidR="00C16740" w:rsidRPr="007D1F16" w:rsidRDefault="00C16740" w:rsidP="00C16740">
      <w:pPr>
        <w:ind w:left="562" w:hanging="562"/>
      </w:pPr>
      <w:r w:rsidRPr="007D1F16">
        <w:t>231.</w:t>
      </w:r>
      <w:r w:rsidRPr="007D1F16">
        <w:tab/>
        <w:t xml:space="preserve">bemærker, at handels- og samarbejdsaftalen omfatter en undtagelse for kultur, hvorved audiovisuelle tjenester ikke er omfattet af dens anvendelsesområde; understreger, at der er behov for strategisk samarbejde i den audiovisuelle sektor for at sikre synligheden af produktioner fra Europa og deres globale konkurrenceevne; </w:t>
      </w:r>
    </w:p>
    <w:p w14:paraId="2C8FE374" w14:textId="77777777" w:rsidR="00C16740" w:rsidRPr="007D1F16" w:rsidRDefault="00C16740" w:rsidP="00C16740">
      <w:pPr>
        <w:ind w:left="562" w:hanging="562"/>
        <w:rPr>
          <w:i/>
          <w:iCs/>
        </w:rPr>
      </w:pPr>
    </w:p>
    <w:p w14:paraId="27159755" w14:textId="77777777" w:rsidR="00C16740" w:rsidRPr="007D1F16" w:rsidRDefault="00C16740" w:rsidP="00C16740">
      <w:pPr>
        <w:ind w:left="562" w:hanging="562"/>
      </w:pPr>
      <w:r w:rsidRPr="007D1F16">
        <w:t>232.</w:t>
      </w:r>
      <w:r w:rsidRPr="007D1F16">
        <w:tab/>
        <w:t xml:space="preserve">tilskynder til et tættere samarbejde mellem Det Forenede Kongerige og EU for at lette idrætsudøveres deltagelse i sportskonkurrencer og udveksling af personale i sportssektoren; </w:t>
      </w:r>
    </w:p>
    <w:p w14:paraId="025B6895" w14:textId="77777777" w:rsidR="00C16740" w:rsidRPr="007D1F16" w:rsidRDefault="00C16740" w:rsidP="00C16740">
      <w:pPr>
        <w:ind w:left="562" w:hanging="562"/>
      </w:pPr>
    </w:p>
    <w:p w14:paraId="07C7C14C" w14:textId="77777777" w:rsidR="00C16740" w:rsidRPr="007D1F16" w:rsidRDefault="00C16740" w:rsidP="00C16740">
      <w:pPr>
        <w:spacing w:after="240"/>
        <w:ind w:left="561" w:hanging="561"/>
      </w:pPr>
      <w:r w:rsidRPr="007D1F16">
        <w:t>233.</w:t>
      </w:r>
      <w:r w:rsidRPr="007D1F16">
        <w:tab/>
        <w:t xml:space="preserve">fremhæver de negative virkninger af den fragmenterede eller ikkeeksisterende anerkendelse af studerendes og personales mobilitet, navnlig inden for kunst, kultur og erhvervsuddannelse; understreger, at dette hæmmer bestræbelserne på at afhjælpe manglen på kvalificeret arbejdskraft i hele Europa; understreger, at initiativer under færdighedsunionen, der tackler færdighedskløften, den grønne og den digitale omstilling, erhvervsuddannelse og livslang læring, delvist kan udvides til at omfatte partnerlande, der er associeret med Erasmus+-programmet; fremhæver i den forbindelse merværdien af Det Forenede Kongeriges reassociering med Erasmus+-programmet og opfordrer indtrængende Det Forenede Kongerige og Kommissionen til at fortsætte deres dialog med henblik på at etablere en effektiv ramme for gensidig anerkendelse af erhvervsmæssige kvalifikationer; </w:t>
      </w:r>
    </w:p>
    <w:p w14:paraId="154F37B0" w14:textId="77777777" w:rsidR="00C16740" w:rsidRPr="007D1F16" w:rsidRDefault="00C16740" w:rsidP="00C16740">
      <w:pPr>
        <w:pStyle w:val="NormalHanging12a"/>
        <w:rPr>
          <w:b/>
          <w:i/>
        </w:rPr>
      </w:pPr>
      <w:r w:rsidRPr="007D1F16">
        <w:rPr>
          <w:b/>
          <w:i/>
        </w:rPr>
        <w:t>Samarbejde om retshåndhævelse og retligt samarbejde i straffesager</w:t>
      </w:r>
    </w:p>
    <w:p w14:paraId="1B181274" w14:textId="77777777" w:rsidR="00C16740" w:rsidRPr="007D1F16" w:rsidRDefault="00C16740" w:rsidP="00C16740">
      <w:pPr>
        <w:pStyle w:val="NormalHanging12a"/>
        <w:rPr>
          <w:i/>
        </w:rPr>
      </w:pPr>
      <w:r w:rsidRPr="007D1F16">
        <w:t>234.</w:t>
      </w:r>
      <w:r w:rsidRPr="007D1F16">
        <w:tab/>
        <w:t xml:space="preserve">udtrykker sin tilfredshed med, at borgernes sikkerhed fortsat er altafgørende under den nye dagsorden for samarbejdet mellem EU og Det Forenede Kongerige; glæder sig over, at der sættes skub i forstærket retshåndhævelse og retligt samarbejde i straffesager, det styrkede samarbejde i forbindelse med narkotikarisici og -trusler og det uddybede samarbejde om udfordringerne i forbindelse med irregulær migration som fastsat i den fælles erklæring og den fælles forståelse, der blev vedtaget på topmødet </w:t>
      </w:r>
      <w:r w:rsidRPr="007D1F16">
        <w:lastRenderedPageBreak/>
        <w:t>mellem EU og Det Forenede Kongerige;</w:t>
      </w:r>
    </w:p>
    <w:p w14:paraId="0588A73A" w14:textId="77777777" w:rsidR="00C16740" w:rsidRPr="007D1F16" w:rsidRDefault="00C16740" w:rsidP="00C16740">
      <w:pPr>
        <w:ind w:left="540" w:hanging="540"/>
      </w:pPr>
      <w:r w:rsidRPr="007D1F16">
        <w:t>235.</w:t>
      </w:r>
      <w:r w:rsidRPr="007D1F16">
        <w:tab/>
        <w:t xml:space="preserve">glæder sig over det gensidige tilsagn om at værne om folkeretten og den europæiske menneskerettighedskonvention (EMRK), som Det Forenede Kongeriges premierminister og Kommissionens formand kom med i deres fælles erklæring af 2. oktober 2024 om styrkelse af det strategiske samarbejde og i den fælles erklæring fra topmødet mellem EU og Det Forenede Kongerige; minder om, at de generelle betingelser for anvendelsen af handels- og samarbejdsaftalens tredje del, som fastsat i artikel 524, stk. 1, rent faktisk er den mangeårige respekt for demokratiet, retsstatsprincippet og beskyttelsen af individets grundlæggende rettigheder og frihedsrettigheder, herunder som fastsat i verdenserklæringen om menneskerettighederne og i EMRK, samt betydningen af at gennemføre rettighederne og frihederne i EMRK på parternes eget territorium; gentager, at disse betingelser skal garanteres fuldt ud i anvendelsen og gennemførelsen af handels- og samarbejdsaftalen; </w:t>
      </w:r>
    </w:p>
    <w:p w14:paraId="668404F1" w14:textId="77777777" w:rsidR="00C16740" w:rsidRPr="007D1F16" w:rsidRDefault="00C16740" w:rsidP="00C16740">
      <w:pPr>
        <w:ind w:left="540" w:hanging="540"/>
      </w:pPr>
    </w:p>
    <w:p w14:paraId="71BE81D4" w14:textId="77777777" w:rsidR="00C16740" w:rsidRPr="007D1F16" w:rsidRDefault="00C16740" w:rsidP="00C16740">
      <w:pPr>
        <w:ind w:left="539" w:hanging="539"/>
      </w:pPr>
      <w:r w:rsidRPr="007D1F16">
        <w:t>236.</w:t>
      </w:r>
      <w:r w:rsidRPr="007D1F16">
        <w:tab/>
        <w:t xml:space="preserve">glæder sig over tilsagnene i den fælles erklæring og den fælles forståelse om et tættere samarbejde om bekæmpelse af menneskehandel og menneskesmugling, narkotikahandel, grov og grænseoverskridende organiseret kriminalitet samt terrorisme og voldelig ekstremisme, herunder online, gennem en hurtigere, bedre og dybere gennemførelse af tredje del af handels- og samarbejdsaftalen og ved fuldt ud at udnytte og bygge videre på dens potentiale; </w:t>
      </w:r>
    </w:p>
    <w:p w14:paraId="3487964E" w14:textId="77777777" w:rsidR="00C16740" w:rsidRPr="007D1F16" w:rsidRDefault="00C16740" w:rsidP="00C16740">
      <w:pPr>
        <w:ind w:left="539" w:hanging="539"/>
      </w:pPr>
    </w:p>
    <w:p w14:paraId="509E0494" w14:textId="77777777" w:rsidR="00C16740" w:rsidRPr="007D1F16" w:rsidRDefault="00C16740" w:rsidP="00C16740">
      <w:pPr>
        <w:spacing w:after="240"/>
        <w:ind w:left="539" w:hanging="539"/>
      </w:pPr>
      <w:bookmarkStart w:id="24" w:name="_Hlk211951284"/>
      <w:r w:rsidRPr="007D1F16">
        <w:t>237.</w:t>
      </w:r>
      <w:r w:rsidRPr="007D1F16">
        <w:tab/>
        <w:t xml:space="preserve">glæder sig over, at Kommissionen i sin gennemførelsesrapport for 2024 konkluderer, at handels- og samarbejdsaftalen hvad angår retshåndhævelse og retligt samarbejde fungerede gnidningsløst i det forløbne år; </w:t>
      </w:r>
    </w:p>
    <w:p w14:paraId="59227E3A" w14:textId="77777777" w:rsidR="00C16740" w:rsidRPr="007D1F16" w:rsidRDefault="00C16740" w:rsidP="00C16740">
      <w:pPr>
        <w:ind w:left="539" w:hanging="539"/>
      </w:pPr>
      <w:r w:rsidRPr="007D1F16">
        <w:t>238.</w:t>
      </w:r>
      <w:r w:rsidRPr="007D1F16">
        <w:tab/>
        <w:t>glæder sig navnlig over, at alle medlemsstater og Det Forenede Kongerige ved udgangen af 2024 havde givet hinanden adgang til deres nationale DNA-databaser med henblik på automatisk søgning i overensstemmelse med handels- og samarbejdsaftalens artikel 530; glæder sig over, at Det Forenede Kongerige ved udgangen af 2024 havde etableret 22 fingeraftrykstilkoblinger og var klar til at færdiggøre de resterende fem; anerkender ambitionen i den fælles forståelse om, at parterne skal styrke den gensidige udveksling af oplysninger om ikke-EU-statsborgeres fingeraftryk, DNA og straffeattester og undersøge muligheden for at udvide udvekslingen af oplysninger til at omfatte ansigtsbilleder med henblik på forebyggelse, afsløring og efterforskning af strafbare handlinger, samtidig med at det understreges, at eksisterende og udvidede udvekslinger afhænger af, at der opretholdes en høj standard for databeskyttelse, og at det sikres, at Det Forenede Kongeriges nye retlige ramme fortsat er forenelig med EU's databeskyttelseskrav;</w:t>
      </w:r>
    </w:p>
    <w:bookmarkEnd w:id="24"/>
    <w:p w14:paraId="1B515675" w14:textId="77777777" w:rsidR="00C16740" w:rsidRPr="007D1F16" w:rsidRDefault="00C16740" w:rsidP="00C16740">
      <w:pPr>
        <w:ind w:left="540" w:hanging="540"/>
      </w:pPr>
    </w:p>
    <w:p w14:paraId="1A6E82C0" w14:textId="77777777" w:rsidR="00C16740" w:rsidRPr="007D1F16" w:rsidRDefault="00C16740" w:rsidP="00C16740">
      <w:pPr>
        <w:ind w:left="540" w:hanging="540"/>
      </w:pPr>
      <w:r w:rsidRPr="007D1F16">
        <w:t>239.</w:t>
      </w:r>
      <w:r w:rsidRPr="007D1F16">
        <w:tab/>
        <w:t>minder om den gensidige fordel af og behovet for et stærkt retshåndhævelsessamarbejde og retligt samarbejde for at tackle fælles udfordringer på områder såsom terrorbekæmpelsesoperationer, organiseret kriminalitet, hvidvask af penge samt menneskesmugling og menneskehandel; understreger i den forbindelse, at EU og Det Forenede Kongerige skal udarbejde konkrete samarbejdsinitiativer på disse områder; glæder sig over Det Forenede Kongeriges tætte samarbejde med centrale EU-agenturer, som f.eks. Europol, Eurojust og Frontex;</w:t>
      </w:r>
    </w:p>
    <w:p w14:paraId="1C9AB4BA" w14:textId="77777777" w:rsidR="00C16740" w:rsidRPr="007D1F16" w:rsidRDefault="00C16740" w:rsidP="00C16740">
      <w:pPr>
        <w:ind w:left="540" w:hanging="540"/>
      </w:pPr>
    </w:p>
    <w:p w14:paraId="76140727" w14:textId="77777777" w:rsidR="00C16740" w:rsidRPr="007D1F16" w:rsidRDefault="00C16740" w:rsidP="00C16740">
      <w:pPr>
        <w:spacing w:after="240"/>
        <w:ind w:left="567" w:hanging="567"/>
      </w:pPr>
      <w:r w:rsidRPr="007D1F16">
        <w:t>240.</w:t>
      </w:r>
      <w:r w:rsidRPr="007D1F16">
        <w:tab/>
        <w:t xml:space="preserve">glæder sig over, at Det Forenede Kongeriges regering har øget Det Forenede Kongeriges nationale kriminalitetsbekæmpelsesorgans tilstedeværelse hos Europol, og at den i bredere forstand arbejder hen imod tættere forbindelser med Europol, bl.a. hvad </w:t>
      </w:r>
      <w:r w:rsidRPr="007D1F16">
        <w:lastRenderedPageBreak/>
        <w:t xml:space="preserve">angår muligheden for at udveksle data i realtid; </w:t>
      </w:r>
    </w:p>
    <w:p w14:paraId="79635D39" w14:textId="77777777" w:rsidR="00C16740" w:rsidRPr="007D1F16" w:rsidRDefault="00C16740" w:rsidP="00C16740">
      <w:pPr>
        <w:spacing w:after="240"/>
        <w:ind w:left="567" w:hanging="567"/>
      </w:pPr>
      <w:r w:rsidRPr="007D1F16">
        <w:t>241.</w:t>
      </w:r>
      <w:r w:rsidRPr="007D1F16">
        <w:tab/>
        <w:t xml:space="preserve">noterer sig Eurojusts årsberetninger for 2023 og 2024 og giver udtryk for sin tilfredshed med Det Forenede Kongeriges deltagelse og engagement i agenturets arbejde, idet Det Forenede Kongerige i begge år var det ikke-EU-land, der hyppigst blev anmodet om at deltage i nye sager, som blev indledt af de nationale kontorer i Eurojust; </w:t>
      </w:r>
    </w:p>
    <w:p w14:paraId="73FC4FDC" w14:textId="77777777" w:rsidR="00C16740" w:rsidRPr="007D1F16" w:rsidRDefault="00C16740" w:rsidP="00C16740">
      <w:pPr>
        <w:spacing w:after="240"/>
        <w:ind w:left="567" w:hanging="567"/>
      </w:pPr>
      <w:r w:rsidRPr="007D1F16">
        <w:t>242.</w:t>
      </w:r>
      <w:r w:rsidRPr="007D1F16">
        <w:tab/>
        <w:t xml:space="preserve">glæder sig over indgåelsen af en samarbejdsaftale mellem Frontex og Det Forenede Kongeriges indenrigsministerium i 2024 baseret på det fælles tilsagn om at øge sikkerheden, samtidig med at forpligtelserne vedrørende grundlæggende rettigheder opretholdes; har tiltro til, at denne aftale vil styrke samarbejdet om grænseforvaltning og sikkerhed, herunder indsættelsen af personale til rådgivnings- og koordineringsopgaver; </w:t>
      </w:r>
    </w:p>
    <w:p w14:paraId="3190AA60" w14:textId="77777777" w:rsidR="00C16740" w:rsidRPr="007D1F16" w:rsidRDefault="00C16740" w:rsidP="00C16740">
      <w:pPr>
        <w:spacing w:after="240"/>
        <w:ind w:left="567" w:hanging="567"/>
      </w:pPr>
      <w:r w:rsidRPr="007D1F16">
        <w:t>243.</w:t>
      </w:r>
      <w:r w:rsidRPr="007D1F16">
        <w:tab/>
        <w:t xml:space="preserve">tilskynder til et tættere samarbejde mellem Det Europæiske Migrationsnetværk og EU-agenturer, herunder EU's Asylagentur og Frontex, og de respektive myndigheder i Det Forenede Kongerige, i overensstemmelse med de tilsagn, der blev givet i den fælles forståelse; glæder sig over henvisningen i den fælles forståelse til samarbejdet om narkotikabekæmpelse; tilskynder til, at der indgås en samarbejdsaftale om gensidig udveksling af oplysninger mellem Den Europæiske Unions Narkotikaagentur (EUDA) og Det Forenede Kongeriges relevante myndigheder om narkotikarisici og -trusler med henblik på at lette EUDA's opgaver; mener, at Det Forenede Kongeriges deltagelse i visse møder mellem Den Latinamerikanske Komité for Intern Sikkerhed og dennes modparter i EU kan overvejes fra gang til gang; </w:t>
      </w:r>
    </w:p>
    <w:p w14:paraId="15E4FDAB" w14:textId="77777777" w:rsidR="00C16740" w:rsidRPr="007D1F16" w:rsidRDefault="00C16740" w:rsidP="00C16740">
      <w:pPr>
        <w:spacing w:after="240"/>
        <w:ind w:left="567" w:hanging="567"/>
      </w:pPr>
      <w:r w:rsidRPr="007D1F16">
        <w:t>244.</w:t>
      </w:r>
      <w:r w:rsidRPr="007D1F16">
        <w:tab/>
        <w:t xml:space="preserve">bemærker de fælles udfordringer, som Det Forenede Kongerige og EU står over for med hensyn til irregulær migration; udtrykker sin stærke opbakning til parternes tilsagn om tættere samarbejde i multilaterale fora og processer for at bekæmpe smugling af migranter og menneskehandel, om at udveksle operative oplysninger om tilbagesendelser til tredjelande og undersøge mulighederne for afskrækkelsesmekanismer i overensstemmelse med national ret, EU-retten og folkeretten og samtidig fastholde deres tilsagn om at sikre international beskyttelse for dem, der har behov for det; opfordrer Kommissionen og Det Forenede Kongeriges regering til at sikre, at ethvert samarbejde om migration med tredjelande bør omfatte passende foranstaltninger til at sikre overholdelsen af de folkeretlige rammer, f.eks. retten til asyl; </w:t>
      </w:r>
    </w:p>
    <w:p w14:paraId="0CE445F7" w14:textId="77777777" w:rsidR="00C16740" w:rsidRPr="007D1F16" w:rsidRDefault="00C16740" w:rsidP="00C16740">
      <w:pPr>
        <w:spacing w:after="240"/>
        <w:ind w:left="567" w:hanging="567"/>
      </w:pPr>
      <w:r w:rsidRPr="007D1F16">
        <w:t>245.</w:t>
      </w:r>
      <w:r w:rsidRPr="007D1F16">
        <w:tab/>
        <w:t xml:space="preserve">bemærker, at den nye "Border Security, Asylum and Immigration Bill" (lovforslag om grænsesikkerhed, asyl og indvandring), der blev fremlagt i Det Forenede Kongeriges parlament den 30. januar 2025, giver mulighed for at indgå aftaler med G7-landene og vigtige europæiske partnere med henblik på at bekæmpe smugling; glæder sig over Det Forenede Kongeriges ønske om at arbejde tættere sammen med de enkelte medlemsstater, herunder Frankrig og de øvrige medlemmer af Calais-gruppen, om bekæmpelse af menneskesmugling og menneskehandel og mere generelt om forstærkelse af grænsesikkerheden, herunder grænseovervågningen; </w:t>
      </w:r>
    </w:p>
    <w:p w14:paraId="2C5CDB17" w14:textId="77777777" w:rsidR="00C16740" w:rsidRPr="007D1F16" w:rsidRDefault="00C16740" w:rsidP="00C16740">
      <w:pPr>
        <w:spacing w:after="240"/>
        <w:ind w:left="567" w:hanging="567"/>
      </w:pPr>
      <w:r w:rsidRPr="007D1F16">
        <w:t>246.</w:t>
      </w:r>
      <w:r w:rsidRPr="007D1F16">
        <w:tab/>
        <w:t xml:space="preserve">minder om, at udleveringsordningen mellem medlemsstaterne og Det Forenede Kongerige som fastsat i handels- og samarbejdsaftalens tredje del, afsnit VII, adskiller </w:t>
      </w:r>
      <w:r w:rsidRPr="007D1F16">
        <w:lastRenderedPageBreak/>
        <w:t>sig fra den, der er fastsat i Rådets rammeafgørelse om den europæiske arrestordre</w:t>
      </w:r>
      <w:r w:rsidRPr="007D1F16">
        <w:rPr>
          <w:rStyle w:val="FootnoteReference"/>
        </w:rPr>
        <w:footnoteReference w:id="51"/>
      </w:r>
      <w:r w:rsidRPr="007D1F16">
        <w:t>; minder om, at Den Europæiske Unions Domstol i sin nylige dom</w:t>
      </w:r>
      <w:r w:rsidRPr="007D1F16">
        <w:rPr>
          <w:rStyle w:val="FootnoteReference"/>
        </w:rPr>
        <w:footnoteReference w:id="52"/>
      </w:r>
      <w:r w:rsidRPr="007D1F16">
        <w:t xml:space="preserve"> fastslog, at den fuldbyrdende judicielle myndighed skal foretage en uafhængig undersøgelse af den risiko for tilsidesættelse af Den Europæiske Unions charter om grundlæggende rettigheder, som den pågældende person påberåber sig i tilfælde af overgivelse til Det Forenede Kongerige; </w:t>
      </w:r>
    </w:p>
    <w:p w14:paraId="014DCA57" w14:textId="77777777" w:rsidR="00C16740" w:rsidRPr="007D1F16" w:rsidRDefault="00C16740" w:rsidP="00C16740">
      <w:pPr>
        <w:spacing w:after="240"/>
        <w:ind w:left="567" w:hanging="567"/>
      </w:pPr>
      <w:r w:rsidRPr="007D1F16">
        <w:t>247.</w:t>
      </w:r>
      <w:r w:rsidRPr="007D1F16">
        <w:tab/>
        <w:t xml:space="preserve">minder om, at tredje del af handels- og samarbejdsaftalen giver mulighed for udvidede datastrømme mellem EU og Det Forenede Kongerige, som f.eks. udveksling af DNA-oplysninger, passagerlisteoplysninger og strafferegisteroplysninger; understreger derfor, at det er af allerstørste betydning, at Det Forenede Kongerige sikrer, at beskyttelsesniveauet i det væsentlige svarer til det, der ydes af EU, for at undgå at bringe EU's standarder og dermed EU-borgernes grundlæggende rettigheder i fare, når der udveksles data med Det Forenede Kongerige; </w:t>
      </w:r>
    </w:p>
    <w:p w14:paraId="20581BF0" w14:textId="77777777" w:rsidR="00C16740" w:rsidRPr="007D1F16" w:rsidRDefault="00C16740" w:rsidP="00C16740">
      <w:pPr>
        <w:spacing w:after="240"/>
        <w:ind w:left="567" w:hanging="567"/>
      </w:pPr>
      <w:r w:rsidRPr="007D1F16">
        <w:t>248.</w:t>
      </w:r>
      <w:r w:rsidRPr="007D1F16">
        <w:tab/>
        <w:t xml:space="preserve">opfordrer Det Forenede Kongerige og medlemsstaterne til at fastholde borgernes rettigheder som en central fælles prioritet i forbindelserne mellem EU og Det Forenede Kongerige og sikre, at alle EU-borgere og Det Forenede Kongeriges statsborgere, der er omfattet af udtrædelsesaftalen, kan udøve deres rettigheder fuldt ud; bemærker med tilfredshed fornyelsen af EU's og Det Forenede Kongeriges fælles tilsagn om en fuldstændig, rettidig og loyal gennemførelse af alle dele af udtrædelsesaftalen; glæder sig over det lovgivningsmæssige skridt, som Det Forenede Kongeriges regering har taget, med hensyn til at skabe juridisk klarhed for EU-borgere med status i henhold til ordningen vedrørende tidsubegrænset opholdsret for EU-borgere, og har tiltro til, at det vil tilsikre en gnidningsløs overgang for borgerne fra midlertidigt til permanent ophold i løbet af de næste to år; påpeger, at den uafhængige tilsynsmyndighed for aftaler om borgerrettigheder har udpeget dataudveksling mellem EU og Det Forenede Kongerige som et område, der kan skabe forsinkelser i ansøgninger under ordningen om tidsubegrænset opholdsret for EU-borgere i tilfælde, hvor medlemsstaterne ligger inde med oplysninger, der er relevante for ansøgningen; opfordrer derfor Kommissionen og medlemsstaternes myndigheder til at øge deres evne til at reagere på anmodninger og tilsikre en bedre informationsudveksling mellem Det Forenede Kongerige og EU-medlemsstaterne og EØS-EFTA-landene (Island, Liechtenstein og Norge) for at forhindre forsinkelser og sikre en gnidningsløs ansøgningsproces for borgerne; </w:t>
      </w:r>
    </w:p>
    <w:p w14:paraId="6F347FBB" w14:textId="77777777" w:rsidR="00C16740" w:rsidRPr="007D1F16" w:rsidRDefault="00C16740" w:rsidP="00C16740">
      <w:pPr>
        <w:pStyle w:val="NormalHanging12a"/>
        <w:rPr>
          <w:b/>
          <w:bCs/>
          <w:i/>
        </w:rPr>
      </w:pPr>
      <w:r w:rsidRPr="007D1F16">
        <w:rPr>
          <w:b/>
          <w:i/>
        </w:rPr>
        <w:t>Samarbejde om udenrigs- og sikkerhedspolitik</w:t>
      </w:r>
    </w:p>
    <w:p w14:paraId="4C152175" w14:textId="77777777" w:rsidR="00C16740" w:rsidRPr="007D1F16" w:rsidRDefault="00C16740" w:rsidP="00C16740">
      <w:pPr>
        <w:pStyle w:val="NormalHanging12a"/>
        <w:rPr>
          <w:szCs w:val="24"/>
        </w:rPr>
      </w:pPr>
      <w:r w:rsidRPr="007D1F16">
        <w:t xml:space="preserve">249. </w:t>
      </w:r>
      <w:r w:rsidRPr="007D1F16">
        <w:tab/>
        <w:t xml:space="preserve">fremhæver den gode og pragmatiske koordinering mellem EU og Det Forenede Kongerige om udenrigs- og sikkerhedspolitik for at sikre stabilitet og velstand i andre områder af verden og opfordrer EU og Det Forenede Kongerige til at styrke deres samarbejde med andre ligesindede partnere; roser Det Forenede Kongeriges betydelige bidrag til fred, sikkerhed og stabilitet i Europa; understreger, at fred i Europa ikke er mulig uden et stærkt partnerskab mellem EU og Det Forenede Kongerige om udenrigs- og sikkerhedspolitik; glæder sig over Det Forenede Kongeriges deltagelse i det europæiske politiske fællesskab; </w:t>
      </w:r>
    </w:p>
    <w:p w14:paraId="61B152C1" w14:textId="77777777" w:rsidR="00C16740" w:rsidRPr="007D1F16" w:rsidRDefault="00C16740" w:rsidP="00C16740">
      <w:pPr>
        <w:pStyle w:val="NormalHanging12a"/>
        <w:rPr>
          <w:szCs w:val="24"/>
        </w:rPr>
      </w:pPr>
      <w:r w:rsidRPr="007D1F16">
        <w:lastRenderedPageBreak/>
        <w:t xml:space="preserve">250. </w:t>
      </w:r>
      <w:r w:rsidRPr="007D1F16">
        <w:tab/>
        <w:t xml:space="preserve">glæder sig meget over sikkerheds- og forsvarspartnerskabet mellem EU og Det Forenede Kongerige som en central ramme for et bredt samarbejde mellem EU og Det Forenede Kongerige på sikkerheds- og forsvarsområdet, der adresserer fælles trusler i fællesskab og dækker områder som f.eks. udveksling af oplysninger og efterretninger, militær mobilitet, sikkerheds- og forsvarsinitiativer, sikkerhed i rummet, krisestyring, cyberforsvar, hybride trusler, terrorbekæmpelse og udenlandsk informationsmanipulation og indblanding; </w:t>
      </w:r>
    </w:p>
    <w:p w14:paraId="6AC09A5D" w14:textId="77777777" w:rsidR="00C16740" w:rsidRPr="007D1F16" w:rsidRDefault="00C16740" w:rsidP="00C16740">
      <w:pPr>
        <w:pStyle w:val="NormalHanging12a"/>
        <w:rPr>
          <w:szCs w:val="24"/>
        </w:rPr>
      </w:pPr>
      <w:r w:rsidRPr="007D1F16">
        <w:t>251.</w:t>
      </w:r>
      <w:r w:rsidRPr="007D1F16">
        <w:tab/>
        <w:t>understreger den eksistentielle trussel, som Ruslands angrebskrig mod Ukraine og dets trusler om at udvide denne aggression til andre lande på det europæiske kontinent udgør; mener, at dette er den største trussel, som vores kontinent står over for i de kommende år, uanset betydningen af andre problemer; opfordrer til en passende politisk reaktion, der prioriterer at afhjælpe hullerne i den europæiske forsvars- og afskrækkelseskapacitet, i særdeleshed i samarbejde med ligesindede europæiske partnere;</w:t>
      </w:r>
    </w:p>
    <w:p w14:paraId="79EEE355" w14:textId="77777777" w:rsidR="00C16740" w:rsidRPr="007D1F16" w:rsidRDefault="00C16740" w:rsidP="00C16740">
      <w:pPr>
        <w:pStyle w:val="NormalHanging12a"/>
        <w:rPr>
          <w:szCs w:val="24"/>
        </w:rPr>
      </w:pPr>
      <w:r w:rsidRPr="007D1F16">
        <w:t>252.</w:t>
      </w:r>
      <w:r w:rsidRPr="007D1F16">
        <w:tab/>
        <w:t>glæder sig over det stærke samarbejde mellem EU og Det Forenede Kongerige som reaktion på Ruslands angrebskrig mod Ukraine, som blev fremhævet på topmødet mellem EU og Det Forenede Kongerige; fremhæver den fortsatte indbyrdes tilpasning mellem EU og Det Forenede Kongerige med hensyn til sanktioner, militær og finansiel støtte og diplomatisk koordinering samt deres fælles engagement i at genoprette en omfattende, retfærdig og varig fred, der er baseret på folkerettens principper, retfærdighed og ansvarliggørelse; opfordrer EU og Det Forenede Kongerige til at blive ved med at stå stærkt forenet over for resten af det internationale samfund i fordømmelsen af Ruslands handlinger, forsvaret af Ukraines suverænitet, territoriale integritet og uafhængighed og bekæmpelsen af russisk desinformation om dets angrebskrig mod Ukraine og til at fortsætte deres bestræbelser på at opnå den bredest mulige internationale støtte til disse spørgsmål; roser Det Forenede Kongeriges afgørende bidrag til udformningen af en stærk og samlet europæisk reaktion på Ruslands angrebskrig mod Ukraine og til at sammenkalde "koalitionen af villige"; glæder sig over Det Forenede Kongeriges bidrag til at støtte Ukraines fremtidige genopretning og genopbygning; opfordrer Det Forenede Kongerige og alle medlemsstaterne til at øge deres militære bistand til Ukraine betydeligt og ophæve alle restriktioner for en sådan bistand, samtidig med at det respekteres, at medlemsstaterne har forskellige militær- og sikkerhedspolitikker, herunder neutralitetspolitikker;  anbefaler i den forbindelse, at de foranstaltninger, der træffes inden for rammerne af SAFE-forordningen</w:t>
      </w:r>
      <w:r w:rsidRPr="007D1F16">
        <w:rPr>
          <w:rStyle w:val="FootnoteReference"/>
          <w:szCs w:val="24"/>
        </w:rPr>
        <w:footnoteReference w:id="53"/>
      </w:r>
      <w:r w:rsidRPr="007D1F16">
        <w:t xml:space="preserve"> både af medlemsstaterne og Det Forenede Kongerige, også omfatter Ukraine og dets forsvarsteknologiske og -industrielle base;</w:t>
      </w:r>
    </w:p>
    <w:p w14:paraId="5C943641" w14:textId="77777777" w:rsidR="00C16740" w:rsidRPr="007D1F16" w:rsidRDefault="00C16740" w:rsidP="00C16740">
      <w:pPr>
        <w:pStyle w:val="NormalHanging12a"/>
        <w:rPr>
          <w:szCs w:val="24"/>
        </w:rPr>
      </w:pPr>
      <w:r w:rsidRPr="007D1F16">
        <w:t>253.</w:t>
      </w:r>
      <w:r w:rsidRPr="007D1F16">
        <w:tab/>
        <w:t xml:space="preserve">roser Det Forenede Kongeriges resolutte tilgang til at indføre og opretholde stadig strengere sanktioner samt dets ledende rolle i koalitionen "Call to Action", der har til formål at skabe alvorlige problemer for den russiske skyggeflåde; glæder sig over det forstærkede samarbejde mellem EU og Det Forenede Kongerige om sanktioner mod Rusland og dets skyggeflåde som fremhævet på topmødet mellem EU og Det Forenede Kongerige; opfordrer til en yderligere sammenhængende og koordineret styrkelse fra </w:t>
      </w:r>
      <w:r w:rsidRPr="007D1F16">
        <w:lastRenderedPageBreak/>
        <w:t xml:space="preserve">EU's og Det Forenede Kongeriges side af deres respektive sanktionsordninger for at sikre maksimal virkning og forhindre omgåelse af sanktionerne med henblik på at lægge yderligere økonomisk og politisk pres på de russiske myndigheder, navnlig i lyset af sidstnævntes effektive sabotage af våbenhvilen og alle meningsfulde fredsforhandlinger; opfordrer indtrængende EU til at matche Det Forenede Kongeriges sanktioner i forbindelse med Ukraine og vice versa og navnlig indføre sanktioner mod alle resterende kendte og endnu ikke sanktionsbelagte tankskibe i skyggeflåden og deres ejere, forsikringsmæglere og forsikringsudbydere, samtidig med at der indføres sanktioner mod ethvert olietankskib, der overtræder den internationale konvention om forebyggelse af forurening fra skibe, og håndhæves en streng gennemførelse af de foranstaltninger, der forbyder skibe, uanset flag, at sejle i EU-farvande og Det Forenede Kongeriges farvande eller at anløbe havne i EU eller Det Forenede Kongerige, hvis de ikke overholder de internationale regler om skib-til-skib-omladninger til søs, eller hvis de ulovligt har deaktiveret deres automatiske identifikationssystemer; opfordrer indtrængende begge parter til at forbyde skib-til-skib-omladning af russisk olie i deres farvande; tilskynder til yderligere samarbejde og informationsudveksling med henblik på at udpege og spore mistænkelige skibe eller mistænkelig adfærd, fastlægge og opretholde strenge søfartssikkerhedsstandarder og håndhæve søretten; </w:t>
      </w:r>
    </w:p>
    <w:p w14:paraId="3CF2378D" w14:textId="77777777" w:rsidR="00C16740" w:rsidRPr="007D1F16" w:rsidRDefault="00C16740" w:rsidP="00C16740">
      <w:pPr>
        <w:pStyle w:val="NormalHanging12a"/>
        <w:rPr>
          <w:szCs w:val="24"/>
        </w:rPr>
      </w:pPr>
      <w:r w:rsidRPr="007D1F16">
        <w:t>254.</w:t>
      </w:r>
      <w:r w:rsidRPr="007D1F16">
        <w:tab/>
        <w:t xml:space="preserve">opfordrer EU og Det Forenede Kongerige til at sikre, at immobiliserede russiske statslige aktiver kan anvendes til at støtte Ukraines forsvar, genopbygning og erstatning, gennem konfiskation eller andre nødvendige retlige midler; </w:t>
      </w:r>
    </w:p>
    <w:p w14:paraId="3349F131" w14:textId="77777777" w:rsidR="00C16740" w:rsidRPr="007D1F16" w:rsidRDefault="00C16740" w:rsidP="00C16740">
      <w:pPr>
        <w:pStyle w:val="NormalHanging12a"/>
        <w:rPr>
          <w:szCs w:val="24"/>
        </w:rPr>
      </w:pPr>
      <w:r w:rsidRPr="007D1F16">
        <w:t>255.</w:t>
      </w:r>
      <w:r w:rsidRPr="007D1F16">
        <w:tab/>
        <w:t xml:space="preserve">fremhæver det fælles behov for, at de europæiske lande hurtigst muligt styrker deres egne kapabiliteter for at sikre deres egen sikkerhed og forsvar; fremhæver, at sikkerheds- og forsvarspartnerskabet har til formål at styrke det europæiske bidrag til NATO i anerkendelse af Det Forenede Kongeriges rolle som en vigtig NATO-allieret; noterer sig tilsagnet fra Det Forenede Kongeriges premierminister, Keir Starmer, om at øge forsvarsudgifterne til 2,5 % af BNP senest i april 2027; tilskynder medlemsstaterne til at undersøge mulighederne for fælles bestræbelser fra EU's og Det Forenede Kongeriges side på at støtte oprettelsen af en bank for forsvar, sikkerhed og modstandsdygtighed, der skal fungere som en multilateral udlånsinstitution, som er indrettet til at yde langfristede lån med lav rente, og som kan støtte centrale nationale sikkerhedsprioriteter såsom genopfyldning af lagre, modernisering af forsvaret, genopbygningsindsatser i Ukraine og tilbagekøb af kritisk infrastruktur, der i øjeblikket er ejet af fjendtligsindede ikke-EU-lande; </w:t>
      </w:r>
    </w:p>
    <w:p w14:paraId="36B6BDE4" w14:textId="77777777" w:rsidR="00C16740" w:rsidRPr="007D1F16" w:rsidRDefault="00C16740" w:rsidP="00C16740">
      <w:pPr>
        <w:pStyle w:val="NormalHanging12a"/>
        <w:rPr>
          <w:szCs w:val="24"/>
        </w:rPr>
      </w:pPr>
      <w:r w:rsidRPr="007D1F16">
        <w:t>256.</w:t>
      </w:r>
      <w:r w:rsidRPr="007D1F16">
        <w:tab/>
        <w:t xml:space="preserve">opfordrer Kommissionen til hurtigt at undersøge alle muligheder for et gensidigt fordelagtigt forstærket samarbejde, som instrumentet for sikkerhedstiltag for Europa (SAFE) skaber; opfordrer Kommissionen til hurtigst muligt at give Parlamentet fuldstændige oplysninger om betingelserne for og detaljerne vedrørende eventuelle finansielle bidrag, som Det Forenede Kongerige skal yde; opfordrer til, at Parlamentet inddrages i vedtagelsen af aftalen i overensstemmelse med artikel 218, stk. 6, litra a), i TEUF; </w:t>
      </w:r>
    </w:p>
    <w:p w14:paraId="1B9FAC8C" w14:textId="77777777" w:rsidR="00C16740" w:rsidRPr="007D1F16" w:rsidRDefault="00C16740" w:rsidP="00C16740">
      <w:pPr>
        <w:pStyle w:val="NormalHanging12a"/>
        <w:rPr>
          <w:szCs w:val="24"/>
        </w:rPr>
      </w:pPr>
      <w:r w:rsidRPr="007D1F16">
        <w:t>257.</w:t>
      </w:r>
      <w:r w:rsidRPr="007D1F16">
        <w:tab/>
        <w:t xml:space="preserve">mener, at Det Forenede Kongeriges ledende rolle i den fælles ekspeditionsstyrke er afgørende for den europæiske sikkerheds fremtid, og tilskynder til fortsat politisk, finansielt, operativt og logistisk samarbejde mellem medlemsstaterne og Det Forenede Kongeriges væbnede styrker i den henseende; </w:t>
      </w:r>
    </w:p>
    <w:p w14:paraId="57AB2CBB" w14:textId="77777777" w:rsidR="00C16740" w:rsidRPr="007D1F16" w:rsidRDefault="00C16740" w:rsidP="00C16740">
      <w:pPr>
        <w:pStyle w:val="NormalHanging12a"/>
        <w:rPr>
          <w:szCs w:val="24"/>
        </w:rPr>
      </w:pPr>
      <w:r w:rsidRPr="007D1F16">
        <w:t>258.</w:t>
      </w:r>
      <w:r w:rsidRPr="007D1F16">
        <w:tab/>
        <w:t xml:space="preserve">understreger, at Det Forenede Kongerige er en førende europæisk forsvarsaktør med </w:t>
      </w:r>
      <w:r w:rsidRPr="007D1F16">
        <w:lastRenderedPageBreak/>
        <w:t xml:space="preserve">udpræget ekspertise og avancerede strategiske kapabiliteter; anerkender dets forsvarsindustrielle bases styrke, navnlig inden for de områder, der er udpeget i EU's beredskab 2030-initiativ og i strategien for den europæiske forsvarsindustri som kritiske kapacitetshuller, herunder integreret flerlagssystem til luft- og missilforsvar, avanceret artilleri, langtrækkende missilsystemer og ubemandede systemer; anerkender de dybe forbindelser, komplementariteter og synergier mellem den europæiske forsvarsteknologiske og -industrielle base og Det Forenede Kongeriges forsvarsteknologiske og -industrielle base med hensyn til at forfølge fælles sikkerhedsmål ved at udvikle nye samarbejdsordninger på områder som ballistisk og hypersonisk missilforsvar, rumbaserede sensorsystemer og netværk for tidlig varsling; opfordrer EU, dets medlemsstater og Det Forenede Kongerige til at gøre sig yderligere bestræbelser på at uddybe samarbejdet mellem disse industrielle sektorer og styrke den geografiske sammenhæng i en fælles europæisk forsvarsindustriel base, der også omfatter Ukraine, herunder inden for innovation og fælles forskning og udvikling; glæder sig over medlemsstaternes og Det Forenede Kongeriges og deres forsvarsindustriers indsats for at investere i og indgå partnerskaber med den ukrainske forsvarsindustri og opfordrer dem til at intensivere denne indsats, navnlig gennem oprettelse af joint ventures og ved at opbygge produktionskapacitet både i Ukraine og i medlemsstaterne; understreger, at EU's forsvarsindustrielle bases styrke ligeledes kan bidrage til at øge Det Forenede Kongeriges sikkerhed; </w:t>
      </w:r>
    </w:p>
    <w:p w14:paraId="5CDFF2C6" w14:textId="77777777" w:rsidR="00C16740" w:rsidRPr="007D1F16" w:rsidRDefault="00C16740" w:rsidP="00C16740">
      <w:pPr>
        <w:pStyle w:val="NormalHanging12a"/>
        <w:rPr>
          <w:szCs w:val="24"/>
        </w:rPr>
      </w:pPr>
      <w:r w:rsidRPr="007D1F16">
        <w:t>259.</w:t>
      </w:r>
      <w:r w:rsidRPr="007D1F16">
        <w:tab/>
        <w:t xml:space="preserve">opfordrer indtrængende EU og Det Forenede Kongerige til at arbejde hen imod en passende inddragelse af Det Forenede Kongerige i relevante EU-initiativer på forsvarsområdet såsom Den Europæiske Forsvarsfond (EDF), programmet for den europæiske forsvarsindustri (EDIP), instrumentet til styrkelse af den europæiske forsvarsindustri gennem fælles indkøb (EDIRPA) og projekter inden for permanent struktureret samarbejde (PESCO) samt fremtidige EU-programmer på forsvarsområdet; glæder sig over sikkerheds- og forsvarspartnerskabets meddelelse om, at det vil undersøge mulighederne for at etablere en administrativ ordning mellem Det Europæiske Forsvarsagentur (EDA) og Det Forenede Kongerige; opfordrer EDA og Det Forenede Kongerige til at tilstræbe en sådan ordning som en prioritet for at fremme det praktiske samarbejde; </w:t>
      </w:r>
    </w:p>
    <w:p w14:paraId="167184E7" w14:textId="77777777" w:rsidR="00C16740" w:rsidRPr="007D1F16" w:rsidRDefault="00C16740" w:rsidP="00C16740">
      <w:pPr>
        <w:pStyle w:val="NormalHanging12a"/>
        <w:rPr>
          <w:szCs w:val="24"/>
        </w:rPr>
      </w:pPr>
      <w:r w:rsidRPr="007D1F16">
        <w:t>260.</w:t>
      </w:r>
      <w:r w:rsidRPr="007D1F16">
        <w:tab/>
        <w:t xml:space="preserve">fremhæver forbindelserne mellem forsvarsindustrien i Det Forenede Kongerige og i medlemsstaterne, herunder særdeles betydningsfulde joint ventures; anerkender Dronekoalitionen – et initiativ under fælles ledelse af Det Forenede Kongerige og Letland, der omfatter 17 medlemsstater – som et positivt eksempel på samarbejde om avanceret kapacitetsudvikling af afgørende betydning; beklager, at sikkerheds- og forsvarspartnerskabet mellem EU og Det Forenede Kongerige ikke fuldt ud adresserer spørgsmålet om maksimering af synergier og komplementaritet mellem de to industrielle baser; opfordrer begge parter til hurtigst muligt at uddybe det forsvarsindustrielle samarbejde, navnlig om centrale kapaciteter såsom strategiske katalysatorer, gennem en køreplan for forsvarsindustrielt samarbejde;  </w:t>
      </w:r>
    </w:p>
    <w:p w14:paraId="1C0445C5" w14:textId="77777777" w:rsidR="00C16740" w:rsidRPr="007D1F16" w:rsidRDefault="00C16740" w:rsidP="00C16740">
      <w:pPr>
        <w:pStyle w:val="NormalHanging12a"/>
        <w:rPr>
          <w:szCs w:val="24"/>
        </w:rPr>
      </w:pPr>
      <w:r w:rsidRPr="007D1F16">
        <w:t>261.</w:t>
      </w:r>
      <w:r w:rsidRPr="007D1F16">
        <w:tab/>
        <w:t xml:space="preserve">minder om, at både EU og Det Forenede Kongerige står over for store hybride trusler og indblanding fra ondsindede aktører, navnlig – men ikke udelukkende – Rusland; glæder sig over, at samarbejde om imødegåelse af hybride trusler, herunder udenlandsk informationsmanipulation og indblanding og cybersikkerhed, blev udpeget som vigtige samarbejdsområder på topmødet mellem EU og Det Forenede Kongerige; roser den cyberdialog, der afholdes mellem EU og Det Forenede Kongerige i henhold til handels- og samarbejdsaftalen; tilskynder både Det Forenede Kongerige og EU til at uddybe det </w:t>
      </w:r>
      <w:r w:rsidRPr="007D1F16">
        <w:lastRenderedPageBreak/>
        <w:t xml:space="preserve">eksisterende gavnlige samarbejde og informationsudvekslingen om harmoniserede definitioner og afsløring af trusler, tidlig identifikation og koordinering af reaktioner på hybride kampagner, en mere fælles tilgang til afskrækkelsesstrategier mod cybertrusler, opbygning af cyberrobusthed og cyberkapacitet samt udveksling af god praksis for at sikre vores demokratiske samfunds sikkerhed og modstandsdygtighed, herunder i EU-kandidatlandene; </w:t>
      </w:r>
    </w:p>
    <w:p w14:paraId="6AF564B7" w14:textId="77777777" w:rsidR="00C16740" w:rsidRPr="007D1F16" w:rsidRDefault="00C16740" w:rsidP="00C16740">
      <w:pPr>
        <w:pStyle w:val="NormalHanging12a"/>
        <w:rPr>
          <w:szCs w:val="24"/>
        </w:rPr>
      </w:pPr>
      <w:r w:rsidRPr="007D1F16">
        <w:t>262.</w:t>
      </w:r>
      <w:r w:rsidRPr="007D1F16">
        <w:tab/>
        <w:t xml:space="preserve">glæder sig over tilsagnet om at styrke samarbejdet om udvekslinger vedrørende situationsbevidsthed, herunder klassificerede informationer; gør på ny opmærksom på vigtigheden af koordinering og samarbejde mellem EU og Det Forenede Kongerige for så vidt angår militær uddannelse, udveksling af oplysninger og efterretninger samt terrorbekæmpelsesoperationer, som er helt afgørende for den europæiske sikkerhed; beklager imidlertid, at sikkerheds- og forsvarspartnerskabet ikke nævner udveksling af efterretninger; glæder sig over det fælles tilsagn om at styrke den militære mobilitet, herunder færdiggørelsen af TEN-T-nettet og opgraderinger af infrastruktur med dobbelt anvendelse; fremhæver, at det er nødvendigt at opprioritere digitalisering ved grænseovergangene og inden for transportinfrastruktur for at fremskynde de administrative procedurer og at tackle de lovgivningsmæssige forskelle og den utilstrækkelige infrastruktur, som fortsat udgør alvorlige hindringer for hurtig flytning af tropper og materiel; minder om, at dette forstærkede samarbejde mellem EU og Det Forenede Kongerige om militær mobilitet også bør implementeres inden for rammerne af NATO ved at forbedre de lovgivningsmæssige aspekter, gennemføre fælles øvelser mellem medlemsstaterne og Det Forenede Kongerige og udveksle oplysninger om infrastrukturkrav; </w:t>
      </w:r>
    </w:p>
    <w:p w14:paraId="6325ABA0" w14:textId="77777777" w:rsidR="00C16740" w:rsidRPr="007D1F16" w:rsidRDefault="00C16740" w:rsidP="00C16740">
      <w:pPr>
        <w:pStyle w:val="NormalHanging12a"/>
        <w:rPr>
          <w:szCs w:val="24"/>
        </w:rPr>
      </w:pPr>
      <w:r w:rsidRPr="007D1F16">
        <w:t xml:space="preserve">263. </w:t>
      </w:r>
      <w:r w:rsidRPr="007D1F16">
        <w:tab/>
        <w:t xml:space="preserve">glæder sig over den dybere koordinering af maritim sikkerhed som et centralt anliggende for sikkerheds- og forsvarspartnerskabet i betragtning af det presserende behov for at styrke sikkerheden for kritisk infrastruktur, herunder energi og kommunikation, og for at sikre retten til fri sejlads; understreger sikkerheds- og forsvarspartnerskabets strategiske betydning for søtransportsektoren, navnlig med hensyn til at øge den kritiske transportinfrastrukturs robusthed, imødegå hybridtrusler og styrke cybersikkerheden, bl.a. i forbindelse med maritime autonome overfladeskibe; opfordrer til en tæt koordinering af beskyttelsen af skibe og havnefaciliteter gennem en konsekvent og harmoniseret gennemførelse af den internationale kode for sikring af skibe og havnefaciliteter; understreger, at det er nødvendigt løbende at koordinere indsatsen over for Ruslands skyggeflåde, og fremhæver, at informationsudvekslingen bør være indsatsklar og ajourført, således at både medlemsstaterne og Det Forenede Kongerige kan reagere rettidigt; </w:t>
      </w:r>
    </w:p>
    <w:p w14:paraId="37360FBD" w14:textId="77777777" w:rsidR="00C16740" w:rsidRPr="007D1F16" w:rsidRDefault="00C16740" w:rsidP="00C16740">
      <w:pPr>
        <w:pStyle w:val="NormalHanging12a"/>
        <w:rPr>
          <w:szCs w:val="24"/>
        </w:rPr>
      </w:pPr>
      <w:r w:rsidRPr="007D1F16">
        <w:t xml:space="preserve">264. </w:t>
      </w:r>
      <w:r w:rsidRPr="007D1F16">
        <w:tab/>
        <w:t xml:space="preserve">glæder sig over begge parters tilsagn om at styrke samarbejdet på centrale områder såsom maritim sikkerhed i Det Røde Hav, varig og retfærdig fred i Mellemøsten, stabilisering af situationen i hhv. Sahel, Sudan og Den Demokratiske Republik Congo og på Vestbalkan såvel som samarbejdet i Arktis; glæder sig over det tilsagn, der blev givet på topmødet mellem EU og Det Forenede Kongerige, om at uddybe samarbejdet på disse områder gennem en mere struktureret dialog og fælles aktioner, herunder gennem samarbejde og koordinering på de nævnte steder; tilskynder derfor EU og Det Forenede Kongerige til at gøre fuld brug af de strategiske konsultationer i det strategiske forsvarspartnerskab om Rusland/Ukraine, den indopacifiske region, Vestbalkan og hybride trusler; </w:t>
      </w:r>
    </w:p>
    <w:p w14:paraId="30068DBE" w14:textId="77777777" w:rsidR="00C16740" w:rsidRPr="007D1F16" w:rsidRDefault="00C16740" w:rsidP="00C16740">
      <w:pPr>
        <w:pStyle w:val="NormalHanging12a"/>
        <w:rPr>
          <w:szCs w:val="24"/>
        </w:rPr>
      </w:pPr>
      <w:r w:rsidRPr="007D1F16">
        <w:t>265.</w:t>
      </w:r>
      <w:r w:rsidRPr="007D1F16">
        <w:tab/>
        <w:t xml:space="preserve">opfordrer EU og Det Forenede Kongerige til at styrke international fred og stabilitet, </w:t>
      </w:r>
      <w:r w:rsidRPr="007D1F16">
        <w:lastRenderedPageBreak/>
        <w:t xml:space="preserve">herunder ved at udvikle fælles strategier for styrkelse af FN's fredsbevarende indsats og krisestyring; opfordrer begge parter til at slå til lyd for en kultur af fred og dialog som et middel til konfliktforebyggelse, konfliktstyring og konfliktløsning og som et middel til at støtte kvinderettigheder og kønsrelaterede rettigheder; bakker op om en fortsættelse af det nuværende samarbejde på disse områder; opfordrer til systematisk præferentielt samarbejde i forbindelse med fredsbevarende operationer; beklager, at Det Forenede Kongeriges deltagelse i missioner under den fælles sikkerheds- og forsvarspolitik såsom EU Althea eller Atalanta ophørte med brexit, og opfordrer næstformanden for Kommissionen/Unionens højtstående repræsentant for udenrigsanliggender og sikkerhedspolitik, medlemsstaterne og de britiske myndigheder til at træffe foranstaltninger med henblik på at genoprette Det Forenede Kongeriges deltagelse som et middel til praktisk gennemførelse af sikkerheds- og forsvarspartnerskabet; opfordrer til øget samarbejde mellem EU og Det Forenede Kongerige om anliggender vedrørende demokratisk udvikling, reformprocesser og demokratisk parlamentarisk praksis i tredjelande, herunder valgobservation; glæder sig over den fælles vilje til at styrke det konsulære samarbejde for at forbedre det konsulære kriseberedskab; </w:t>
      </w:r>
    </w:p>
    <w:p w14:paraId="067881D3" w14:textId="77777777" w:rsidR="00C16740" w:rsidRPr="007D1F16" w:rsidRDefault="00C16740" w:rsidP="00C16740">
      <w:pPr>
        <w:pStyle w:val="NormalHanging12a"/>
        <w:rPr>
          <w:szCs w:val="24"/>
        </w:rPr>
      </w:pPr>
      <w:r w:rsidRPr="007D1F16">
        <w:t>266.</w:t>
      </w:r>
      <w:r w:rsidRPr="007D1F16">
        <w:tab/>
        <w:t xml:space="preserve">fremhæver betydningen af den regelbaserede orden, herunder fuld respekt for og overholdelse af folkeretten, inklusive FN-pagten, den humanitære folkeret og den internationale menneskerettighedslovgivning, og multilateralisme; glæder sig over, at det fælles engagement heri blev bekræftet på ny på topmødet mellem EU og Det Forenede Kongerige, og opfordrer til en fortsat fælles indsats for at opretholde og styrke denne orden i en tid med stadig større global ustabilitet; opfordrer til øget støtte for at sikre, at multinationale og regionale fora og institutioner kan fungere gnidningsløst, navnlig dem, der er berørt af den seneste tids geopolitiske ændringer, f.eks. Den Internationale Straffedomstol (ICC) som en hjørnesten i det internationale retssystem, Organisationen for Sikkerhed og Samarbejde i Europa (OSCE) eller FN's Menneskerettighedsråd; </w:t>
      </w:r>
    </w:p>
    <w:p w14:paraId="58194049" w14:textId="77777777" w:rsidR="00C16740" w:rsidRPr="007D1F16" w:rsidRDefault="00C16740" w:rsidP="00C16740">
      <w:pPr>
        <w:pStyle w:val="NormalHanging12a"/>
        <w:rPr>
          <w:szCs w:val="24"/>
        </w:rPr>
      </w:pPr>
      <w:r w:rsidRPr="007D1F16">
        <w:t>267.</w:t>
      </w:r>
      <w:r w:rsidRPr="007D1F16">
        <w:tab/>
        <w:t xml:space="preserve">glæder sig over EU's og Det Forenede Kongeriges nylige tilsagn, som er fremsat i den fælles forståelse, om at etablere en regelmæssig dialog om udviklingssamarbejde og at styrke samarbejdet om internationale katastrofeindsatser og humanitær bistand; </w:t>
      </w:r>
    </w:p>
    <w:p w14:paraId="5BC4190B" w14:textId="77777777" w:rsidR="00C16740" w:rsidRPr="007D1F16" w:rsidRDefault="00C16740" w:rsidP="00C16740">
      <w:pPr>
        <w:pStyle w:val="NormalHanging12a"/>
        <w:rPr>
          <w:szCs w:val="24"/>
        </w:rPr>
      </w:pPr>
      <w:r w:rsidRPr="007D1F16">
        <w:t>268.</w:t>
      </w:r>
      <w:r w:rsidRPr="007D1F16">
        <w:tab/>
        <w:t>roser Det Forenede Kongeriges fortsatte støtte til euroatlantisk integration af og stabilitet og velstand for de seks lande på Vestbalkan, herunder dets engagement i Berlinprocessen; opfordrer til yderligere samarbejde mellem EU og Det Forenede Kongerige om at forfølge fælles politik</w:t>
      </w:r>
      <w:r w:rsidRPr="007D1F16">
        <w:noBreakHyphen/>
        <w:t xml:space="preserve"> og sikkerhedsmål i det bredere østeuropæiske naboskab, herunder i Sortehavsområdet og på Vestbalkan, baseret på fælles situationsbevidsthed, navnlig ved at støtte territorial integritet, suverænitet, stabilitet og demokratisk modstandsdygtighed i EU's kandidatlande; anbefaler, at der gøres status over de indhøstede erfaringer fra 25 års engagement på Vestbalkan med fornyet fokus på at sikre mærkbare fremskridt og forandringsskabende reformer, der vil fremskynde landenes fremskridt hen imod EU-medlemskab og bidrage til en mere sikker fremtid for Europa; anerkender EU's og Det Forenede Kongeriges fælles rolle med hensyn til at holde Daytonfredsaftalen og dens bilag i hævd; </w:t>
      </w:r>
    </w:p>
    <w:p w14:paraId="0D01A3C0" w14:textId="77777777" w:rsidR="00C16740" w:rsidRPr="007D1F16" w:rsidRDefault="00C16740" w:rsidP="00C16740">
      <w:pPr>
        <w:pStyle w:val="NormalHanging12a"/>
        <w:rPr>
          <w:szCs w:val="24"/>
        </w:rPr>
      </w:pPr>
      <w:r w:rsidRPr="007D1F16">
        <w:t>269.</w:t>
      </w:r>
      <w:r w:rsidRPr="007D1F16">
        <w:tab/>
        <w:t xml:space="preserve">opfordrer EU og Det Forenede Kongerige til sammen at arbejde hen imod varig fred i Mellemøsten, herunder at støtte den politiske overgang og beskyttelsen af alle mindretal i Syrien og bekæmpe straffrihed for alle parter, der er ansvarlige for krænkelser af den humanitære folkeret i Syrien; glæder sig over EU's og Det Forenede Kongeriges mangeårige samarbejde om og engagement i at arbejde hen imod en våbenhvile i Gaza </w:t>
      </w:r>
      <w:r w:rsidRPr="007D1F16">
        <w:lastRenderedPageBreak/>
        <w:t>og opfordrer indtrængende til frigivelse af eventuelle tilbageværende gidsler samt tilsagn om en tostatsløsning, hvor to suveræne, demokratiske stater lever side om side i fred og garanteret sikkerhed og under fuld overholdelse af folkeretten;</w:t>
      </w:r>
    </w:p>
    <w:p w14:paraId="12F3ADAE" w14:textId="77777777" w:rsidR="00C16740" w:rsidRPr="007D1F16" w:rsidRDefault="00C16740" w:rsidP="00C16740">
      <w:pPr>
        <w:pStyle w:val="NormalHanging12a"/>
        <w:rPr>
          <w:szCs w:val="24"/>
        </w:rPr>
      </w:pPr>
      <w:r w:rsidRPr="007D1F16">
        <w:t>270.</w:t>
      </w:r>
      <w:r w:rsidRPr="007D1F16">
        <w:tab/>
      </w:r>
      <w:bookmarkStart w:id="25" w:name="_Hlk194523598"/>
      <w:r w:rsidRPr="007D1F16">
        <w:t xml:space="preserve">opfordrer indtrængende EU og Det Forenede Kongerige til hurtigt at gennemføre og bygge videre på oprettelsen af sikkerheds- og forsvarspartnerskabet ved at udnytte dets potentiale fuldt ud gennem konkrete tilsagn og foranstaltninger for at opnå alle dets muligheder og fordele, bl.a. gennem en interinstitutionel ramme under Partnerskabsrådet mellem EU og Det Forenede Kongerige og den udenrigspolitiske dialog mellem EU og Det Forenede Kongerige; bemærker, at de budgetmæssige og lovgivningsmæssige betingelser for partnerskabet stadig skal forhandles på plads under hensyntagen til betydningen af EU's beslutningsautonomi; </w:t>
      </w:r>
    </w:p>
    <w:bookmarkEnd w:id="25"/>
    <w:p w14:paraId="295AB724" w14:textId="77777777" w:rsidR="00C16740" w:rsidRPr="007D1F16" w:rsidRDefault="00C16740" w:rsidP="00C16740">
      <w:pPr>
        <w:pStyle w:val="NormalHanging12a"/>
        <w:jc w:val="center"/>
      </w:pPr>
      <w:r w:rsidRPr="007D1F16">
        <w:t>°</w:t>
      </w:r>
    </w:p>
    <w:p w14:paraId="1830AC22" w14:textId="77777777" w:rsidR="00C16740" w:rsidRPr="007D1F16" w:rsidRDefault="00C16740" w:rsidP="00C16740">
      <w:pPr>
        <w:pStyle w:val="NormalHanging12a"/>
        <w:jc w:val="center"/>
      </w:pPr>
      <w:r w:rsidRPr="007D1F16">
        <w:t>°</w:t>
      </w:r>
      <w:r w:rsidRPr="007D1F16">
        <w:tab/>
        <w:t>°</w:t>
      </w:r>
    </w:p>
    <w:p w14:paraId="071BD364" w14:textId="19DB457A" w:rsidR="00E365E1" w:rsidRPr="007D1F16" w:rsidRDefault="00C16740" w:rsidP="00D813AD">
      <w:pPr>
        <w:pStyle w:val="NormalHanging12a"/>
      </w:pPr>
      <w:r w:rsidRPr="007D1F16">
        <w:t>271.</w:t>
      </w:r>
      <w:r w:rsidRPr="007D1F16">
        <w:tab/>
        <w:t>pålægger sin formand at sende denne beslutning til Rådet, Kommissionen, næstformanden for Kommissionen/Unionens højtstående repræsentant for udenrigsanliggender og sikkerhedspolitik, medlemsstaternes regeringer og parlamenter samt Det Forenede Kongeriges regering og parlament.</w:t>
      </w:r>
    </w:p>
    <w:sectPr w:rsidR="00E365E1" w:rsidRPr="007D1F16" w:rsidSect="007D1F1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D1888" w14:textId="77777777" w:rsidR="003A358B" w:rsidRPr="007D1F16" w:rsidRDefault="003A358B">
      <w:r w:rsidRPr="007D1F16">
        <w:separator/>
      </w:r>
    </w:p>
  </w:endnote>
  <w:endnote w:type="continuationSeparator" w:id="0">
    <w:p w14:paraId="212400D3" w14:textId="77777777" w:rsidR="003A358B" w:rsidRPr="007D1F16" w:rsidRDefault="003A358B">
      <w:r w:rsidRPr="007D1F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BF4CC" w14:textId="77777777" w:rsidR="00064002" w:rsidRPr="007D1F1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0B843" w14:textId="77777777" w:rsidR="00064002" w:rsidRPr="007D1F1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75BB6" w14:textId="77777777" w:rsidR="00064002" w:rsidRPr="007D1F1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D531F" w14:textId="77777777" w:rsidR="003A358B" w:rsidRPr="007D1F16" w:rsidRDefault="003A358B">
      <w:r w:rsidRPr="007D1F16">
        <w:separator/>
      </w:r>
    </w:p>
  </w:footnote>
  <w:footnote w:type="continuationSeparator" w:id="0">
    <w:p w14:paraId="1FFE997B" w14:textId="77777777" w:rsidR="003A358B" w:rsidRPr="007D1F16" w:rsidRDefault="003A358B">
      <w:r w:rsidRPr="007D1F16">
        <w:continuationSeparator/>
      </w:r>
    </w:p>
  </w:footnote>
  <w:footnote w:id="1">
    <w:p w14:paraId="722ED8A8" w14:textId="089229A7" w:rsidR="00C16740" w:rsidRPr="007D1F16" w:rsidRDefault="00C16740" w:rsidP="007D1F16">
      <w:pPr>
        <w:pStyle w:val="FootnoteText"/>
        <w:ind w:left="567" w:hanging="567"/>
        <w:rPr>
          <w:sz w:val="24"/>
          <w:lang w:val="da-DK"/>
        </w:rPr>
      </w:pPr>
      <w:r w:rsidRPr="007D1F16">
        <w:rPr>
          <w:rStyle w:val="FootnoteReference"/>
          <w:sz w:val="24"/>
          <w:lang w:val="da-DK"/>
        </w:rPr>
        <w:footnoteRef/>
      </w:r>
      <w:r w:rsidR="007D1F16" w:rsidRPr="007D1F16">
        <w:rPr>
          <w:sz w:val="24"/>
          <w:lang w:val="da-DK"/>
        </w:rPr>
        <w:t xml:space="preserve"> </w:t>
      </w:r>
      <w:r w:rsidR="007D1F16" w:rsidRPr="007D1F16">
        <w:rPr>
          <w:sz w:val="24"/>
          <w:lang w:val="da-DK"/>
        </w:rPr>
        <w:tab/>
      </w:r>
      <w:r w:rsidRPr="007D1F16">
        <w:rPr>
          <w:sz w:val="24"/>
          <w:lang w:val="da-DK"/>
        </w:rPr>
        <w:t xml:space="preserve">EUT L 149 af 30.4.2021, s. 10, ELI: </w:t>
      </w:r>
      <w:hyperlink r:id="rId1" w:history="1">
        <w:r w:rsidRPr="007D1F16">
          <w:rPr>
            <w:rStyle w:val="Hyperlink"/>
            <w:sz w:val="24"/>
            <w:lang w:val="da-DK"/>
          </w:rPr>
          <w:t>http://data.europa.eu/eli/agree_internation/2021/689(1)/oj</w:t>
        </w:r>
      </w:hyperlink>
      <w:r w:rsidRPr="007D1F16">
        <w:rPr>
          <w:sz w:val="24"/>
          <w:lang w:val="da-DK"/>
        </w:rPr>
        <w:t>.</w:t>
      </w:r>
    </w:p>
  </w:footnote>
  <w:footnote w:id="2">
    <w:p w14:paraId="0A3A90C8" w14:textId="7F2DF6E7" w:rsidR="00C16740" w:rsidRPr="007D1F16" w:rsidRDefault="00C16740" w:rsidP="007D1F16">
      <w:pPr>
        <w:pStyle w:val="FootnoteText"/>
        <w:ind w:left="567" w:hanging="567"/>
        <w:rPr>
          <w:sz w:val="24"/>
          <w:lang w:val="da-DK"/>
        </w:rPr>
      </w:pPr>
      <w:r w:rsidRPr="007D1F16">
        <w:rPr>
          <w:rStyle w:val="FootnoteReference"/>
          <w:sz w:val="24"/>
          <w:lang w:val="da-DK"/>
        </w:rPr>
        <w:footnoteRef/>
      </w:r>
      <w:r w:rsidR="007D1F16" w:rsidRPr="007D1F16">
        <w:rPr>
          <w:sz w:val="24"/>
          <w:lang w:val="da-DK"/>
        </w:rPr>
        <w:t xml:space="preserve"> </w:t>
      </w:r>
      <w:r w:rsidR="007D1F16" w:rsidRPr="007D1F16">
        <w:rPr>
          <w:sz w:val="24"/>
          <w:lang w:val="da-DK"/>
        </w:rPr>
        <w:tab/>
      </w:r>
      <w:r w:rsidRPr="007D1F16">
        <w:rPr>
          <w:sz w:val="24"/>
          <w:lang w:val="da-DK"/>
        </w:rPr>
        <w:t xml:space="preserve">EUT L 29 af 31.1.2020, s. 7, ELI: </w:t>
      </w:r>
      <w:hyperlink r:id="rId2" w:history="1">
        <w:r w:rsidRPr="007D1F16">
          <w:rPr>
            <w:rStyle w:val="Hyperlink"/>
            <w:sz w:val="24"/>
            <w:lang w:val="da-DK"/>
          </w:rPr>
          <w:t>http://data.europa.eu/eli/treaty/withd_2020/sign</w:t>
        </w:r>
      </w:hyperlink>
      <w:r w:rsidRPr="007D1F16">
        <w:rPr>
          <w:sz w:val="24"/>
          <w:lang w:val="da-DK"/>
        </w:rPr>
        <w:t xml:space="preserve">. </w:t>
      </w:r>
    </w:p>
  </w:footnote>
  <w:footnote w:id="3">
    <w:p w14:paraId="03D103EE" w14:textId="48C0952F" w:rsidR="00C16740" w:rsidRPr="007D1F16" w:rsidRDefault="00C16740" w:rsidP="007D1F16">
      <w:pPr>
        <w:pStyle w:val="FootnoteText"/>
        <w:ind w:left="567" w:hanging="567"/>
        <w:rPr>
          <w:sz w:val="24"/>
          <w:lang w:val="da-DK"/>
        </w:rPr>
      </w:pPr>
      <w:r w:rsidRPr="007D1F16">
        <w:rPr>
          <w:rStyle w:val="FootnoteReference"/>
          <w:sz w:val="24"/>
          <w:lang w:val="da-DK"/>
        </w:rPr>
        <w:footnoteRef/>
      </w:r>
      <w:r w:rsidR="007D1F16" w:rsidRPr="007D1F16">
        <w:rPr>
          <w:sz w:val="24"/>
          <w:lang w:val="da-DK"/>
        </w:rPr>
        <w:t xml:space="preserve"> </w:t>
      </w:r>
      <w:r w:rsidR="007D1F16" w:rsidRPr="007D1F16">
        <w:rPr>
          <w:sz w:val="24"/>
          <w:lang w:val="da-DK"/>
        </w:rPr>
        <w:tab/>
      </w:r>
      <w:r w:rsidRPr="007D1F16">
        <w:rPr>
          <w:sz w:val="24"/>
          <w:lang w:val="da-DK"/>
        </w:rPr>
        <w:t>Jf. Unionens og Det Forenede Kongeriges fælles erklæring nr. 1/2023 i Det Blandede Udvalg, der er nedsat ved aftalen om Det Forenede Kongerige Storbritannien og Nordirlands udtræden af Den Europæiske Union og Det Europæiske Atomenergifællesskab, af 24. marts 2023 (</w:t>
      </w:r>
      <w:hyperlink r:id="rId3" w:history="1">
        <w:r w:rsidRPr="007D1F16">
          <w:rPr>
            <w:rStyle w:val="Hyperlink"/>
            <w:sz w:val="24"/>
            <w:lang w:val="da-DK"/>
          </w:rPr>
          <w:t>EUT L 102 af 17.4.2023, s. 87</w:t>
        </w:r>
      </w:hyperlink>
      <w:r w:rsidRPr="007D1F16">
        <w:rPr>
          <w:sz w:val="24"/>
          <w:lang w:val="da-DK"/>
        </w:rPr>
        <w:t>).</w:t>
      </w:r>
    </w:p>
  </w:footnote>
  <w:footnote w:id="4">
    <w:p w14:paraId="04906894" w14:textId="5EBF64EF" w:rsidR="00C16740" w:rsidRPr="00116266" w:rsidRDefault="00C16740" w:rsidP="007D1F16">
      <w:pPr>
        <w:pStyle w:val="FootnoteText"/>
        <w:ind w:left="567" w:hanging="567"/>
        <w:rPr>
          <w:sz w:val="24"/>
          <w:lang w:val="fi-FI"/>
        </w:rPr>
      </w:pPr>
      <w:r w:rsidRPr="007D1F16">
        <w:rPr>
          <w:rStyle w:val="FootnoteReference"/>
          <w:sz w:val="24"/>
          <w:lang w:val="da-DK"/>
        </w:rPr>
        <w:footnoteRef/>
      </w:r>
      <w:r w:rsidR="007D1F16" w:rsidRPr="00116266">
        <w:rPr>
          <w:sz w:val="24"/>
          <w:lang w:val="fi-FI"/>
        </w:rPr>
        <w:t xml:space="preserve"> </w:t>
      </w:r>
      <w:r w:rsidR="007D1F16" w:rsidRPr="00116266">
        <w:rPr>
          <w:sz w:val="24"/>
          <w:lang w:val="fi-FI"/>
        </w:rPr>
        <w:tab/>
      </w:r>
      <w:r w:rsidRPr="00116266">
        <w:rPr>
          <w:sz w:val="24"/>
          <w:lang w:val="fi-FI"/>
        </w:rPr>
        <w:t xml:space="preserve">EUT C, C/2025/4388, 9.9.2025, ELI: </w:t>
      </w:r>
      <w:hyperlink r:id="rId4" w:history="1">
        <w:r w:rsidRPr="00116266">
          <w:rPr>
            <w:rStyle w:val="Hyperlink"/>
            <w:sz w:val="24"/>
            <w:lang w:val="fi-FI"/>
          </w:rPr>
          <w:t>http://data.europa.eu/eli/C/2025/4388/oj</w:t>
        </w:r>
      </w:hyperlink>
      <w:r w:rsidRPr="00116266">
        <w:rPr>
          <w:sz w:val="24"/>
          <w:lang w:val="fi-FI"/>
        </w:rPr>
        <w:t xml:space="preserve">. </w:t>
      </w:r>
    </w:p>
  </w:footnote>
  <w:footnote w:id="5">
    <w:p w14:paraId="3308A233" w14:textId="066DE04A" w:rsidR="00C16740" w:rsidRPr="00116266" w:rsidRDefault="00C16740" w:rsidP="007D1F16">
      <w:pPr>
        <w:pStyle w:val="FootnoteText"/>
        <w:ind w:left="567" w:hanging="567"/>
        <w:rPr>
          <w:sz w:val="24"/>
          <w:lang w:val="fi-FI"/>
        </w:rPr>
      </w:pPr>
      <w:r w:rsidRPr="007D1F16">
        <w:rPr>
          <w:rStyle w:val="FootnoteReference"/>
          <w:sz w:val="24"/>
          <w:lang w:val="da-DK"/>
        </w:rPr>
        <w:footnoteRef/>
      </w:r>
      <w:r w:rsidR="007D1F16" w:rsidRPr="00116266">
        <w:rPr>
          <w:sz w:val="24"/>
          <w:lang w:val="fi-FI"/>
        </w:rPr>
        <w:t xml:space="preserve"> </w:t>
      </w:r>
      <w:r w:rsidR="007D1F16" w:rsidRPr="00116266">
        <w:rPr>
          <w:sz w:val="24"/>
          <w:lang w:val="fi-FI"/>
        </w:rPr>
        <w:tab/>
      </w:r>
      <w:r w:rsidRPr="00116266">
        <w:rPr>
          <w:sz w:val="24"/>
          <w:lang w:val="fi-FI"/>
        </w:rPr>
        <w:t xml:space="preserve">EUT C, C/2025/4389, 9.9.2025, ELI: </w:t>
      </w:r>
      <w:hyperlink r:id="rId5" w:history="1">
        <w:r w:rsidRPr="00116266">
          <w:rPr>
            <w:rStyle w:val="Hyperlink"/>
            <w:sz w:val="24"/>
            <w:lang w:val="fi-FI"/>
          </w:rPr>
          <w:t>http://data.europa.eu/eli/C/2025/4389/oj</w:t>
        </w:r>
      </w:hyperlink>
      <w:r w:rsidRPr="00116266">
        <w:rPr>
          <w:sz w:val="24"/>
          <w:lang w:val="fi-FI"/>
        </w:rPr>
        <w:t xml:space="preserve">. </w:t>
      </w:r>
    </w:p>
  </w:footnote>
  <w:footnote w:id="6">
    <w:p w14:paraId="6D434D59" w14:textId="465CD1B7" w:rsidR="00C16740" w:rsidRPr="007D1F16" w:rsidRDefault="00C16740" w:rsidP="007D1F16">
      <w:pPr>
        <w:pStyle w:val="FootnoteText"/>
        <w:ind w:left="567" w:hanging="567"/>
        <w:rPr>
          <w:sz w:val="24"/>
          <w:lang w:val="da-DK"/>
        </w:rPr>
      </w:pPr>
      <w:r w:rsidRPr="007D1F16">
        <w:rPr>
          <w:rStyle w:val="FootnoteReference"/>
          <w:sz w:val="24"/>
          <w:lang w:val="da-DK"/>
        </w:rPr>
        <w:footnoteRef/>
      </w:r>
      <w:r w:rsidR="007D1F16" w:rsidRPr="007D1F16">
        <w:rPr>
          <w:sz w:val="24"/>
          <w:lang w:val="da-DK"/>
        </w:rPr>
        <w:t xml:space="preserve"> </w:t>
      </w:r>
      <w:r w:rsidR="007D1F16" w:rsidRPr="007D1F16">
        <w:rPr>
          <w:sz w:val="24"/>
          <w:lang w:val="da-DK"/>
        </w:rPr>
        <w:tab/>
      </w:r>
      <w:r w:rsidRPr="007D1F16">
        <w:rPr>
          <w:sz w:val="24"/>
          <w:lang w:val="da-DK"/>
        </w:rPr>
        <w:t xml:space="preserve">EUT L 357 af 8.10.2021, s. 1, ELI: </w:t>
      </w:r>
      <w:hyperlink r:id="rId6" w:history="1">
        <w:r w:rsidRPr="007D1F16">
          <w:rPr>
            <w:rStyle w:val="Hyperlink"/>
            <w:sz w:val="24"/>
            <w:lang w:val="da-DK"/>
          </w:rPr>
          <w:t>http://data.europa.eu/eli/reg/2021/1755/oj</w:t>
        </w:r>
      </w:hyperlink>
      <w:r w:rsidRPr="007D1F16">
        <w:rPr>
          <w:sz w:val="24"/>
          <w:lang w:val="da-DK"/>
        </w:rPr>
        <w:t xml:space="preserve">. </w:t>
      </w:r>
    </w:p>
  </w:footnote>
  <w:footnote w:id="7">
    <w:p w14:paraId="49FB52D5" w14:textId="4A813952" w:rsidR="00C16740" w:rsidRPr="007D1F16" w:rsidRDefault="00C16740" w:rsidP="007D1F16">
      <w:pPr>
        <w:pStyle w:val="FootnoteText"/>
        <w:ind w:left="567" w:hanging="567"/>
        <w:rPr>
          <w:bCs/>
          <w:iCs/>
          <w:sz w:val="24"/>
          <w:lang w:val="da-DK"/>
        </w:rPr>
      </w:pPr>
      <w:r w:rsidRPr="007D1F16">
        <w:rPr>
          <w:rStyle w:val="FootnoteReference"/>
          <w:sz w:val="24"/>
          <w:lang w:val="da-DK"/>
        </w:rPr>
        <w:footnoteRef/>
      </w:r>
      <w:r w:rsidR="007D1F16" w:rsidRPr="007D1F16">
        <w:rPr>
          <w:sz w:val="24"/>
          <w:lang w:val="da-DK"/>
        </w:rPr>
        <w:t xml:space="preserve"> </w:t>
      </w:r>
      <w:r w:rsidR="007D1F16" w:rsidRPr="007D1F16">
        <w:rPr>
          <w:sz w:val="24"/>
          <w:lang w:val="da-DK"/>
        </w:rPr>
        <w:tab/>
      </w:r>
      <w:r w:rsidRPr="007D1F16">
        <w:rPr>
          <w:sz w:val="24"/>
          <w:lang w:val="da-DK"/>
        </w:rPr>
        <w:t>EUT L, 2024/2509</w:t>
      </w:r>
      <w:r w:rsidR="00A72EA8">
        <w:rPr>
          <w:sz w:val="24"/>
          <w:lang w:val="da-DK"/>
        </w:rPr>
        <w:t xml:space="preserve">, </w:t>
      </w:r>
      <w:r w:rsidRPr="007D1F16">
        <w:rPr>
          <w:sz w:val="24"/>
          <w:lang w:val="da-DK"/>
        </w:rPr>
        <w:t xml:space="preserve">26.9.2024, ELI: </w:t>
      </w:r>
      <w:hyperlink r:id="rId7" w:history="1">
        <w:r w:rsidRPr="007D1F16">
          <w:rPr>
            <w:rStyle w:val="Hyperlink"/>
            <w:sz w:val="24"/>
            <w:lang w:val="da-DK"/>
          </w:rPr>
          <w:t>http://data.europa.eu/eli/reg/2024/2509/oj</w:t>
        </w:r>
      </w:hyperlink>
      <w:r w:rsidRPr="007D1F16">
        <w:rPr>
          <w:sz w:val="24"/>
          <w:lang w:val="da-DK"/>
        </w:rPr>
        <w:t>.</w:t>
      </w:r>
    </w:p>
  </w:footnote>
  <w:footnote w:id="8">
    <w:p w14:paraId="49A586D3" w14:textId="7B67BBF1" w:rsidR="00C16740" w:rsidRPr="007D1F16" w:rsidRDefault="00C16740" w:rsidP="007D1F16">
      <w:pPr>
        <w:pStyle w:val="FootnoteText"/>
        <w:ind w:left="567" w:hanging="567"/>
        <w:rPr>
          <w:sz w:val="24"/>
          <w:lang w:val="da-DK"/>
        </w:rPr>
      </w:pPr>
      <w:r w:rsidRPr="007D1F16">
        <w:rPr>
          <w:rStyle w:val="FootnoteReference"/>
          <w:sz w:val="24"/>
          <w:lang w:val="da-DK"/>
        </w:rPr>
        <w:footnoteRef/>
      </w:r>
      <w:r w:rsidR="007D1F16" w:rsidRPr="007D1F16">
        <w:rPr>
          <w:sz w:val="24"/>
          <w:lang w:val="da-DK"/>
        </w:rPr>
        <w:t xml:space="preserve"> </w:t>
      </w:r>
      <w:r w:rsidR="007D1F16" w:rsidRPr="007D1F16">
        <w:rPr>
          <w:sz w:val="24"/>
          <w:lang w:val="da-DK"/>
        </w:rPr>
        <w:tab/>
      </w:r>
      <w:r w:rsidRPr="007D1F16">
        <w:rPr>
          <w:sz w:val="24"/>
          <w:lang w:val="da-DK"/>
        </w:rPr>
        <w:t xml:space="preserve">EUT L 83 af 22.3.2023, s. 1, ELI: </w:t>
      </w:r>
      <w:hyperlink r:id="rId8" w:history="1">
        <w:r w:rsidRPr="007D1F16">
          <w:rPr>
            <w:rStyle w:val="Hyperlink"/>
            <w:sz w:val="24"/>
            <w:lang w:val="da-DK"/>
          </w:rPr>
          <w:t>http://data.europa.eu/eli/reg/2023/657/oj</w:t>
        </w:r>
      </w:hyperlink>
      <w:r w:rsidRPr="007D1F16">
        <w:rPr>
          <w:sz w:val="24"/>
          <w:lang w:val="da-DK"/>
        </w:rPr>
        <w:t>.</w:t>
      </w:r>
    </w:p>
  </w:footnote>
  <w:footnote w:id="9">
    <w:p w14:paraId="6E32377F" w14:textId="41D37C43" w:rsidR="00C16740" w:rsidRPr="00116266" w:rsidRDefault="00C16740" w:rsidP="007D1F16">
      <w:pPr>
        <w:pStyle w:val="FootnoteText"/>
        <w:ind w:left="567" w:hanging="567"/>
        <w:rPr>
          <w:sz w:val="24"/>
          <w:lang w:val="fi-FI"/>
        </w:rPr>
      </w:pPr>
      <w:r w:rsidRPr="007D1F16">
        <w:rPr>
          <w:rStyle w:val="FootnoteReference"/>
          <w:sz w:val="24"/>
          <w:lang w:val="da-DK"/>
        </w:rPr>
        <w:footnoteRef/>
      </w:r>
      <w:r w:rsidR="007D1F16" w:rsidRPr="00116266">
        <w:rPr>
          <w:sz w:val="24"/>
          <w:lang w:val="fi-FI"/>
        </w:rPr>
        <w:t xml:space="preserve"> </w:t>
      </w:r>
      <w:r w:rsidR="007D1F16" w:rsidRPr="00116266">
        <w:rPr>
          <w:sz w:val="24"/>
          <w:lang w:val="fi-FI"/>
        </w:rPr>
        <w:tab/>
      </w:r>
      <w:r w:rsidRPr="00116266">
        <w:rPr>
          <w:sz w:val="24"/>
          <w:lang w:val="fi-FI"/>
        </w:rPr>
        <w:t xml:space="preserve">EUT C, C/2024/4222, 24.7.2024, ELI: </w:t>
      </w:r>
      <w:hyperlink r:id="rId9" w:history="1">
        <w:r w:rsidRPr="00116266">
          <w:rPr>
            <w:rStyle w:val="Hyperlink"/>
            <w:sz w:val="24"/>
            <w:lang w:val="fi-FI"/>
          </w:rPr>
          <w:t>http://data.europa.eu/eli/C/2024/4222/oj</w:t>
        </w:r>
      </w:hyperlink>
      <w:r w:rsidRPr="00116266">
        <w:rPr>
          <w:sz w:val="24"/>
          <w:lang w:val="fi-FI"/>
        </w:rPr>
        <w:t xml:space="preserve">. </w:t>
      </w:r>
    </w:p>
  </w:footnote>
  <w:footnote w:id="10">
    <w:p w14:paraId="17880417" w14:textId="2C5C5753" w:rsidR="00C16740" w:rsidRPr="00116266" w:rsidRDefault="00C16740" w:rsidP="007D1F16">
      <w:pPr>
        <w:pStyle w:val="FootnoteText"/>
        <w:ind w:left="567" w:hanging="567"/>
        <w:rPr>
          <w:sz w:val="24"/>
          <w:lang w:val="fi-FI"/>
        </w:rPr>
      </w:pPr>
      <w:r w:rsidRPr="007D1F16">
        <w:rPr>
          <w:rStyle w:val="FootnoteReference"/>
          <w:sz w:val="24"/>
          <w:lang w:val="da-DK"/>
        </w:rPr>
        <w:footnoteRef/>
      </w:r>
      <w:r w:rsidR="007D1F16" w:rsidRPr="00116266">
        <w:rPr>
          <w:sz w:val="24"/>
          <w:lang w:val="fi-FI"/>
        </w:rPr>
        <w:t xml:space="preserve"> </w:t>
      </w:r>
      <w:r w:rsidR="007D1F16" w:rsidRPr="00116266">
        <w:rPr>
          <w:sz w:val="24"/>
          <w:lang w:val="fi-FI"/>
        </w:rPr>
        <w:tab/>
      </w:r>
      <w:r w:rsidRPr="00116266">
        <w:rPr>
          <w:sz w:val="24"/>
          <w:lang w:val="fi-FI"/>
        </w:rPr>
        <w:t xml:space="preserve">EUT C, C/2025/3151, 20.6.2025, ELI: </w:t>
      </w:r>
      <w:hyperlink r:id="rId10" w:history="1">
        <w:r w:rsidRPr="00116266">
          <w:rPr>
            <w:rStyle w:val="Hyperlink"/>
            <w:sz w:val="24"/>
            <w:lang w:val="fi-FI"/>
          </w:rPr>
          <w:t>http://data.europa.eu/eli/C/2025/3151/oj</w:t>
        </w:r>
      </w:hyperlink>
      <w:r w:rsidRPr="00116266">
        <w:rPr>
          <w:sz w:val="24"/>
          <w:lang w:val="fi-FI"/>
        </w:rPr>
        <w:t xml:space="preserve">. </w:t>
      </w:r>
    </w:p>
  </w:footnote>
  <w:footnote w:id="11">
    <w:p w14:paraId="5811B10F" w14:textId="1E4CD1F0" w:rsidR="00C16740" w:rsidRPr="007D1F16" w:rsidRDefault="00C16740" w:rsidP="007D1F16">
      <w:pPr>
        <w:pStyle w:val="FootnoteText"/>
        <w:ind w:left="567" w:hanging="567"/>
        <w:rPr>
          <w:b/>
          <w:bCs/>
          <w:i/>
          <w:iCs/>
          <w:sz w:val="24"/>
          <w:lang w:val="da-DK"/>
        </w:rPr>
      </w:pPr>
      <w:r w:rsidRPr="007D1F16">
        <w:rPr>
          <w:rStyle w:val="FootnoteReference"/>
          <w:sz w:val="24"/>
          <w:szCs w:val="22"/>
          <w:lang w:val="da-DK"/>
        </w:rPr>
        <w:footnoteRef/>
      </w:r>
      <w:r w:rsidR="007D1F16" w:rsidRPr="007D1F16">
        <w:rPr>
          <w:sz w:val="24"/>
          <w:lang w:val="da-DK"/>
        </w:rPr>
        <w:t xml:space="preserve"> </w:t>
      </w:r>
      <w:r w:rsidR="007D1F16" w:rsidRPr="007D1F16">
        <w:rPr>
          <w:sz w:val="24"/>
          <w:lang w:val="da-DK"/>
        </w:rPr>
        <w:tab/>
      </w:r>
      <w:r w:rsidRPr="007D1F16">
        <w:rPr>
          <w:sz w:val="24"/>
          <w:lang w:val="da-DK"/>
        </w:rPr>
        <w:t>Den Faste Voldgiftsret, sag 2024-45,</w:t>
      </w:r>
      <w:hyperlink r:id="rId11" w:history="1">
        <w:r w:rsidRPr="007D1F16">
          <w:rPr>
            <w:rStyle w:val="Hyperlink"/>
            <w:sz w:val="24"/>
            <w:lang w:val="da-DK"/>
          </w:rPr>
          <w:t>https://pca-cpa.org/en/cases/334/</w:t>
        </w:r>
      </w:hyperlink>
      <w:r w:rsidRPr="007D1F16">
        <w:rPr>
          <w:sz w:val="24"/>
          <w:lang w:val="da-DK"/>
        </w:rPr>
        <w:t>.</w:t>
      </w:r>
      <w:r w:rsidRPr="007D1F16">
        <w:rPr>
          <w:b/>
          <w:i/>
          <w:sz w:val="24"/>
          <w:lang w:val="da-DK"/>
        </w:rPr>
        <w:t xml:space="preserve"> </w:t>
      </w:r>
    </w:p>
  </w:footnote>
  <w:footnote w:id="12">
    <w:p w14:paraId="39C269F6" w14:textId="2878BAB8" w:rsidR="00C16740" w:rsidRPr="007D1F16" w:rsidRDefault="00C16740" w:rsidP="007D1F16">
      <w:pPr>
        <w:pStyle w:val="FootnoteText"/>
        <w:ind w:left="567" w:hanging="567"/>
        <w:rPr>
          <w:sz w:val="24"/>
          <w:lang w:val="da-DK"/>
        </w:rPr>
      </w:pPr>
      <w:r w:rsidRPr="007D1F16">
        <w:rPr>
          <w:rStyle w:val="FootnoteReference"/>
          <w:sz w:val="24"/>
          <w:lang w:val="da-DK"/>
        </w:rPr>
        <w:footnoteRef/>
      </w:r>
      <w:r w:rsidR="007D1F16" w:rsidRPr="007D1F16">
        <w:rPr>
          <w:sz w:val="24"/>
          <w:lang w:val="da-DK"/>
        </w:rPr>
        <w:t xml:space="preserve"> </w:t>
      </w:r>
      <w:r w:rsidR="007D1F16" w:rsidRPr="007D1F16">
        <w:rPr>
          <w:sz w:val="24"/>
          <w:lang w:val="da-DK"/>
        </w:rPr>
        <w:tab/>
      </w:r>
      <w:r w:rsidRPr="007D1F16">
        <w:rPr>
          <w:sz w:val="24"/>
          <w:lang w:val="da-DK"/>
        </w:rPr>
        <w:t xml:space="preserve">EUT L 91 af 29.3.2023, s. 89, ELI: </w:t>
      </w:r>
      <w:hyperlink r:id="rId12" w:history="1">
        <w:r w:rsidRPr="007D1F16">
          <w:rPr>
            <w:rStyle w:val="Hyperlink"/>
            <w:sz w:val="24"/>
            <w:lang w:val="da-DK"/>
          </w:rPr>
          <w:t>http://data.europa.eu/eli/dec/2023/698/oj</w:t>
        </w:r>
      </w:hyperlink>
      <w:r w:rsidRPr="007D1F16">
        <w:rPr>
          <w:sz w:val="24"/>
          <w:lang w:val="da-DK"/>
        </w:rPr>
        <w:t>.</w:t>
      </w:r>
    </w:p>
  </w:footnote>
  <w:footnote w:id="13">
    <w:p w14:paraId="7267D037" w14:textId="2522E675" w:rsidR="00C16740" w:rsidRPr="007D1F16" w:rsidRDefault="00C16740" w:rsidP="007D1F16">
      <w:pPr>
        <w:pStyle w:val="FootnoteText"/>
        <w:ind w:left="567" w:hanging="567"/>
        <w:rPr>
          <w:sz w:val="24"/>
          <w:lang w:val="da-DK"/>
        </w:rPr>
      </w:pPr>
      <w:r w:rsidRPr="007D1F16">
        <w:rPr>
          <w:rStyle w:val="FootnoteReference"/>
          <w:sz w:val="24"/>
          <w:lang w:val="da-DK"/>
        </w:rPr>
        <w:footnoteRef/>
      </w:r>
      <w:r w:rsidR="007D1F16" w:rsidRPr="007D1F16">
        <w:rPr>
          <w:sz w:val="24"/>
          <w:lang w:val="da-DK"/>
        </w:rPr>
        <w:t xml:space="preserve"> </w:t>
      </w:r>
      <w:r w:rsidR="007D1F16" w:rsidRPr="007D1F16">
        <w:rPr>
          <w:sz w:val="24"/>
          <w:lang w:val="da-DK"/>
        </w:rPr>
        <w:tab/>
      </w:r>
      <w:r w:rsidRPr="007D1F16">
        <w:rPr>
          <w:sz w:val="24"/>
          <w:lang w:val="da-DK"/>
        </w:rPr>
        <w:t xml:space="preserve">EUT L 179 af 14.7.2023, s. 147, ELI: </w:t>
      </w:r>
      <w:hyperlink r:id="rId13" w:history="1">
        <w:r w:rsidRPr="007D1F16">
          <w:rPr>
            <w:rStyle w:val="Hyperlink"/>
            <w:sz w:val="24"/>
            <w:lang w:val="da-DK"/>
          </w:rPr>
          <w:t>http://data.europa.eu/eli/dec/2023/1460/oj</w:t>
        </w:r>
      </w:hyperlink>
      <w:r w:rsidRPr="007D1F16">
        <w:rPr>
          <w:sz w:val="24"/>
          <w:lang w:val="da-DK"/>
        </w:rPr>
        <w:t>.</w:t>
      </w:r>
    </w:p>
  </w:footnote>
  <w:footnote w:id="14">
    <w:p w14:paraId="13ABC39F" w14:textId="7B9F8BC3" w:rsidR="00C16740" w:rsidRPr="00116266" w:rsidRDefault="00C16740" w:rsidP="007D1F16">
      <w:pPr>
        <w:pStyle w:val="FootnoteText"/>
        <w:ind w:left="567" w:hanging="567"/>
        <w:rPr>
          <w:bCs/>
          <w:iCs/>
          <w:sz w:val="24"/>
          <w:lang w:val="en-GB"/>
        </w:rPr>
      </w:pPr>
      <w:r w:rsidRPr="007D1F16">
        <w:rPr>
          <w:rStyle w:val="FootnoteReference"/>
          <w:sz w:val="24"/>
          <w:lang w:val="da-DK"/>
        </w:rPr>
        <w:footnoteRef/>
      </w:r>
      <w:r w:rsidR="007D1F16" w:rsidRPr="00116266">
        <w:rPr>
          <w:sz w:val="24"/>
          <w:lang w:val="en-GB"/>
        </w:rPr>
        <w:t xml:space="preserve"> </w:t>
      </w:r>
      <w:r w:rsidR="007D1F16" w:rsidRPr="00116266">
        <w:rPr>
          <w:sz w:val="24"/>
          <w:lang w:val="en-GB"/>
        </w:rPr>
        <w:tab/>
      </w:r>
      <w:r w:rsidRPr="00116266">
        <w:rPr>
          <w:sz w:val="24"/>
          <w:lang w:val="en-GB"/>
        </w:rPr>
        <w:t xml:space="preserve">IMA, </w:t>
      </w:r>
      <w:hyperlink r:id="rId14" w:history="1">
        <w:r w:rsidRPr="00116266">
          <w:rPr>
            <w:rStyle w:val="Hyperlink"/>
            <w:sz w:val="24"/>
            <w:lang w:val="en-GB"/>
          </w:rPr>
          <w:t>"Complaints to the IMA:</w:t>
        </w:r>
      </w:hyperlink>
      <w:hyperlink r:id="rId15" w:history="1">
        <w:r w:rsidRPr="00116266">
          <w:rPr>
            <w:rStyle w:val="Hyperlink"/>
            <w:sz w:val="24"/>
            <w:lang w:val="en-GB"/>
          </w:rPr>
          <w:t xml:space="preserve"> 1 January 2023 – 30 June 2023"</w:t>
        </w:r>
      </w:hyperlink>
      <w:r w:rsidRPr="00116266">
        <w:rPr>
          <w:sz w:val="24"/>
          <w:lang w:val="en-GB"/>
        </w:rPr>
        <w:t xml:space="preserve">. </w:t>
      </w:r>
    </w:p>
  </w:footnote>
  <w:footnote w:id="15">
    <w:p w14:paraId="3F7C6522" w14:textId="4AF2646F" w:rsidR="00C16740" w:rsidRPr="00116266" w:rsidRDefault="00C16740" w:rsidP="007D1F16">
      <w:pPr>
        <w:pStyle w:val="FootnoteText"/>
        <w:ind w:left="567" w:hanging="567"/>
        <w:rPr>
          <w:sz w:val="24"/>
          <w:lang w:val="en-GB"/>
        </w:rPr>
      </w:pPr>
      <w:r w:rsidRPr="007D1F16">
        <w:rPr>
          <w:rStyle w:val="FootnoteReference"/>
          <w:bCs/>
          <w:iCs/>
          <w:sz w:val="24"/>
          <w:lang w:val="da-DK"/>
        </w:rPr>
        <w:footnoteRef/>
      </w:r>
      <w:r w:rsidR="007D1F16" w:rsidRPr="00116266">
        <w:rPr>
          <w:sz w:val="24"/>
          <w:lang w:val="en-GB"/>
        </w:rPr>
        <w:t xml:space="preserve"> </w:t>
      </w:r>
      <w:r w:rsidR="007D1F16" w:rsidRPr="00116266">
        <w:rPr>
          <w:sz w:val="24"/>
          <w:lang w:val="en-GB"/>
        </w:rPr>
        <w:tab/>
      </w:r>
      <w:r w:rsidRPr="00116266">
        <w:rPr>
          <w:sz w:val="24"/>
          <w:lang w:val="en-GB"/>
        </w:rPr>
        <w:t>IMA, "</w:t>
      </w:r>
      <w:hyperlink r:id="rId16" w:history="1">
        <w:r w:rsidRPr="00116266">
          <w:rPr>
            <w:rStyle w:val="Hyperlink"/>
            <w:sz w:val="24"/>
            <w:lang w:val="en-GB"/>
          </w:rPr>
          <w:t>IMA focus on citizens’ rights in Northern Ireland</w:t>
        </w:r>
      </w:hyperlink>
      <w:r w:rsidRPr="00116266">
        <w:rPr>
          <w:sz w:val="24"/>
          <w:lang w:val="en-GB"/>
        </w:rPr>
        <w:t xml:space="preserve">". </w:t>
      </w:r>
    </w:p>
  </w:footnote>
  <w:footnote w:id="16">
    <w:p w14:paraId="22408FF0" w14:textId="3F63B543" w:rsidR="00C16740" w:rsidRPr="007D1F16" w:rsidRDefault="00C16740" w:rsidP="007D1F16">
      <w:pPr>
        <w:pStyle w:val="FootnoteText"/>
        <w:ind w:left="567" w:hanging="567"/>
        <w:rPr>
          <w:sz w:val="24"/>
          <w:lang w:val="da-DK"/>
        </w:rPr>
      </w:pPr>
      <w:r w:rsidRPr="007D1F16">
        <w:rPr>
          <w:rStyle w:val="FootnoteReference"/>
          <w:sz w:val="24"/>
          <w:lang w:val="da-DK"/>
        </w:rPr>
        <w:footnoteRef/>
      </w:r>
      <w:r w:rsidR="007D1F16" w:rsidRPr="007D1F16">
        <w:rPr>
          <w:sz w:val="24"/>
          <w:lang w:val="da-DK"/>
        </w:rPr>
        <w:t xml:space="preserve"> </w:t>
      </w:r>
      <w:r w:rsidR="007D1F16" w:rsidRPr="007D1F16">
        <w:rPr>
          <w:sz w:val="24"/>
          <w:lang w:val="da-DK"/>
        </w:rPr>
        <w:tab/>
      </w:r>
      <w:r w:rsidRPr="007D1F16">
        <w:rPr>
          <w:sz w:val="24"/>
          <w:lang w:val="da-DK"/>
        </w:rPr>
        <w:t xml:space="preserve">Erklæring fra Kommissionen, "En ny dagsorden for samarbejdet mellem Den Europæiske Union og Det Forenede Kongerige – fælles forståelse", 19. maj 2025, </w:t>
      </w:r>
      <w:hyperlink r:id="rId17" w:history="1">
        <w:r w:rsidRPr="007D1F16">
          <w:rPr>
            <w:rStyle w:val="Hyperlink"/>
            <w:sz w:val="24"/>
            <w:lang w:val="da-DK"/>
          </w:rPr>
          <w:t>https://ec.europa.eu/commission/presscorner/detail/da/statement_25_1267</w:t>
        </w:r>
      </w:hyperlink>
      <w:r w:rsidRPr="007D1F16">
        <w:rPr>
          <w:sz w:val="24"/>
          <w:lang w:val="da-DK"/>
        </w:rPr>
        <w:t>.</w:t>
      </w:r>
    </w:p>
  </w:footnote>
  <w:footnote w:id="17">
    <w:p w14:paraId="21DEA1B6" w14:textId="470C7187" w:rsidR="00C16740" w:rsidRPr="007D1F16" w:rsidRDefault="00C16740" w:rsidP="007D1F16">
      <w:pPr>
        <w:pStyle w:val="FootnoteText"/>
        <w:ind w:left="567" w:hanging="567"/>
        <w:rPr>
          <w:sz w:val="24"/>
          <w:lang w:val="da-DK"/>
        </w:rPr>
      </w:pPr>
      <w:r w:rsidRPr="007D1F16">
        <w:rPr>
          <w:rStyle w:val="FootnoteReference"/>
          <w:sz w:val="24"/>
          <w:lang w:val="da-DK"/>
        </w:rPr>
        <w:footnoteRef/>
      </w:r>
      <w:r w:rsidR="007D1F16" w:rsidRPr="007D1F16">
        <w:rPr>
          <w:sz w:val="24"/>
          <w:lang w:val="da-DK"/>
        </w:rPr>
        <w:t xml:space="preserve"> </w:t>
      </w:r>
      <w:r w:rsidR="007D1F16" w:rsidRPr="007D1F16">
        <w:rPr>
          <w:sz w:val="24"/>
          <w:lang w:val="da-DK"/>
        </w:rPr>
        <w:tab/>
      </w:r>
      <w:r w:rsidRPr="007D1F16">
        <w:rPr>
          <w:sz w:val="24"/>
          <w:lang w:val="da-DK"/>
        </w:rPr>
        <w:t>Med undtagelse af irske statsborgere.</w:t>
      </w:r>
    </w:p>
  </w:footnote>
  <w:footnote w:id="18">
    <w:p w14:paraId="74EE8D71" w14:textId="1DF1D3EB" w:rsidR="00C16740" w:rsidRPr="00116266" w:rsidRDefault="00C16740" w:rsidP="007D1F16">
      <w:pPr>
        <w:pStyle w:val="FootnoteText"/>
        <w:ind w:left="567" w:hanging="567"/>
        <w:rPr>
          <w:sz w:val="24"/>
          <w:lang w:val="en-GB"/>
        </w:rPr>
      </w:pPr>
      <w:r w:rsidRPr="007D1F16">
        <w:rPr>
          <w:rStyle w:val="FootnoteReference"/>
          <w:sz w:val="24"/>
          <w:lang w:val="da-DK"/>
        </w:rPr>
        <w:footnoteRef/>
      </w:r>
      <w:r w:rsidR="007D1F16" w:rsidRPr="00116266">
        <w:rPr>
          <w:sz w:val="24"/>
          <w:lang w:val="en-GB"/>
        </w:rPr>
        <w:t xml:space="preserve"> </w:t>
      </w:r>
      <w:r w:rsidR="007D1F16" w:rsidRPr="00116266">
        <w:rPr>
          <w:sz w:val="24"/>
          <w:lang w:val="en-GB"/>
        </w:rPr>
        <w:tab/>
      </w:r>
      <w:r w:rsidRPr="00116266">
        <w:rPr>
          <w:sz w:val="24"/>
          <w:lang w:val="en-GB"/>
        </w:rPr>
        <w:t>UK Government, "</w:t>
      </w:r>
      <w:hyperlink r:id="rId18" w:history="1">
        <w:r w:rsidRPr="00116266">
          <w:rPr>
            <w:rStyle w:val="Hyperlink"/>
            <w:sz w:val="24"/>
            <w:lang w:val="en-GB"/>
          </w:rPr>
          <w:t>Turing Scheme funding outcomes for the 2022 to 2023 academic year</w:t>
        </w:r>
      </w:hyperlink>
      <w:r w:rsidRPr="00116266">
        <w:rPr>
          <w:sz w:val="24"/>
          <w:lang w:val="en-GB"/>
        </w:rPr>
        <w:t xml:space="preserve">". </w:t>
      </w:r>
    </w:p>
  </w:footnote>
  <w:footnote w:id="19">
    <w:p w14:paraId="7EB52F71" w14:textId="11FE23FC" w:rsidR="00C16740" w:rsidRPr="00116266" w:rsidRDefault="00C16740" w:rsidP="007D1F16">
      <w:pPr>
        <w:pStyle w:val="FootnoteText"/>
        <w:ind w:left="567" w:hanging="567"/>
        <w:rPr>
          <w:sz w:val="24"/>
          <w:lang w:val="en-GB"/>
        </w:rPr>
      </w:pPr>
      <w:r w:rsidRPr="007D1F16">
        <w:rPr>
          <w:rStyle w:val="FootnoteReference"/>
          <w:sz w:val="24"/>
          <w:lang w:val="da-DK"/>
        </w:rPr>
        <w:footnoteRef/>
      </w:r>
      <w:r w:rsidR="007D1F16" w:rsidRPr="00116266">
        <w:rPr>
          <w:sz w:val="24"/>
          <w:lang w:val="en-GB"/>
        </w:rPr>
        <w:t xml:space="preserve"> </w:t>
      </w:r>
      <w:r w:rsidR="007D1F16" w:rsidRPr="00116266">
        <w:rPr>
          <w:sz w:val="24"/>
          <w:lang w:val="en-GB"/>
        </w:rPr>
        <w:tab/>
      </w:r>
      <w:r w:rsidRPr="00116266">
        <w:rPr>
          <w:sz w:val="24"/>
          <w:lang w:val="en-GB"/>
        </w:rPr>
        <w:t xml:space="preserve">Universities UK International, "Gone International: Expanding Opportunities" </w:t>
      </w:r>
      <w:hyperlink r:id="rId19" w:history="1">
        <w:r w:rsidRPr="00116266">
          <w:rPr>
            <w:rStyle w:val="Hyperlink"/>
            <w:sz w:val="24"/>
            <w:lang w:val="en-GB"/>
          </w:rPr>
          <w:t>https://dera.ioe.ac.uk/id/eprint/31640/1/Gone%20International_expanding%20opportunities_digital.pdf</w:t>
        </w:r>
      </w:hyperlink>
      <w:r w:rsidRPr="00116266">
        <w:rPr>
          <w:rStyle w:val="Hyperlink"/>
          <w:sz w:val="24"/>
          <w:lang w:val="en-GB"/>
        </w:rPr>
        <w:t>.</w:t>
      </w:r>
    </w:p>
  </w:footnote>
  <w:footnote w:id="20">
    <w:p w14:paraId="07EA0AF3" w14:textId="59675717" w:rsidR="00C16740" w:rsidRPr="007D1F16" w:rsidRDefault="00C16740" w:rsidP="007D1F16">
      <w:pPr>
        <w:pStyle w:val="FootnoteText"/>
        <w:ind w:left="567" w:hanging="567"/>
        <w:rPr>
          <w:sz w:val="24"/>
          <w:lang w:val="da-DK"/>
        </w:rPr>
      </w:pPr>
      <w:r w:rsidRPr="007D1F16">
        <w:rPr>
          <w:rStyle w:val="FootnoteReference"/>
          <w:sz w:val="24"/>
          <w:lang w:val="da-DK"/>
        </w:rPr>
        <w:footnoteRef/>
      </w:r>
      <w:r w:rsidR="007D1F16" w:rsidRPr="007D1F16">
        <w:rPr>
          <w:sz w:val="24"/>
          <w:lang w:val="da-DK"/>
        </w:rPr>
        <w:t xml:space="preserve"> </w:t>
      </w:r>
      <w:r w:rsidR="007D1F16" w:rsidRPr="007D1F16">
        <w:rPr>
          <w:sz w:val="24"/>
          <w:lang w:val="da-DK"/>
        </w:rPr>
        <w:tab/>
      </w:r>
      <w:r w:rsidRPr="007D1F16">
        <w:rPr>
          <w:sz w:val="24"/>
          <w:lang w:val="da-DK"/>
        </w:rPr>
        <w:t xml:space="preserve">De tre mest populære destinationer for Erasmus+-ophold blandt britiske studerende, Spanien, Frankrig og Tyskland, har oplevet et dramatisk fald på 43 % i deres gennemsnitlige antal britiske deltagere på videregående uddannelser under Turing-ordningen (The British Academy, "The Turing Scheme – Understanding impacts and implications", november 2023, </w:t>
      </w:r>
      <w:hyperlink r:id="rId20" w:history="1">
        <w:r w:rsidRPr="007D1F16">
          <w:rPr>
            <w:rStyle w:val="Hyperlink"/>
            <w:sz w:val="24"/>
            <w:lang w:val="da-DK"/>
          </w:rPr>
          <w:t>https://www.thebritishacademy.ac.uk/documents/5022/The_Turing_Scheme_-_Understanding_Impacts_and_Implications.pdf</w:t>
        </w:r>
      </w:hyperlink>
      <w:r w:rsidRPr="007D1F16">
        <w:rPr>
          <w:sz w:val="24"/>
          <w:lang w:val="da-DK"/>
        </w:rPr>
        <w:t>).</w:t>
      </w:r>
    </w:p>
  </w:footnote>
  <w:footnote w:id="21">
    <w:p w14:paraId="38B2BA5C" w14:textId="421EF568" w:rsidR="00C16740" w:rsidRPr="00116266" w:rsidRDefault="00C16740" w:rsidP="007D1F16">
      <w:pPr>
        <w:pStyle w:val="FootnoteText"/>
        <w:ind w:left="567" w:hanging="567"/>
        <w:rPr>
          <w:sz w:val="24"/>
          <w:lang w:val="en-GB"/>
        </w:rPr>
      </w:pPr>
      <w:r w:rsidRPr="007D1F16">
        <w:rPr>
          <w:rStyle w:val="FootnoteReference"/>
          <w:sz w:val="24"/>
          <w:lang w:val="da-DK"/>
        </w:rPr>
        <w:footnoteRef/>
      </w:r>
      <w:r w:rsidR="007D1F16" w:rsidRPr="00116266">
        <w:rPr>
          <w:sz w:val="24"/>
          <w:lang w:val="en-GB"/>
        </w:rPr>
        <w:t xml:space="preserve"> </w:t>
      </w:r>
      <w:r w:rsidR="007D1F16" w:rsidRPr="00116266">
        <w:rPr>
          <w:sz w:val="24"/>
          <w:lang w:val="en-GB"/>
        </w:rPr>
        <w:tab/>
      </w:r>
      <w:r w:rsidRPr="00116266">
        <w:rPr>
          <w:sz w:val="24"/>
          <w:lang w:val="en-GB"/>
        </w:rPr>
        <w:t xml:space="preserve">Higher Education Statistics Agency, "UK, 2022/23 - Where students come from and go to study", 8. august 2024, </w:t>
      </w:r>
      <w:hyperlink r:id="rId21" w:history="1">
        <w:r w:rsidRPr="00116266">
          <w:rPr>
            <w:rStyle w:val="Hyperlink"/>
            <w:sz w:val="24"/>
            <w:lang w:val="en-GB"/>
          </w:rPr>
          <w:t>https://www.hesa.ac.uk/news/08-08-2024/sb269-higher-education-student-statistics/location</w:t>
        </w:r>
      </w:hyperlink>
      <w:r w:rsidRPr="00116266">
        <w:rPr>
          <w:sz w:val="24"/>
          <w:lang w:val="en-GB"/>
        </w:rPr>
        <w:t xml:space="preserve">. </w:t>
      </w:r>
    </w:p>
  </w:footnote>
  <w:footnote w:id="22">
    <w:p w14:paraId="3BA42A19" w14:textId="3A1FF818" w:rsidR="00C16740" w:rsidRPr="00116266" w:rsidRDefault="00C16740" w:rsidP="007D1F16">
      <w:pPr>
        <w:pStyle w:val="FootnoteText"/>
        <w:ind w:left="567" w:hanging="567"/>
        <w:rPr>
          <w:sz w:val="24"/>
          <w:lang w:val="en-GB"/>
        </w:rPr>
      </w:pPr>
      <w:r w:rsidRPr="007D1F16">
        <w:rPr>
          <w:rStyle w:val="FootnoteReference"/>
          <w:sz w:val="24"/>
          <w:lang w:val="da-DK"/>
        </w:rPr>
        <w:footnoteRef/>
      </w:r>
      <w:r w:rsidR="007D1F16" w:rsidRPr="00116266">
        <w:rPr>
          <w:sz w:val="24"/>
          <w:lang w:val="en-GB"/>
        </w:rPr>
        <w:t xml:space="preserve"> </w:t>
      </w:r>
      <w:r w:rsidR="007D1F16" w:rsidRPr="00116266">
        <w:rPr>
          <w:sz w:val="24"/>
          <w:lang w:val="en-GB"/>
        </w:rPr>
        <w:tab/>
      </w:r>
      <w:r w:rsidRPr="00116266">
        <w:rPr>
          <w:sz w:val="24"/>
          <w:lang w:val="en-GB"/>
        </w:rPr>
        <w:t xml:space="preserve">Universities Wales, "Wales beyond borders".  </w:t>
      </w:r>
    </w:p>
  </w:footnote>
  <w:footnote w:id="23">
    <w:p w14:paraId="23EFD049" w14:textId="24F1B05E" w:rsidR="00C16740" w:rsidRPr="00116266" w:rsidRDefault="00C16740" w:rsidP="007D1F16">
      <w:pPr>
        <w:pStyle w:val="FootnoteText"/>
        <w:ind w:left="567" w:hanging="567"/>
        <w:rPr>
          <w:sz w:val="24"/>
          <w:lang w:val="en-GB"/>
        </w:rPr>
      </w:pPr>
      <w:r w:rsidRPr="007D1F16">
        <w:rPr>
          <w:rStyle w:val="FootnoteReference"/>
          <w:sz w:val="24"/>
          <w:lang w:val="da-DK"/>
        </w:rPr>
        <w:footnoteRef/>
      </w:r>
      <w:r w:rsidR="007D1F16" w:rsidRPr="00116266">
        <w:rPr>
          <w:sz w:val="24"/>
          <w:lang w:val="en-GB"/>
        </w:rPr>
        <w:t xml:space="preserve"> </w:t>
      </w:r>
      <w:r w:rsidR="007D1F16" w:rsidRPr="00116266">
        <w:rPr>
          <w:sz w:val="24"/>
          <w:lang w:val="en-GB"/>
        </w:rPr>
        <w:tab/>
      </w:r>
      <w:r w:rsidRPr="00116266">
        <w:rPr>
          <w:sz w:val="24"/>
          <w:lang w:val="en-GB"/>
        </w:rPr>
        <w:t xml:space="preserve">Scottish Government, "Scottish Education Exchange Programme – Test and Learn: funded projects", 15. januar 2025.  </w:t>
      </w:r>
    </w:p>
  </w:footnote>
  <w:footnote w:id="24">
    <w:p w14:paraId="421633C5" w14:textId="2FC1F147" w:rsidR="00C16740" w:rsidRPr="00116266" w:rsidRDefault="00C16740" w:rsidP="007D1F16">
      <w:pPr>
        <w:pStyle w:val="FootnoteText"/>
        <w:ind w:left="567" w:hanging="567"/>
        <w:rPr>
          <w:sz w:val="24"/>
          <w:lang w:val="en-GB"/>
        </w:rPr>
      </w:pPr>
      <w:r w:rsidRPr="007D1F16">
        <w:rPr>
          <w:rStyle w:val="FootnoteReference"/>
          <w:sz w:val="24"/>
          <w:lang w:val="da-DK"/>
        </w:rPr>
        <w:footnoteRef/>
      </w:r>
      <w:r w:rsidR="007D1F16" w:rsidRPr="00116266">
        <w:rPr>
          <w:sz w:val="24"/>
          <w:lang w:val="en-GB"/>
        </w:rPr>
        <w:t xml:space="preserve"> </w:t>
      </w:r>
      <w:r w:rsidR="007D1F16" w:rsidRPr="00116266">
        <w:rPr>
          <w:sz w:val="24"/>
          <w:lang w:val="en-GB"/>
        </w:rPr>
        <w:tab/>
      </w:r>
      <w:r w:rsidRPr="00116266">
        <w:rPr>
          <w:sz w:val="24"/>
          <w:lang w:val="en-GB"/>
        </w:rPr>
        <w:t xml:space="preserve">Government of Ireland, "Minister Harris announces mobility funding for Northern Ireland higher education students", 27. juli 2023. </w:t>
      </w:r>
    </w:p>
  </w:footnote>
  <w:footnote w:id="25">
    <w:p w14:paraId="68CCEFB2" w14:textId="6CFE740E" w:rsidR="00C16740" w:rsidRPr="00116266" w:rsidRDefault="00C16740" w:rsidP="007D1F16">
      <w:pPr>
        <w:pStyle w:val="FootnoteText"/>
        <w:ind w:left="567" w:hanging="567"/>
        <w:rPr>
          <w:sz w:val="24"/>
          <w:lang w:val="en-GB"/>
        </w:rPr>
      </w:pPr>
      <w:r w:rsidRPr="007D1F16">
        <w:rPr>
          <w:rStyle w:val="FootnoteReference"/>
          <w:sz w:val="24"/>
          <w:lang w:val="da-DK"/>
        </w:rPr>
        <w:footnoteRef/>
      </w:r>
      <w:r w:rsidR="007D1F16" w:rsidRPr="00116266">
        <w:rPr>
          <w:sz w:val="24"/>
          <w:lang w:val="en-GB"/>
        </w:rPr>
        <w:t xml:space="preserve"> </w:t>
      </w:r>
      <w:r w:rsidR="007D1F16" w:rsidRPr="00116266">
        <w:rPr>
          <w:sz w:val="24"/>
          <w:lang w:val="en-GB"/>
        </w:rPr>
        <w:tab/>
      </w:r>
      <w:r w:rsidRPr="00116266">
        <w:rPr>
          <w:sz w:val="24"/>
          <w:lang w:val="en-GB"/>
        </w:rPr>
        <w:t xml:space="preserve">UK Government, "International Education Strategy: 2021 update", 6. februar 2021, </w:t>
      </w:r>
      <w:hyperlink r:id="rId22" w:history="1">
        <w:r w:rsidRPr="00116266">
          <w:rPr>
            <w:rStyle w:val="Hyperlink"/>
            <w:sz w:val="24"/>
            <w:lang w:val="en-GB"/>
          </w:rPr>
          <w:t>https://www.gov.uk/government/publications/international-education-strategy-2021-update</w:t>
        </w:r>
      </w:hyperlink>
      <w:r w:rsidRPr="00116266">
        <w:rPr>
          <w:sz w:val="24"/>
          <w:lang w:val="en-GB"/>
        </w:rPr>
        <w:t xml:space="preserve">. </w:t>
      </w:r>
    </w:p>
  </w:footnote>
  <w:footnote w:id="26">
    <w:p w14:paraId="1914656B" w14:textId="2683AAFB" w:rsidR="00C16740" w:rsidRPr="007D1F16" w:rsidRDefault="00C16740" w:rsidP="007D1F16">
      <w:pPr>
        <w:pStyle w:val="FootnoteText"/>
        <w:ind w:left="567" w:hanging="567"/>
        <w:rPr>
          <w:sz w:val="24"/>
          <w:lang w:val="da-DK"/>
        </w:rPr>
      </w:pPr>
      <w:r w:rsidRPr="007D1F16">
        <w:rPr>
          <w:rStyle w:val="FootnoteReference"/>
          <w:sz w:val="24"/>
          <w:lang w:val="da-DK"/>
        </w:rPr>
        <w:footnoteRef/>
      </w:r>
      <w:r w:rsidR="007D1F16" w:rsidRPr="007D1F16">
        <w:rPr>
          <w:sz w:val="24"/>
          <w:lang w:val="da-DK"/>
        </w:rPr>
        <w:t xml:space="preserve"> </w:t>
      </w:r>
      <w:r w:rsidR="007D1F16" w:rsidRPr="007D1F16">
        <w:rPr>
          <w:sz w:val="24"/>
          <w:lang w:val="da-DK"/>
        </w:rPr>
        <w:tab/>
      </w:r>
      <w:r w:rsidRPr="007D1F16">
        <w:rPr>
          <w:sz w:val="24"/>
          <w:lang w:val="da-DK"/>
        </w:rPr>
        <w:t xml:space="preserve">EUT C 34 af 31.1.2020, s. 1, ELI: </w:t>
      </w:r>
      <w:hyperlink r:id="rId23" w:history="1">
        <w:r w:rsidRPr="007D1F16">
          <w:rPr>
            <w:rStyle w:val="Hyperlink"/>
            <w:sz w:val="24"/>
            <w:lang w:val="da-DK"/>
          </w:rPr>
          <w:t>http://data.europa.eu/eli/treaty/withd_2020/dcl_1/sign</w:t>
        </w:r>
      </w:hyperlink>
      <w:r w:rsidRPr="007D1F16">
        <w:rPr>
          <w:sz w:val="24"/>
          <w:lang w:val="da-DK"/>
        </w:rPr>
        <w:t xml:space="preserve">.    </w:t>
      </w:r>
    </w:p>
  </w:footnote>
  <w:footnote w:id="27">
    <w:p w14:paraId="3E8386F9" w14:textId="3D7D2011" w:rsidR="00C16740" w:rsidRPr="007D1F16" w:rsidRDefault="00C16740" w:rsidP="007D1F16">
      <w:pPr>
        <w:pStyle w:val="FootnoteText"/>
        <w:ind w:left="567" w:hanging="567"/>
        <w:rPr>
          <w:sz w:val="24"/>
          <w:lang w:val="da-DK"/>
        </w:rPr>
      </w:pPr>
      <w:r w:rsidRPr="007D1F16">
        <w:rPr>
          <w:rStyle w:val="FootnoteReference"/>
          <w:sz w:val="24"/>
          <w:lang w:val="da-DK"/>
        </w:rPr>
        <w:footnoteRef/>
      </w:r>
      <w:r w:rsidR="007D1F16" w:rsidRPr="007D1F16">
        <w:rPr>
          <w:sz w:val="24"/>
          <w:lang w:val="da-DK"/>
        </w:rPr>
        <w:t xml:space="preserve"> </w:t>
      </w:r>
      <w:r w:rsidR="007D1F16" w:rsidRPr="007D1F16">
        <w:rPr>
          <w:sz w:val="24"/>
          <w:lang w:val="da-DK"/>
        </w:rPr>
        <w:tab/>
      </w:r>
      <w:r w:rsidRPr="007D1F16">
        <w:rPr>
          <w:sz w:val="24"/>
          <w:lang w:val="da-DK"/>
        </w:rPr>
        <w:t xml:space="preserve">Europa-Parlamentets og Rådets direktiv 2010/13/EU af 10. marts 2010 om samordning af visse love og administrative bestemmelser i medlemsstaterne om udbud af audiovisuelle medietjenester (direktiv om audiovisuelle medietjenester) (EUT L 95 af 15.4.2010, s. 1, ELI: </w:t>
      </w:r>
      <w:hyperlink r:id="rId24" w:history="1">
        <w:r w:rsidRPr="007D1F16">
          <w:rPr>
            <w:rStyle w:val="Hyperlink"/>
            <w:sz w:val="24"/>
            <w:lang w:val="da-DK"/>
          </w:rPr>
          <w:t>http://data.europa.eu/eli/dir/2010/13/oj</w:t>
        </w:r>
      </w:hyperlink>
      <w:r w:rsidRPr="007D1F16">
        <w:rPr>
          <w:sz w:val="24"/>
          <w:lang w:val="da-DK"/>
        </w:rPr>
        <w:t>).</w:t>
      </w:r>
    </w:p>
  </w:footnote>
  <w:footnote w:id="28">
    <w:p w14:paraId="56DDD4C6" w14:textId="3DEFF86C" w:rsidR="00C16740" w:rsidRPr="007D1F16" w:rsidRDefault="00C16740" w:rsidP="007D1F16">
      <w:pPr>
        <w:pStyle w:val="FootnoteText"/>
        <w:ind w:left="567" w:hanging="567"/>
        <w:rPr>
          <w:sz w:val="24"/>
          <w:lang w:val="da-DK"/>
        </w:rPr>
      </w:pPr>
      <w:r w:rsidRPr="007D1F16">
        <w:rPr>
          <w:rStyle w:val="FootnoteReference"/>
          <w:sz w:val="24"/>
          <w:lang w:val="da-DK"/>
        </w:rPr>
        <w:footnoteRef/>
      </w:r>
      <w:r w:rsidR="007D1F16" w:rsidRPr="007D1F16">
        <w:rPr>
          <w:sz w:val="24"/>
          <w:lang w:val="da-DK"/>
        </w:rPr>
        <w:t xml:space="preserve"> </w:t>
      </w:r>
      <w:r w:rsidR="007D1F16" w:rsidRPr="007D1F16">
        <w:rPr>
          <w:sz w:val="24"/>
          <w:lang w:val="da-DK"/>
        </w:rPr>
        <w:tab/>
      </w:r>
      <w:r w:rsidRPr="007D1F16">
        <w:rPr>
          <w:sz w:val="24"/>
          <w:lang w:val="da-DK"/>
        </w:rPr>
        <w:t xml:space="preserve">EUT C 384 I af 12.11.2019, s. 178, ELI: </w:t>
      </w:r>
      <w:hyperlink r:id="rId25" w:history="1">
        <w:r w:rsidRPr="007D1F16">
          <w:rPr>
            <w:rStyle w:val="Hyperlink"/>
            <w:sz w:val="24"/>
            <w:lang w:val="da-DK"/>
          </w:rPr>
          <w:t>https://eur-lex.europa.eu/legal-content/DA/TXT/?uri=CELEX:12019W/DCL(01)</w:t>
        </w:r>
      </w:hyperlink>
      <w:r w:rsidRPr="007D1F16">
        <w:rPr>
          <w:sz w:val="24"/>
          <w:lang w:val="da-DK"/>
        </w:rPr>
        <w:t>.</w:t>
      </w:r>
    </w:p>
  </w:footnote>
  <w:footnote w:id="29">
    <w:p w14:paraId="1738935D" w14:textId="175CA89D" w:rsidR="00C16740" w:rsidRPr="007D1F16" w:rsidRDefault="00C16740" w:rsidP="007D1F16">
      <w:pPr>
        <w:pStyle w:val="FootnoteText"/>
        <w:ind w:left="567" w:hanging="567"/>
        <w:rPr>
          <w:sz w:val="24"/>
          <w:lang w:val="da-DK"/>
        </w:rPr>
      </w:pPr>
      <w:r w:rsidRPr="007D1F16">
        <w:rPr>
          <w:rStyle w:val="FootnoteReference"/>
          <w:sz w:val="24"/>
          <w:lang w:val="da-DK"/>
        </w:rPr>
        <w:footnoteRef/>
      </w:r>
      <w:r w:rsidR="007D1F16" w:rsidRPr="007D1F16">
        <w:rPr>
          <w:sz w:val="24"/>
          <w:lang w:val="da-DK"/>
        </w:rPr>
        <w:t xml:space="preserve"> </w:t>
      </w:r>
      <w:r w:rsidR="007D1F16" w:rsidRPr="007D1F16">
        <w:rPr>
          <w:sz w:val="24"/>
          <w:lang w:val="da-DK"/>
        </w:rPr>
        <w:tab/>
      </w:r>
      <w:r w:rsidRPr="007D1F16">
        <w:rPr>
          <w:sz w:val="24"/>
          <w:lang w:val="da-DK"/>
        </w:rPr>
        <w:t>Europa-Parlamentets og Rådets forordning (EU) 2024/1689 af 13. juni 2024 om harmoniserede regler for kunstig intelligens og om ændring af forordning (EF) nr. 300/2008, (EU) nr. 167/2013, (EU) nr. 168/2013, (EU) 2018/858, (EU) 2018/1139 og (EU) 2019/2144 samt direktiv 2014/90/EU, (EU) 2016/797 og (EU) 2020/1828 (forordningen om kunstig intelligens) (EUT L, 2024/1689, 12.7.2024, ELI:</w:t>
      </w:r>
      <w:r w:rsidRPr="007D1F16">
        <w:rPr>
          <w:color w:val="000000" w:themeColor="text1"/>
          <w:sz w:val="24"/>
          <w:lang w:val="da-DK"/>
        </w:rPr>
        <w:t xml:space="preserve"> </w:t>
      </w:r>
      <w:hyperlink r:id="rId26" w:history="1">
        <w:r w:rsidRPr="007D1F16">
          <w:rPr>
            <w:rStyle w:val="Hyperlink"/>
            <w:sz w:val="24"/>
            <w:lang w:val="da-DK"/>
          </w:rPr>
          <w:t>http://data.europa.eu/eli/reg/2024/1689/oj</w:t>
        </w:r>
      </w:hyperlink>
      <w:r w:rsidRPr="007D1F16">
        <w:rPr>
          <w:color w:val="000000" w:themeColor="text1"/>
          <w:sz w:val="24"/>
          <w:lang w:val="da-DK"/>
        </w:rPr>
        <w:t>).</w:t>
      </w:r>
    </w:p>
  </w:footnote>
  <w:footnote w:id="30">
    <w:p w14:paraId="707A0BAF" w14:textId="6ECD3759" w:rsidR="00C16740" w:rsidRPr="007D1F16" w:rsidRDefault="00C16740" w:rsidP="007D1F16">
      <w:pPr>
        <w:pStyle w:val="FootnoteText"/>
        <w:ind w:left="567" w:hanging="567"/>
        <w:rPr>
          <w:sz w:val="24"/>
          <w:lang w:val="da-DK"/>
        </w:rPr>
      </w:pPr>
      <w:r w:rsidRPr="007D1F16">
        <w:rPr>
          <w:rStyle w:val="FootnoteReference"/>
          <w:sz w:val="24"/>
          <w:lang w:val="da-DK"/>
        </w:rPr>
        <w:footnoteRef/>
      </w:r>
      <w:r w:rsidR="007D1F16" w:rsidRPr="007D1F16">
        <w:rPr>
          <w:sz w:val="24"/>
          <w:lang w:val="da-DK"/>
        </w:rPr>
        <w:t xml:space="preserve"> </w:t>
      </w:r>
      <w:r w:rsidR="007D1F16" w:rsidRPr="007D1F16">
        <w:rPr>
          <w:sz w:val="24"/>
          <w:lang w:val="da-DK"/>
        </w:rPr>
        <w:tab/>
      </w:r>
      <w:r w:rsidRPr="007D1F16">
        <w:rPr>
          <w:sz w:val="24"/>
          <w:lang w:val="da-DK"/>
        </w:rPr>
        <w:t xml:space="preserve">Europa-Parlamentets og Rådets forordning (EU) 2016/679 af 27. april 2016 om beskyttelse af fysiske personer i forbindelse med behandling af personoplysninger og om fri udveksling af sådanne oplysninger og om ophævelse af direktiv 95/46/EF (EUT L 119 af 4.5.2016, s. 1, ELI: </w:t>
      </w:r>
      <w:hyperlink r:id="rId27" w:history="1">
        <w:r w:rsidRPr="007D1F16">
          <w:rPr>
            <w:rStyle w:val="Hyperlink"/>
            <w:sz w:val="24"/>
            <w:lang w:val="da-DK"/>
          </w:rPr>
          <w:t>http://data.europa.eu/eli/reg/2016/679/oj</w:t>
        </w:r>
      </w:hyperlink>
      <w:r w:rsidRPr="007D1F16">
        <w:rPr>
          <w:sz w:val="24"/>
          <w:lang w:val="da-DK"/>
        </w:rPr>
        <w:t xml:space="preserve">). </w:t>
      </w:r>
    </w:p>
  </w:footnote>
  <w:footnote w:id="31">
    <w:p w14:paraId="151F1B8F" w14:textId="628E706B" w:rsidR="00C16740" w:rsidRPr="007D1F16" w:rsidRDefault="00C16740" w:rsidP="007D1F16">
      <w:pPr>
        <w:pStyle w:val="FootnoteText"/>
        <w:ind w:left="567" w:hanging="567"/>
        <w:rPr>
          <w:sz w:val="24"/>
          <w:lang w:val="da-DK"/>
        </w:rPr>
      </w:pPr>
      <w:r w:rsidRPr="007D1F16">
        <w:rPr>
          <w:rStyle w:val="FootnoteReference"/>
          <w:sz w:val="24"/>
          <w:lang w:val="da-DK"/>
        </w:rPr>
        <w:footnoteRef/>
      </w:r>
      <w:r w:rsidR="007D1F16" w:rsidRPr="007D1F16">
        <w:rPr>
          <w:sz w:val="24"/>
          <w:lang w:val="da-DK"/>
        </w:rPr>
        <w:t xml:space="preserve"> </w:t>
      </w:r>
      <w:r w:rsidR="007D1F16" w:rsidRPr="007D1F16">
        <w:rPr>
          <w:sz w:val="24"/>
          <w:lang w:val="da-DK"/>
        </w:rPr>
        <w:tab/>
      </w:r>
      <w:r w:rsidRPr="007D1F16">
        <w:rPr>
          <w:sz w:val="24"/>
          <w:lang w:val="da-DK"/>
        </w:rPr>
        <w:t>Europa-Parlamentets og Rådets forordning (EU) 2022/1925 af 14. september 2022 om åbne og fair markeder i den digitale sektor og om ændring af direktiv (EU) 2019/1937 og (EU) 2020/1828 (forordningen om digitale markeder) (EUT L 265 af 12.10.2022, s. 1, ELI:</w:t>
      </w:r>
      <w:r w:rsidRPr="007D1F16">
        <w:rPr>
          <w:color w:val="000000" w:themeColor="text1"/>
          <w:sz w:val="24"/>
          <w:lang w:val="da-DK"/>
        </w:rPr>
        <w:t xml:space="preserve"> </w:t>
      </w:r>
      <w:hyperlink r:id="rId28" w:history="1">
        <w:r w:rsidRPr="007D1F16">
          <w:rPr>
            <w:rStyle w:val="Hyperlink"/>
            <w:color w:val="000000" w:themeColor="text1"/>
            <w:sz w:val="24"/>
            <w:lang w:val="da-DK"/>
          </w:rPr>
          <w:t>http://data.europa.eu/eli/reg/2022/1925/oj</w:t>
        </w:r>
      </w:hyperlink>
      <w:r w:rsidRPr="007D1F16">
        <w:rPr>
          <w:sz w:val="24"/>
          <w:lang w:val="da-DK"/>
        </w:rPr>
        <w:t>).</w:t>
      </w:r>
    </w:p>
  </w:footnote>
  <w:footnote w:id="32">
    <w:p w14:paraId="6570EE7A" w14:textId="5892C378" w:rsidR="00C16740" w:rsidRPr="007D1F16" w:rsidRDefault="00C16740" w:rsidP="007D1F16">
      <w:pPr>
        <w:pStyle w:val="FootnoteText"/>
        <w:ind w:left="567" w:hanging="567"/>
        <w:rPr>
          <w:sz w:val="24"/>
          <w:lang w:val="da-DK"/>
        </w:rPr>
      </w:pPr>
      <w:r w:rsidRPr="007D1F16">
        <w:rPr>
          <w:rStyle w:val="FootnoteReference"/>
          <w:sz w:val="24"/>
          <w:lang w:val="da-DK"/>
        </w:rPr>
        <w:footnoteRef/>
      </w:r>
      <w:r w:rsidR="007D1F16" w:rsidRPr="007D1F16">
        <w:rPr>
          <w:sz w:val="24"/>
          <w:shd w:val="clear" w:color="auto" w:fill="FFFFFF"/>
          <w:lang w:val="da-DK"/>
        </w:rPr>
        <w:t xml:space="preserve"> </w:t>
      </w:r>
      <w:r w:rsidR="007D1F16" w:rsidRPr="007D1F16">
        <w:rPr>
          <w:sz w:val="24"/>
          <w:shd w:val="clear" w:color="auto" w:fill="FFFFFF"/>
          <w:lang w:val="da-DK"/>
        </w:rPr>
        <w:tab/>
      </w:r>
      <w:r w:rsidRPr="007D1F16">
        <w:rPr>
          <w:sz w:val="24"/>
          <w:shd w:val="clear" w:color="auto" w:fill="FFFFFF"/>
          <w:lang w:val="da-DK"/>
        </w:rPr>
        <w:t>Europa-Parlamentets og Rådets forordning (EU) 2022/2065 af 19. oktober 2022 om et indre marked for digitale tjenester og om ændring af direktiv 2000/31/EF (forordningen om digitale tjenester)</w:t>
      </w:r>
      <w:r w:rsidRPr="007D1F16">
        <w:rPr>
          <w:sz w:val="24"/>
          <w:lang w:val="da-DK"/>
        </w:rPr>
        <w:t xml:space="preserve"> (EUT L 277 af 27.10.2022, s. 1, </w:t>
      </w:r>
      <w:r w:rsidRPr="007D1F16">
        <w:rPr>
          <w:sz w:val="24"/>
          <w:shd w:val="clear" w:color="auto" w:fill="FFFFFF"/>
          <w:lang w:val="da-DK"/>
        </w:rPr>
        <w:t>ELI</w:t>
      </w:r>
      <w:r w:rsidRPr="007D1F16">
        <w:rPr>
          <w:sz w:val="24"/>
          <w:lang w:val="da-DK"/>
        </w:rPr>
        <w:t>:</w:t>
      </w:r>
      <w:r w:rsidRPr="007D1F16">
        <w:rPr>
          <w:sz w:val="24"/>
          <w:shd w:val="clear" w:color="auto" w:fill="FFFFFF"/>
          <w:lang w:val="da-DK"/>
        </w:rPr>
        <w:t> </w:t>
      </w:r>
      <w:hyperlink r:id="rId29" w:tooltip="Giver adgang til dokumentet via dets ELI-URI." w:history="1">
        <w:r w:rsidRPr="007D1F16">
          <w:rPr>
            <w:sz w:val="24"/>
            <w:u w:val="single"/>
            <w:shd w:val="clear" w:color="auto" w:fill="FFFFFF"/>
            <w:lang w:val="da-DK"/>
          </w:rPr>
          <w:t>http://data.europa.eu/eli/reg/2022/2065/oj</w:t>
        </w:r>
      </w:hyperlink>
      <w:r w:rsidRPr="007D1F16">
        <w:rPr>
          <w:sz w:val="24"/>
          <w:lang w:val="da-DK"/>
        </w:rPr>
        <w:t>)</w:t>
      </w:r>
      <w:r w:rsidRPr="007D1F16">
        <w:rPr>
          <w:b/>
          <w:i/>
          <w:sz w:val="24"/>
          <w:lang w:val="da-DK"/>
        </w:rPr>
        <w:t>.</w:t>
      </w:r>
    </w:p>
  </w:footnote>
  <w:footnote w:id="33">
    <w:p w14:paraId="38799AA2" w14:textId="6D573684" w:rsidR="00C16740" w:rsidRPr="007D1F16" w:rsidRDefault="00C16740" w:rsidP="007D1F16">
      <w:pPr>
        <w:pStyle w:val="FootnoteText"/>
        <w:ind w:left="567" w:hanging="567"/>
        <w:rPr>
          <w:bCs/>
          <w:iCs/>
          <w:sz w:val="24"/>
          <w:lang w:val="da-DK"/>
        </w:rPr>
      </w:pPr>
      <w:r w:rsidRPr="007D1F16">
        <w:rPr>
          <w:rStyle w:val="FootnoteReference"/>
          <w:sz w:val="24"/>
          <w:lang w:val="da-DK"/>
        </w:rPr>
        <w:footnoteRef/>
      </w:r>
      <w:r w:rsidR="007D1F16" w:rsidRPr="007D1F16">
        <w:rPr>
          <w:sz w:val="24"/>
          <w:lang w:val="da-DK"/>
        </w:rPr>
        <w:t xml:space="preserve"> </w:t>
      </w:r>
      <w:r w:rsidR="007D1F16" w:rsidRPr="007D1F16">
        <w:rPr>
          <w:sz w:val="24"/>
          <w:lang w:val="da-DK"/>
        </w:rPr>
        <w:tab/>
      </w:r>
      <w:r w:rsidRPr="007D1F16">
        <w:rPr>
          <w:sz w:val="24"/>
          <w:lang w:val="da-DK"/>
        </w:rPr>
        <w:t xml:space="preserve">Europa-Parlamentets og Rådets forordning (EU) 2023/1114 af 31. maj 2023 om markeder for kryptoaktiver og om ændring af forordning (EU) nr. 1093/2010 og (EU) nr. 1095/2010 og direktiv 2013/36/EU og (EU) 2019/1937 (EUT L 150 af 9.6.2023, s. 40, ELI: </w:t>
      </w:r>
      <w:hyperlink r:id="rId30" w:history="1">
        <w:r w:rsidRPr="007D1F16">
          <w:rPr>
            <w:rStyle w:val="Hyperlink"/>
            <w:sz w:val="24"/>
            <w:lang w:val="da-DK"/>
          </w:rPr>
          <w:t>http://data.europa.eu/eli/reg/2023/1114/oj</w:t>
        </w:r>
      </w:hyperlink>
      <w:r w:rsidRPr="007D1F16">
        <w:rPr>
          <w:rStyle w:val="Hyperlink"/>
          <w:sz w:val="24"/>
          <w:lang w:val="da-DK"/>
        </w:rPr>
        <w:t>)</w:t>
      </w:r>
      <w:r w:rsidRPr="007D1F16">
        <w:rPr>
          <w:sz w:val="24"/>
          <w:lang w:val="da-DK"/>
        </w:rPr>
        <w:t>.</w:t>
      </w:r>
    </w:p>
  </w:footnote>
  <w:footnote w:id="34">
    <w:p w14:paraId="2C2E0A4D" w14:textId="590309DD" w:rsidR="00C16740" w:rsidRPr="007D1F16" w:rsidRDefault="00C16740" w:rsidP="007D1F16">
      <w:pPr>
        <w:pStyle w:val="FootnoteText"/>
        <w:ind w:left="567" w:hanging="567"/>
        <w:rPr>
          <w:sz w:val="24"/>
          <w:lang w:val="da-DK"/>
        </w:rPr>
      </w:pPr>
      <w:r w:rsidRPr="007D1F16">
        <w:rPr>
          <w:rStyle w:val="FootnoteReference"/>
          <w:sz w:val="24"/>
          <w:lang w:val="da-DK"/>
        </w:rPr>
        <w:footnoteRef/>
      </w:r>
      <w:r w:rsidR="007D1F16" w:rsidRPr="007D1F16">
        <w:rPr>
          <w:sz w:val="24"/>
          <w:lang w:val="da-DK"/>
        </w:rPr>
        <w:t xml:space="preserve"> </w:t>
      </w:r>
      <w:r w:rsidR="007D1F16" w:rsidRPr="007D1F16">
        <w:rPr>
          <w:sz w:val="24"/>
          <w:lang w:val="da-DK"/>
        </w:rPr>
        <w:tab/>
      </w:r>
      <w:r w:rsidRPr="007D1F16">
        <w:rPr>
          <w:sz w:val="24"/>
          <w:lang w:val="da-DK"/>
        </w:rPr>
        <w:t xml:space="preserve">Europa-Parlamentets og Rådets forordning (EU) nr. 648/2012 af 4. juli 2012 om OTC-derivater, centrale modparter og transaktionsregistre (EUT L 201 af 27.7.2012, s. 1, ELI: </w:t>
      </w:r>
      <w:hyperlink r:id="rId31" w:history="1">
        <w:r w:rsidRPr="007D1F16">
          <w:rPr>
            <w:rStyle w:val="Hyperlink"/>
            <w:sz w:val="24"/>
            <w:lang w:val="da-DK"/>
          </w:rPr>
          <w:t>http://data.europa.eu/eli/reg/2012/648/oj</w:t>
        </w:r>
      </w:hyperlink>
      <w:r w:rsidRPr="007D1F16">
        <w:rPr>
          <w:rStyle w:val="Hyperlink"/>
          <w:sz w:val="24"/>
          <w:lang w:val="da-DK"/>
        </w:rPr>
        <w:t>)</w:t>
      </w:r>
      <w:r w:rsidRPr="007D1F16">
        <w:rPr>
          <w:sz w:val="24"/>
          <w:lang w:val="da-DK"/>
        </w:rPr>
        <w:t>.</w:t>
      </w:r>
    </w:p>
  </w:footnote>
  <w:footnote w:id="35">
    <w:p w14:paraId="7D4DF074" w14:textId="251A6C1E" w:rsidR="00C16740" w:rsidRPr="007D1F16" w:rsidRDefault="00C16740" w:rsidP="007D1F16">
      <w:pPr>
        <w:pStyle w:val="FootnoteText"/>
        <w:ind w:left="567" w:hanging="567"/>
        <w:rPr>
          <w:sz w:val="24"/>
          <w:lang w:val="da-DK"/>
        </w:rPr>
      </w:pPr>
      <w:r w:rsidRPr="007D1F16">
        <w:rPr>
          <w:rStyle w:val="FootnoteReference"/>
          <w:sz w:val="24"/>
          <w:lang w:val="da-DK"/>
        </w:rPr>
        <w:footnoteRef/>
      </w:r>
      <w:r w:rsidR="007D1F16" w:rsidRPr="007D1F16">
        <w:rPr>
          <w:sz w:val="24"/>
          <w:lang w:val="da-DK"/>
        </w:rPr>
        <w:t xml:space="preserve"> </w:t>
      </w:r>
      <w:r w:rsidR="007D1F16" w:rsidRPr="007D1F16">
        <w:rPr>
          <w:sz w:val="24"/>
          <w:lang w:val="da-DK"/>
        </w:rPr>
        <w:tab/>
      </w:r>
      <w:r w:rsidRPr="007D1F16">
        <w:rPr>
          <w:sz w:val="24"/>
          <w:lang w:val="da-DK"/>
        </w:rPr>
        <w:t xml:space="preserve">Europa-Parlamentets og Rådets direktiv 2011/61/EU af 8. juni 2011 om forvaltere af alternative investeringsfonde og om ændring af direktiv 2003/41/EF og 2009/65/EF samt forordning (EF) nr. 1060/2009 og (EU) nr. 1095/2010 (EUT L 174 af 1.7.2011, s. 1, ELI: </w:t>
      </w:r>
      <w:hyperlink r:id="rId32" w:history="1">
        <w:r w:rsidRPr="007D1F16">
          <w:rPr>
            <w:rStyle w:val="Hyperlink"/>
            <w:sz w:val="24"/>
            <w:lang w:val="da-DK"/>
          </w:rPr>
          <w:t>http://data.europa.eu/eli/dir/2011/61/oj</w:t>
        </w:r>
      </w:hyperlink>
      <w:r w:rsidRPr="007D1F16">
        <w:rPr>
          <w:rStyle w:val="Hyperlink"/>
          <w:sz w:val="24"/>
          <w:lang w:val="da-DK"/>
        </w:rPr>
        <w:t>)</w:t>
      </w:r>
      <w:r w:rsidRPr="007D1F16">
        <w:rPr>
          <w:sz w:val="24"/>
          <w:lang w:val="da-DK"/>
        </w:rPr>
        <w:t>.</w:t>
      </w:r>
    </w:p>
  </w:footnote>
  <w:footnote w:id="36">
    <w:p w14:paraId="320E9318" w14:textId="39FB541A" w:rsidR="00C16740" w:rsidRPr="007D1F16" w:rsidRDefault="00C16740" w:rsidP="007D1F16">
      <w:pPr>
        <w:pStyle w:val="FootnoteText"/>
        <w:ind w:left="567" w:hanging="567"/>
        <w:rPr>
          <w:sz w:val="24"/>
          <w:lang w:val="da-DK"/>
        </w:rPr>
      </w:pPr>
      <w:r w:rsidRPr="007D1F16">
        <w:rPr>
          <w:rStyle w:val="FootnoteReference"/>
          <w:sz w:val="24"/>
          <w:lang w:val="da-DK"/>
        </w:rPr>
        <w:footnoteRef/>
      </w:r>
      <w:r w:rsidR="007D1F16" w:rsidRPr="007D1F16">
        <w:rPr>
          <w:sz w:val="24"/>
          <w:lang w:val="da-DK"/>
        </w:rPr>
        <w:t xml:space="preserve"> </w:t>
      </w:r>
      <w:r w:rsidR="007D1F16" w:rsidRPr="007D1F16">
        <w:rPr>
          <w:sz w:val="24"/>
          <w:lang w:val="da-DK"/>
        </w:rPr>
        <w:tab/>
      </w:r>
      <w:r w:rsidRPr="007D1F16">
        <w:rPr>
          <w:sz w:val="24"/>
          <w:lang w:val="da-DK"/>
        </w:rPr>
        <w:t>Det Forenede Kongeriges regering og Europa-Kommissionen (2023), protokol: Tredje møde i Handelspartnerskabsudvalget under handels- og samarbejdsaftalen mellem EU og Det Forenede Kongerige, 7. december 2023, i London og virtuelt format (med Det Forenede Kongerige som vært); Fælles erklæring fra EU's og Det Forenede Kongeriges interne rådgivende grupper om handels- og samarbejdsaftalen mellem EU og Det Forenede Kongerige, 19. september 2024.</w:t>
      </w:r>
    </w:p>
  </w:footnote>
  <w:footnote w:id="37">
    <w:p w14:paraId="742DCA6B" w14:textId="2A845FD8" w:rsidR="00C16740" w:rsidRPr="007D1F16" w:rsidRDefault="00C16740" w:rsidP="007D1F16">
      <w:pPr>
        <w:pStyle w:val="FootnoteText"/>
        <w:ind w:left="567" w:hanging="567"/>
        <w:rPr>
          <w:sz w:val="24"/>
          <w:lang w:val="da-DK"/>
        </w:rPr>
      </w:pPr>
      <w:r w:rsidRPr="007D1F16">
        <w:rPr>
          <w:rStyle w:val="FootnoteReference"/>
          <w:sz w:val="24"/>
          <w:lang w:val="da-DK"/>
        </w:rPr>
        <w:footnoteRef/>
      </w:r>
      <w:r w:rsidR="007D1F16" w:rsidRPr="007D1F16">
        <w:rPr>
          <w:sz w:val="24"/>
          <w:lang w:val="da-DK"/>
        </w:rPr>
        <w:t xml:space="preserve"> </w:t>
      </w:r>
      <w:r w:rsidR="007D1F16" w:rsidRPr="007D1F16">
        <w:rPr>
          <w:sz w:val="24"/>
          <w:lang w:val="da-DK"/>
        </w:rPr>
        <w:tab/>
      </w:r>
      <w:r w:rsidRPr="007D1F16">
        <w:rPr>
          <w:sz w:val="24"/>
          <w:lang w:val="da-DK"/>
        </w:rPr>
        <w:t xml:space="preserve">Europa-Parlamentets og Rådets forordning (EF) nr. 1907/2006 af 18. december 2006 om registrering, vurdering og godkendelse af samt begrænsninger for kemikalier (REACH), om oprettelse af et europæisk kemikalieagentur og om ændring af direktiv 1999/45/EF og ophævelse af Rådets forordning (EØF) nr. 793/93 og Kommissionens forordning (EF) nr. 1488/94 samt Rådets direktiv 76/769/EØF og Kommissionens direktiv 91/155/EØF, 93/67/EØF, 93/105/EF og 2000/21/EF (EUT L 396 af 30.12.2006, s. 1, ELI: </w:t>
      </w:r>
      <w:hyperlink r:id="rId33" w:history="1">
        <w:r w:rsidRPr="007D1F16">
          <w:rPr>
            <w:rStyle w:val="Hyperlink"/>
            <w:sz w:val="24"/>
            <w:lang w:val="da-DK"/>
          </w:rPr>
          <w:t>http://data.europa.eu/eli/reg/2006/1907/oj</w:t>
        </w:r>
      </w:hyperlink>
      <w:r w:rsidRPr="007D1F16">
        <w:rPr>
          <w:rStyle w:val="Hyperlink"/>
          <w:sz w:val="24"/>
          <w:lang w:val="da-DK"/>
        </w:rPr>
        <w:t>).</w:t>
      </w:r>
    </w:p>
  </w:footnote>
  <w:footnote w:id="38">
    <w:p w14:paraId="57AFEA6F" w14:textId="660FD114" w:rsidR="00C16740" w:rsidRPr="007D1F16" w:rsidRDefault="00C16740" w:rsidP="007D1F16">
      <w:pPr>
        <w:pStyle w:val="FootnoteText"/>
        <w:ind w:left="567" w:hanging="567"/>
        <w:rPr>
          <w:sz w:val="24"/>
          <w:lang w:val="da-DK"/>
        </w:rPr>
      </w:pPr>
      <w:r w:rsidRPr="007D1F16">
        <w:rPr>
          <w:rStyle w:val="FootnoteReference"/>
          <w:sz w:val="24"/>
          <w:lang w:val="da-DK"/>
        </w:rPr>
        <w:footnoteRef/>
      </w:r>
      <w:r w:rsidR="007D1F16" w:rsidRPr="007D1F16">
        <w:rPr>
          <w:sz w:val="24"/>
          <w:lang w:val="da-DK"/>
        </w:rPr>
        <w:t xml:space="preserve"> </w:t>
      </w:r>
      <w:r w:rsidR="007D1F16" w:rsidRPr="007D1F16">
        <w:rPr>
          <w:sz w:val="24"/>
          <w:lang w:val="da-DK"/>
        </w:rPr>
        <w:tab/>
      </w:r>
      <w:r w:rsidRPr="007D1F16">
        <w:rPr>
          <w:sz w:val="24"/>
          <w:lang w:val="da-DK"/>
        </w:rPr>
        <w:t>Europa-Parlamentets og Rådets direktiv 2011/24/EU af 9. marts 2011 om patientrettigheder i forbindelse med grænseoverskridende sundhedsydelser</w:t>
      </w:r>
      <w:r w:rsidR="00680CC1">
        <w:rPr>
          <w:sz w:val="24"/>
          <w:lang w:val="da-DK"/>
        </w:rPr>
        <w:t xml:space="preserve"> </w:t>
      </w:r>
      <w:r w:rsidRPr="007D1F16">
        <w:rPr>
          <w:sz w:val="24"/>
          <w:lang w:val="da-DK"/>
        </w:rPr>
        <w:t>(EUT L 88 af 4.4.2011, s. 45, ELI: </w:t>
      </w:r>
      <w:hyperlink r:id="rId34" w:tooltip="Giver adgang til dokumentet via dets ELI-URI." w:history="1">
        <w:r w:rsidRPr="007D1F16">
          <w:rPr>
            <w:rStyle w:val="Hyperlink"/>
            <w:sz w:val="24"/>
            <w:lang w:val="da-DK"/>
          </w:rPr>
          <w:t>http://data.europa.eu/eli/dir/2011/24/oj</w:t>
        </w:r>
      </w:hyperlink>
      <w:r w:rsidRPr="007D1F16">
        <w:rPr>
          <w:sz w:val="24"/>
          <w:lang w:val="da-DK"/>
        </w:rPr>
        <w:t>).</w:t>
      </w:r>
    </w:p>
  </w:footnote>
  <w:footnote w:id="39">
    <w:p w14:paraId="12C184E9" w14:textId="5634C4ED" w:rsidR="00C16740" w:rsidRPr="007D1F16" w:rsidRDefault="00C16740" w:rsidP="007D1F16">
      <w:pPr>
        <w:pStyle w:val="FootnoteText"/>
        <w:ind w:left="567" w:hanging="567"/>
        <w:rPr>
          <w:sz w:val="24"/>
          <w:lang w:val="da-DK"/>
        </w:rPr>
      </w:pPr>
      <w:r w:rsidRPr="007D1F16">
        <w:rPr>
          <w:rStyle w:val="FootnoteReference"/>
          <w:sz w:val="24"/>
          <w:lang w:val="da-DK"/>
        </w:rPr>
        <w:footnoteRef/>
      </w:r>
      <w:r w:rsidR="007D1F16" w:rsidRPr="007D1F16">
        <w:rPr>
          <w:sz w:val="24"/>
          <w:lang w:val="da-DK"/>
        </w:rPr>
        <w:t xml:space="preserve"> </w:t>
      </w:r>
      <w:r w:rsidR="007D1F16" w:rsidRPr="007D1F16">
        <w:rPr>
          <w:sz w:val="24"/>
          <w:lang w:val="da-DK"/>
        </w:rPr>
        <w:tab/>
      </w:r>
      <w:r w:rsidRPr="007D1F16">
        <w:rPr>
          <w:sz w:val="24"/>
          <w:lang w:val="da-DK"/>
        </w:rPr>
        <w:t>EUT L 118 af 2</w:t>
      </w:r>
      <w:r w:rsidR="00A72EA8">
        <w:rPr>
          <w:sz w:val="24"/>
          <w:lang w:val="da-DK"/>
        </w:rPr>
        <w:t>0</w:t>
      </w:r>
      <w:r w:rsidRPr="007D1F16">
        <w:rPr>
          <w:sz w:val="24"/>
          <w:lang w:val="da-DK"/>
        </w:rPr>
        <w:t>.</w:t>
      </w:r>
      <w:r w:rsidR="00A72EA8">
        <w:rPr>
          <w:sz w:val="24"/>
          <w:lang w:val="da-DK"/>
        </w:rPr>
        <w:t>4</w:t>
      </w:r>
      <w:r w:rsidRPr="007D1F16">
        <w:rPr>
          <w:sz w:val="24"/>
          <w:lang w:val="da-DK"/>
        </w:rPr>
        <w:t>.20</w:t>
      </w:r>
      <w:r w:rsidR="00A72EA8">
        <w:rPr>
          <w:sz w:val="24"/>
          <w:lang w:val="da-DK"/>
        </w:rPr>
        <w:t>22</w:t>
      </w:r>
      <w:r w:rsidRPr="007D1F16">
        <w:rPr>
          <w:sz w:val="24"/>
          <w:lang w:val="da-DK"/>
        </w:rPr>
        <w:t>, s. 4, ELI: </w:t>
      </w:r>
      <w:hyperlink r:id="rId35" w:tooltip="Giver adgang til dokumentet via dets ELI-URI." w:history="1">
        <w:r w:rsidRPr="007D1F16">
          <w:rPr>
            <w:rStyle w:val="Hyperlink"/>
            <w:sz w:val="24"/>
            <w:lang w:val="da-DK"/>
          </w:rPr>
          <w:t>http://data.europa.eu/eli/dir/2022/642/oj</w:t>
        </w:r>
      </w:hyperlink>
      <w:r w:rsidRPr="007D1F16">
        <w:rPr>
          <w:sz w:val="24"/>
          <w:lang w:val="da-DK"/>
        </w:rPr>
        <w:t>.</w:t>
      </w:r>
    </w:p>
  </w:footnote>
  <w:footnote w:id="40">
    <w:p w14:paraId="2514A2C2" w14:textId="45D221E3" w:rsidR="00C16740" w:rsidRPr="007D1F16" w:rsidRDefault="00C16740" w:rsidP="007D1F16">
      <w:pPr>
        <w:pStyle w:val="FootnoteText"/>
        <w:ind w:left="567" w:hanging="567"/>
        <w:rPr>
          <w:sz w:val="24"/>
          <w:lang w:val="da-DK"/>
        </w:rPr>
      </w:pPr>
      <w:r w:rsidRPr="007D1F16">
        <w:rPr>
          <w:rStyle w:val="FootnoteReference"/>
          <w:sz w:val="24"/>
          <w:lang w:val="da-DK"/>
        </w:rPr>
        <w:footnoteRef/>
      </w:r>
      <w:r w:rsidR="007D1F16" w:rsidRPr="007D1F16">
        <w:rPr>
          <w:sz w:val="24"/>
          <w:lang w:val="da-DK"/>
        </w:rPr>
        <w:t xml:space="preserve"> </w:t>
      </w:r>
      <w:r w:rsidR="007D1F16" w:rsidRPr="007D1F16">
        <w:rPr>
          <w:sz w:val="24"/>
          <w:lang w:val="da-DK"/>
        </w:rPr>
        <w:tab/>
      </w:r>
      <w:r w:rsidRPr="007D1F16">
        <w:rPr>
          <w:sz w:val="24"/>
          <w:lang w:val="da-DK"/>
        </w:rPr>
        <w:t>Europa-Parlamentets og Rådets forordning (EU) 2017/2394 af 12. december 2017 om samarbejde mellem nationale myndigheder med ansvar for håndhævelse af lovgivning om forbrugerbeskyttelse og om ophævelse af forordning (EF) nr. 2006/2004 (EUT L 345 af 27.12.2017, s. 1, ELI: </w:t>
      </w:r>
      <w:hyperlink r:id="rId36" w:tooltip="Giver adgang til dokumentet via dets ELI-URI." w:history="1">
        <w:r w:rsidRPr="007D1F16">
          <w:rPr>
            <w:sz w:val="24"/>
            <w:lang w:val="da-DK"/>
          </w:rPr>
          <w:t>http://data.europa.eu/eli/reg/2017/2394/oj</w:t>
        </w:r>
      </w:hyperlink>
      <w:r w:rsidRPr="007D1F16">
        <w:rPr>
          <w:sz w:val="24"/>
          <w:lang w:val="da-DK"/>
        </w:rPr>
        <w:t>).</w:t>
      </w:r>
    </w:p>
  </w:footnote>
  <w:footnote w:id="41">
    <w:p w14:paraId="23B4A43A" w14:textId="05071E85" w:rsidR="00C16740" w:rsidRPr="007D1F16" w:rsidRDefault="00C16740" w:rsidP="007D1F16">
      <w:pPr>
        <w:pStyle w:val="NormalHanging12a"/>
        <w:spacing w:after="0"/>
      </w:pPr>
      <w:r w:rsidRPr="007D1F16">
        <w:rPr>
          <w:rStyle w:val="FootnoteReference"/>
        </w:rPr>
        <w:footnoteRef/>
      </w:r>
      <w:r w:rsidR="007D1F16" w:rsidRPr="007D1F16">
        <w:t xml:space="preserve"> </w:t>
      </w:r>
      <w:r w:rsidR="007D1F16" w:rsidRPr="007D1F16">
        <w:tab/>
      </w:r>
      <w:r w:rsidRPr="007D1F16">
        <w:t xml:space="preserve">Europa-Parlamentets og Rådets forordning (EF) nr. 1008/2008 af 24. september 2008 om fælles regler for driften af lufttrafiktjenester i Fællesskabet (EUT L 293 af 31.10.2008, s. 3, ELI: </w:t>
      </w:r>
      <w:hyperlink r:id="rId37" w:history="1">
        <w:r w:rsidRPr="007D1F16">
          <w:rPr>
            <w:rStyle w:val="Hyperlink"/>
          </w:rPr>
          <w:t>http://data.europa.eu/eli/reg/2008/1008/oj</w:t>
        </w:r>
      </w:hyperlink>
      <w:r w:rsidRPr="007D1F16">
        <w:t>).</w:t>
      </w:r>
    </w:p>
  </w:footnote>
  <w:footnote w:id="42">
    <w:p w14:paraId="640CFDF0" w14:textId="02AE1301" w:rsidR="00C16740" w:rsidRPr="007D1F16" w:rsidRDefault="00C16740" w:rsidP="007D1F16">
      <w:pPr>
        <w:pStyle w:val="FootnoteText"/>
        <w:ind w:left="567" w:hanging="567"/>
        <w:rPr>
          <w:sz w:val="24"/>
          <w:lang w:val="da-DK"/>
        </w:rPr>
      </w:pPr>
      <w:r w:rsidRPr="007D1F16">
        <w:rPr>
          <w:rStyle w:val="FootnoteReference"/>
          <w:sz w:val="24"/>
          <w:lang w:val="da-DK"/>
        </w:rPr>
        <w:footnoteRef/>
      </w:r>
      <w:r w:rsidR="007D1F16" w:rsidRPr="007D1F16">
        <w:rPr>
          <w:sz w:val="24"/>
          <w:lang w:val="da-DK"/>
        </w:rPr>
        <w:t xml:space="preserve"> </w:t>
      </w:r>
      <w:r w:rsidR="007D1F16" w:rsidRPr="007D1F16">
        <w:rPr>
          <w:sz w:val="24"/>
          <w:lang w:val="da-DK"/>
        </w:rPr>
        <w:tab/>
      </w:r>
      <w:r w:rsidRPr="007D1F16">
        <w:rPr>
          <w:sz w:val="24"/>
          <w:lang w:val="da-DK"/>
        </w:rPr>
        <w:t>Europa-Parlamentets og Rådets direktiv (EU) 2024/3237 af 19. </w:t>
      </w:r>
      <w:r w:rsidRPr="007D1F16">
        <w:rPr>
          <w:sz w:val="24"/>
          <w:lang w:val="da-DK"/>
        </w:rPr>
        <w:t>december 2024 om ændring af direktiv (EU) 2015/413 om fremme af grænseoverskridende udveksling af oplysninger om trafiksikkerhedsrelaterede færdselslovsovertrædelser (EUT </w:t>
      </w:r>
      <w:r w:rsidRPr="007D1F16">
        <w:rPr>
          <w:sz w:val="24"/>
          <w:lang w:val="da-DK"/>
        </w:rPr>
        <w:t>L</w:t>
      </w:r>
      <w:r w:rsidR="00FB7E1B">
        <w:rPr>
          <w:sz w:val="24"/>
          <w:lang w:val="da-DK"/>
        </w:rPr>
        <w:t>,</w:t>
      </w:r>
      <w:r w:rsidRPr="007D1F16">
        <w:rPr>
          <w:sz w:val="24"/>
          <w:lang w:val="da-DK"/>
        </w:rPr>
        <w:t xml:space="preserve"> 2024/3237</w:t>
      </w:r>
      <w:r w:rsidR="00A72EA8">
        <w:rPr>
          <w:sz w:val="24"/>
          <w:lang w:val="da-DK"/>
        </w:rPr>
        <w:t>,</w:t>
      </w:r>
      <w:r w:rsidRPr="007D1F16">
        <w:rPr>
          <w:sz w:val="24"/>
          <w:lang w:val="da-DK"/>
        </w:rPr>
        <w:t xml:space="preserve"> 30.12.2024, ELI: </w:t>
      </w:r>
      <w:hyperlink r:id="rId38" w:history="1">
        <w:r w:rsidRPr="007D1F16">
          <w:rPr>
            <w:rStyle w:val="Hyperlink"/>
            <w:sz w:val="24"/>
            <w:lang w:val="da-DK"/>
          </w:rPr>
          <w:t>http://data.europa.eu/eli/dir/2024/3237/oj</w:t>
        </w:r>
      </w:hyperlink>
      <w:r w:rsidRPr="007D1F16">
        <w:rPr>
          <w:rStyle w:val="Hyperlink"/>
          <w:sz w:val="24"/>
          <w:lang w:val="da-DK"/>
        </w:rPr>
        <w:t>)</w:t>
      </w:r>
      <w:r w:rsidRPr="007D1F16">
        <w:rPr>
          <w:sz w:val="24"/>
          <w:lang w:val="da-DK"/>
        </w:rPr>
        <w:t>.</w:t>
      </w:r>
    </w:p>
  </w:footnote>
  <w:footnote w:id="43">
    <w:p w14:paraId="6176DB38" w14:textId="7C7C83B4" w:rsidR="00C16740" w:rsidRPr="007D1F16" w:rsidRDefault="00C16740" w:rsidP="007D1F16">
      <w:pPr>
        <w:pStyle w:val="FootnoteText"/>
        <w:ind w:left="567" w:hanging="567"/>
        <w:rPr>
          <w:sz w:val="24"/>
          <w:lang w:val="da-DK"/>
        </w:rPr>
      </w:pPr>
      <w:r w:rsidRPr="007D1F16">
        <w:rPr>
          <w:rStyle w:val="FootnoteReference"/>
          <w:sz w:val="24"/>
          <w:lang w:val="da-DK"/>
        </w:rPr>
        <w:footnoteRef/>
      </w:r>
      <w:r w:rsidR="007D1F16" w:rsidRPr="007D1F16">
        <w:rPr>
          <w:sz w:val="24"/>
          <w:lang w:val="da-DK"/>
        </w:rPr>
        <w:t xml:space="preserve"> </w:t>
      </w:r>
      <w:r w:rsidR="007D1F16" w:rsidRPr="007D1F16">
        <w:rPr>
          <w:sz w:val="24"/>
          <w:lang w:val="da-DK"/>
        </w:rPr>
        <w:tab/>
      </w:r>
      <w:r w:rsidRPr="007D1F16">
        <w:rPr>
          <w:sz w:val="24"/>
          <w:lang w:val="da-DK"/>
        </w:rPr>
        <w:t>Kommissionens gennemførelsesafgørelse (EU) 2022/1973 af 11. oktober 2022 om anerkendelse af Det Forenede Kongerige i henhold til direktiv (EU) 2022/993 for så vidt angår uddannelses- og bevisudstedelsessystemet for søfarende (EUT L 270 af 18.10.2022, s. 99, ELI: </w:t>
      </w:r>
      <w:hyperlink r:id="rId39" w:tooltip="Giver adgang til dokumentet via dets ELI-URI." w:history="1">
        <w:r w:rsidRPr="007D1F16">
          <w:rPr>
            <w:rStyle w:val="Hyperlink"/>
            <w:sz w:val="24"/>
            <w:lang w:val="da-DK"/>
          </w:rPr>
          <w:t>http://data.europa.eu/eli/dec_impl/2022/1973/oj</w:t>
        </w:r>
      </w:hyperlink>
      <w:r w:rsidRPr="007D1F16">
        <w:rPr>
          <w:rStyle w:val="Hyperlink"/>
          <w:sz w:val="24"/>
          <w:lang w:val="da-DK"/>
        </w:rPr>
        <w:t>)</w:t>
      </w:r>
      <w:r w:rsidRPr="007D1F16">
        <w:rPr>
          <w:sz w:val="24"/>
          <w:lang w:val="da-DK"/>
        </w:rPr>
        <w:t xml:space="preserve">. </w:t>
      </w:r>
    </w:p>
  </w:footnote>
  <w:footnote w:id="44">
    <w:p w14:paraId="27C4D6ED" w14:textId="4F6F2516" w:rsidR="00C16740" w:rsidRPr="007D1F16" w:rsidRDefault="00C16740" w:rsidP="007D1F16">
      <w:pPr>
        <w:pStyle w:val="FootnoteText"/>
        <w:ind w:left="567" w:hanging="567"/>
        <w:rPr>
          <w:sz w:val="24"/>
          <w:lang w:val="da-DK"/>
        </w:rPr>
      </w:pPr>
      <w:r w:rsidRPr="007D1F16">
        <w:rPr>
          <w:rStyle w:val="FootnoteReference"/>
          <w:sz w:val="24"/>
          <w:lang w:val="da-DK"/>
        </w:rPr>
        <w:footnoteRef/>
      </w:r>
      <w:r w:rsidR="007D1F16" w:rsidRPr="007D1F16">
        <w:rPr>
          <w:sz w:val="24"/>
          <w:lang w:val="da-DK"/>
        </w:rPr>
        <w:t xml:space="preserve"> </w:t>
      </w:r>
      <w:r w:rsidR="007D1F16" w:rsidRPr="007D1F16">
        <w:rPr>
          <w:sz w:val="24"/>
          <w:lang w:val="da-DK"/>
        </w:rPr>
        <w:tab/>
      </w:r>
      <w:r w:rsidRPr="007D1F16">
        <w:rPr>
          <w:sz w:val="24"/>
          <w:lang w:val="da-DK"/>
        </w:rPr>
        <w:t xml:space="preserve">Europa-Parlamentets og Rådets direktiv (EU) 2022/993 af 8. juni 2022 om minimumsuddannelsesniveauet for søfartserhverv (EUT L 169 af 27.6.2022, s. 45, ELI: </w:t>
      </w:r>
      <w:hyperlink r:id="rId40" w:history="1">
        <w:r w:rsidRPr="007D1F16">
          <w:rPr>
            <w:rStyle w:val="Hyperlink"/>
            <w:sz w:val="24"/>
            <w:lang w:val="da-DK"/>
          </w:rPr>
          <w:t>http://data.europa.eu/eli/dir/2022/993/oj</w:t>
        </w:r>
      </w:hyperlink>
      <w:r w:rsidRPr="007D1F16">
        <w:rPr>
          <w:sz w:val="24"/>
          <w:lang w:val="da-DK"/>
        </w:rPr>
        <w:t>).</w:t>
      </w:r>
    </w:p>
  </w:footnote>
  <w:footnote w:id="45">
    <w:p w14:paraId="457604EF" w14:textId="5CCF9E8B" w:rsidR="00C16740" w:rsidRPr="007D1F16" w:rsidRDefault="00C16740" w:rsidP="007D1F16">
      <w:pPr>
        <w:pStyle w:val="FootnoteText"/>
        <w:ind w:left="567" w:hanging="567"/>
        <w:rPr>
          <w:sz w:val="24"/>
          <w:lang w:val="da-DK"/>
        </w:rPr>
      </w:pPr>
      <w:r w:rsidRPr="007D1F16">
        <w:rPr>
          <w:rStyle w:val="FootnoteReference"/>
          <w:sz w:val="24"/>
          <w:lang w:val="da-DK"/>
        </w:rPr>
        <w:footnoteRef/>
      </w:r>
      <w:r w:rsidR="007D1F16" w:rsidRPr="007D1F16">
        <w:rPr>
          <w:sz w:val="24"/>
          <w:lang w:val="da-DK"/>
        </w:rPr>
        <w:t xml:space="preserve"> </w:t>
      </w:r>
      <w:r w:rsidR="007D1F16" w:rsidRPr="007D1F16">
        <w:rPr>
          <w:sz w:val="24"/>
          <w:lang w:val="da-DK"/>
        </w:rPr>
        <w:tab/>
      </w:r>
      <w:r w:rsidRPr="007D1F16">
        <w:rPr>
          <w:sz w:val="24"/>
          <w:lang w:val="da-DK"/>
        </w:rPr>
        <w:t xml:space="preserve">Europa-Parlamentets og Rådets direktiv 2014/36/EU af 26. februar 2014 om betingelserne for tredjelandsstatsborgeres indrejse og ophold med henblik på arbejde som sæsonarbejdere (EUT L 94 af 28.3.2014, s. 375, ELI: </w:t>
      </w:r>
      <w:hyperlink r:id="rId41" w:history="1">
        <w:r w:rsidRPr="007D1F16">
          <w:rPr>
            <w:rStyle w:val="Hyperlink"/>
            <w:color w:val="0563C1"/>
            <w:sz w:val="24"/>
            <w:lang w:val="da-DK"/>
          </w:rPr>
          <w:t>http://data.europa.eu/eli/dir/2014/36/oj)</w:t>
        </w:r>
      </w:hyperlink>
      <w:r w:rsidRPr="007D1F16">
        <w:rPr>
          <w:sz w:val="24"/>
          <w:lang w:val="da-DK"/>
        </w:rPr>
        <w:t>.</w:t>
      </w:r>
    </w:p>
  </w:footnote>
  <w:footnote w:id="46">
    <w:p w14:paraId="5BA81F90" w14:textId="7E320027" w:rsidR="00C16740" w:rsidRPr="00116266" w:rsidRDefault="00C16740" w:rsidP="007D1F16">
      <w:pPr>
        <w:pStyle w:val="FootnoteText"/>
        <w:ind w:left="567" w:hanging="567"/>
        <w:rPr>
          <w:sz w:val="24"/>
          <w:lang w:val="fi-FI"/>
        </w:rPr>
      </w:pPr>
      <w:r w:rsidRPr="007D1F16">
        <w:rPr>
          <w:rStyle w:val="FootnoteReference"/>
          <w:sz w:val="24"/>
          <w:lang w:val="da-DK"/>
        </w:rPr>
        <w:footnoteRef/>
      </w:r>
      <w:r w:rsidR="007D1F16" w:rsidRPr="00116266">
        <w:rPr>
          <w:sz w:val="24"/>
          <w:lang w:val="fi-FI"/>
        </w:rPr>
        <w:t xml:space="preserve"> </w:t>
      </w:r>
      <w:r w:rsidR="007D1F16" w:rsidRPr="00116266">
        <w:rPr>
          <w:sz w:val="24"/>
          <w:lang w:val="fi-FI"/>
        </w:rPr>
        <w:tab/>
      </w:r>
      <w:r w:rsidRPr="00116266">
        <w:rPr>
          <w:sz w:val="24"/>
          <w:lang w:val="fi-FI"/>
        </w:rPr>
        <w:t>EUT C, C/2024/6341, 7.11.2024, ELI:</w:t>
      </w:r>
      <w:r w:rsidRPr="00116266">
        <w:rPr>
          <w:color w:val="000000" w:themeColor="text1"/>
          <w:sz w:val="24"/>
          <w:lang w:val="fi-FI"/>
        </w:rPr>
        <w:t xml:space="preserve"> </w:t>
      </w:r>
      <w:hyperlink r:id="rId42" w:history="1">
        <w:r w:rsidRPr="00116266">
          <w:rPr>
            <w:rStyle w:val="Hyperlink"/>
            <w:sz w:val="24"/>
            <w:lang w:val="fi-FI"/>
          </w:rPr>
          <w:t>http://data.europa.eu/eli/C/2024/6341/oj</w:t>
        </w:r>
      </w:hyperlink>
      <w:r w:rsidRPr="00116266">
        <w:rPr>
          <w:color w:val="000000" w:themeColor="text1"/>
          <w:sz w:val="24"/>
          <w:lang w:val="fi-FI"/>
        </w:rPr>
        <w:t>.</w:t>
      </w:r>
    </w:p>
  </w:footnote>
  <w:footnote w:id="47">
    <w:p w14:paraId="5BCFAFE0" w14:textId="3C4B4600" w:rsidR="00C16740" w:rsidRPr="007D1F16" w:rsidRDefault="00C16740" w:rsidP="007D1F16">
      <w:pPr>
        <w:pStyle w:val="FootnoteText"/>
        <w:ind w:left="567" w:hanging="567"/>
        <w:rPr>
          <w:sz w:val="24"/>
          <w:lang w:val="da-DK"/>
        </w:rPr>
      </w:pPr>
      <w:r w:rsidRPr="007D1F16">
        <w:rPr>
          <w:rStyle w:val="FootnoteReference"/>
          <w:sz w:val="24"/>
          <w:lang w:val="da-DK"/>
        </w:rPr>
        <w:footnoteRef/>
      </w:r>
      <w:r w:rsidR="007D1F16" w:rsidRPr="007D1F16">
        <w:rPr>
          <w:sz w:val="24"/>
          <w:lang w:val="da-DK"/>
        </w:rPr>
        <w:t xml:space="preserve"> </w:t>
      </w:r>
      <w:r w:rsidR="007D1F16" w:rsidRPr="007D1F16">
        <w:rPr>
          <w:sz w:val="24"/>
          <w:lang w:val="da-DK"/>
        </w:rPr>
        <w:tab/>
      </w:r>
      <w:r w:rsidRPr="007D1F16">
        <w:rPr>
          <w:sz w:val="24"/>
          <w:lang w:val="da-DK"/>
        </w:rPr>
        <w:t>Europa-Parlamentets og Rådets forordning (EU) 2021/695 af 28. april 2021 om oprettelse af Horisont Europa – rammeprogrammet for forskning og innovation – og om reglerne for deltagelse og formidling og om ophævelse af forordning (EU) nr. 1290/2013 og (EU) nr. 1291/2013 (EUT L 170 af 12.5.2021, s. 1, ELI:</w:t>
      </w:r>
      <w:r w:rsidRPr="007D1F16">
        <w:rPr>
          <w:color w:val="000000" w:themeColor="text1"/>
          <w:sz w:val="24"/>
          <w:lang w:val="da-DK"/>
        </w:rPr>
        <w:t xml:space="preserve"> </w:t>
      </w:r>
      <w:hyperlink r:id="rId43" w:history="1">
        <w:r w:rsidRPr="007D1F16">
          <w:rPr>
            <w:rStyle w:val="Hyperlink"/>
            <w:color w:val="000000" w:themeColor="text1"/>
            <w:sz w:val="24"/>
            <w:lang w:val="da-DK"/>
          </w:rPr>
          <w:t>http://data.europa.eu/eli/reg/2021/695/oj</w:t>
        </w:r>
      </w:hyperlink>
      <w:r w:rsidRPr="007D1F16">
        <w:rPr>
          <w:sz w:val="24"/>
          <w:lang w:val="da-DK"/>
        </w:rPr>
        <w:t>).</w:t>
      </w:r>
    </w:p>
  </w:footnote>
  <w:footnote w:id="48">
    <w:p w14:paraId="499B190A" w14:textId="7A93B7C0" w:rsidR="00C16740" w:rsidRPr="007D1F16" w:rsidRDefault="00C16740" w:rsidP="007D1F16">
      <w:pPr>
        <w:pStyle w:val="FootnoteText"/>
        <w:ind w:left="567" w:hanging="567"/>
        <w:rPr>
          <w:sz w:val="24"/>
          <w:lang w:val="da-DK"/>
        </w:rPr>
      </w:pPr>
      <w:r w:rsidRPr="007D1F16">
        <w:rPr>
          <w:rStyle w:val="FootnoteReference"/>
          <w:sz w:val="24"/>
          <w:lang w:val="da-DK"/>
        </w:rPr>
        <w:footnoteRef/>
      </w:r>
      <w:r w:rsidR="007D1F16" w:rsidRPr="007D1F16">
        <w:rPr>
          <w:sz w:val="24"/>
          <w:lang w:val="da-DK"/>
        </w:rPr>
        <w:t xml:space="preserve"> </w:t>
      </w:r>
      <w:r w:rsidR="007D1F16" w:rsidRPr="007D1F16">
        <w:rPr>
          <w:sz w:val="24"/>
          <w:lang w:val="da-DK"/>
        </w:rPr>
        <w:tab/>
      </w:r>
      <w:r w:rsidRPr="007D1F16">
        <w:rPr>
          <w:sz w:val="24"/>
          <w:lang w:val="da-DK"/>
        </w:rPr>
        <w:t>Henstilling med henblik på Rådets afgørelse af 18. april 2024 om bemyndigelse til at indlede forhandlinger om en aftale mellem Den Europæiske Union og Det Forenede Kongerige Storbritannien og Nordirland om unges mobilitet (COM(2024)0169).</w:t>
      </w:r>
    </w:p>
  </w:footnote>
  <w:footnote w:id="49">
    <w:p w14:paraId="5E1C675A" w14:textId="7E956648" w:rsidR="00C16740" w:rsidRPr="007D1F16" w:rsidRDefault="00C16740" w:rsidP="007D1F16">
      <w:pPr>
        <w:pStyle w:val="FootnoteText"/>
        <w:ind w:left="567" w:hanging="567"/>
        <w:rPr>
          <w:sz w:val="24"/>
          <w:lang w:val="da-DK"/>
        </w:rPr>
      </w:pPr>
      <w:r w:rsidRPr="007D1F16">
        <w:rPr>
          <w:rStyle w:val="FootnoteReference"/>
          <w:sz w:val="24"/>
          <w:lang w:val="da-DK"/>
        </w:rPr>
        <w:footnoteRef/>
      </w:r>
      <w:r w:rsidR="007D1F16" w:rsidRPr="007D1F16">
        <w:rPr>
          <w:sz w:val="24"/>
          <w:lang w:val="da-DK"/>
        </w:rPr>
        <w:t xml:space="preserve"> </w:t>
      </w:r>
      <w:r w:rsidR="007D1F16" w:rsidRPr="007D1F16">
        <w:rPr>
          <w:sz w:val="24"/>
          <w:lang w:val="da-DK"/>
        </w:rPr>
        <w:tab/>
      </w:r>
      <w:r w:rsidRPr="007D1F16">
        <w:rPr>
          <w:sz w:val="24"/>
          <w:lang w:val="da-DK"/>
        </w:rPr>
        <w:t>Med undtagelse af irske statsborgere.</w:t>
      </w:r>
    </w:p>
  </w:footnote>
  <w:footnote w:id="50">
    <w:p w14:paraId="02B5D5EB" w14:textId="44F42C21" w:rsidR="00C16740" w:rsidRPr="007D1F16" w:rsidRDefault="00C16740" w:rsidP="007D1F16">
      <w:pPr>
        <w:pStyle w:val="FootnoteText"/>
        <w:ind w:left="567" w:hanging="567"/>
        <w:rPr>
          <w:sz w:val="24"/>
          <w:lang w:val="da-DK"/>
        </w:rPr>
      </w:pPr>
      <w:r w:rsidRPr="007D1F16">
        <w:rPr>
          <w:rStyle w:val="FootnoteReference"/>
          <w:sz w:val="24"/>
          <w:lang w:val="da-DK"/>
        </w:rPr>
        <w:footnoteRef/>
      </w:r>
      <w:r w:rsidR="007D1F16" w:rsidRPr="007D1F16">
        <w:rPr>
          <w:sz w:val="24"/>
          <w:lang w:val="da-DK"/>
        </w:rPr>
        <w:t xml:space="preserve"> </w:t>
      </w:r>
      <w:r w:rsidR="007D1F16" w:rsidRPr="007D1F16">
        <w:rPr>
          <w:sz w:val="24"/>
          <w:lang w:val="da-DK"/>
        </w:rPr>
        <w:tab/>
      </w:r>
      <w:r w:rsidRPr="007D1F16">
        <w:rPr>
          <w:sz w:val="24"/>
          <w:lang w:val="da-DK"/>
        </w:rPr>
        <w:t xml:space="preserve">Det skotske system for videregående uddannelse adskiller sig fra resten af Det Forenede Kongeriges, hvorfor det betragtes som en særskilt enhed inden for Bolognaprocessen (det europæiske område for videregående uddannelse, "Det Forenede Kongerige (Skotland)", </w:t>
      </w:r>
      <w:hyperlink r:id="rId44" w:history="1">
        <w:r w:rsidRPr="007D1F16">
          <w:rPr>
            <w:rStyle w:val="Hyperlink"/>
            <w:sz w:val="24"/>
            <w:lang w:val="da-DK"/>
          </w:rPr>
          <w:t>https://ehea.info/page-united-kingdom-scotland</w:t>
        </w:r>
      </w:hyperlink>
      <w:r w:rsidRPr="007D1F16">
        <w:rPr>
          <w:rStyle w:val="Hyperlink"/>
          <w:sz w:val="24"/>
          <w:lang w:val="da-DK"/>
        </w:rPr>
        <w:t>.</w:t>
      </w:r>
    </w:p>
  </w:footnote>
  <w:footnote w:id="51">
    <w:p w14:paraId="14DC5345" w14:textId="5B419CEC" w:rsidR="00C16740" w:rsidRPr="007D1F16" w:rsidRDefault="00C16740" w:rsidP="007D1F16">
      <w:pPr>
        <w:pStyle w:val="FootnoteText"/>
        <w:ind w:left="567" w:hanging="567"/>
        <w:rPr>
          <w:sz w:val="24"/>
          <w:lang w:val="da-DK"/>
        </w:rPr>
      </w:pPr>
      <w:r w:rsidRPr="007D1F16">
        <w:rPr>
          <w:rStyle w:val="FootnoteReference"/>
          <w:sz w:val="24"/>
          <w:lang w:val="da-DK"/>
        </w:rPr>
        <w:footnoteRef/>
      </w:r>
      <w:r w:rsidR="007D1F16" w:rsidRPr="007D1F16">
        <w:rPr>
          <w:sz w:val="24"/>
          <w:lang w:val="da-DK"/>
        </w:rPr>
        <w:t xml:space="preserve"> </w:t>
      </w:r>
      <w:r w:rsidR="007D1F16" w:rsidRPr="007D1F16">
        <w:rPr>
          <w:sz w:val="24"/>
          <w:lang w:val="da-DK"/>
        </w:rPr>
        <w:tab/>
      </w:r>
      <w:r w:rsidRPr="007D1F16">
        <w:rPr>
          <w:sz w:val="24"/>
          <w:lang w:val="da-DK"/>
        </w:rPr>
        <w:t>Rådets rammeafgørelse</w:t>
      </w:r>
      <w:r w:rsidR="00A72EA8">
        <w:rPr>
          <w:sz w:val="24"/>
          <w:lang w:val="da-DK"/>
        </w:rPr>
        <w:t xml:space="preserve"> </w:t>
      </w:r>
      <w:r w:rsidR="00A72EA8" w:rsidRPr="00A72EA8">
        <w:rPr>
          <w:sz w:val="24"/>
          <w:lang w:val="da-DK"/>
        </w:rPr>
        <w:t>2002/584/</w:t>
      </w:r>
      <w:r w:rsidR="00A72EA8">
        <w:rPr>
          <w:sz w:val="24"/>
          <w:lang w:val="da-DK"/>
        </w:rPr>
        <w:t>RIA</w:t>
      </w:r>
      <w:r w:rsidRPr="007D1F16">
        <w:rPr>
          <w:sz w:val="24"/>
          <w:lang w:val="da-DK"/>
        </w:rPr>
        <w:t xml:space="preserve"> af 13. juni 2002 om den europæiske arrestordre og om procedurerne for overgivelse mellem medlemsstaterne (EUT L 190 af 18.7.2002, s. 1, ELI: </w:t>
      </w:r>
      <w:hyperlink r:id="rId45" w:history="1">
        <w:r w:rsidRPr="007D1F16">
          <w:rPr>
            <w:rStyle w:val="Hyperlink"/>
            <w:sz w:val="24"/>
            <w:lang w:val="da-DK"/>
          </w:rPr>
          <w:t>http://data.europa.eu/eli/dec_framw/2002/584/oj</w:t>
        </w:r>
      </w:hyperlink>
      <w:r w:rsidRPr="007D1F16">
        <w:rPr>
          <w:rStyle w:val="Hyperlink"/>
          <w:sz w:val="24"/>
          <w:lang w:val="da-DK"/>
        </w:rPr>
        <w:t>)</w:t>
      </w:r>
      <w:r w:rsidRPr="007D1F16">
        <w:rPr>
          <w:sz w:val="24"/>
          <w:lang w:val="da-DK"/>
        </w:rPr>
        <w:t>.</w:t>
      </w:r>
    </w:p>
  </w:footnote>
  <w:footnote w:id="52">
    <w:p w14:paraId="637328B3" w14:textId="2A36E0C5" w:rsidR="00C16740" w:rsidRPr="007D1F16" w:rsidRDefault="00C16740" w:rsidP="007D1F16">
      <w:pPr>
        <w:pStyle w:val="FootnoteText"/>
        <w:ind w:left="567" w:hanging="567"/>
        <w:rPr>
          <w:sz w:val="24"/>
          <w:lang w:val="da-DK"/>
        </w:rPr>
      </w:pPr>
      <w:r w:rsidRPr="007D1F16">
        <w:rPr>
          <w:rStyle w:val="FootnoteReference"/>
          <w:sz w:val="24"/>
          <w:lang w:val="da-DK"/>
        </w:rPr>
        <w:footnoteRef/>
      </w:r>
      <w:r w:rsidR="007D1F16" w:rsidRPr="007D1F16">
        <w:rPr>
          <w:sz w:val="24"/>
          <w:lang w:val="da-DK"/>
        </w:rPr>
        <w:t xml:space="preserve"> </w:t>
      </w:r>
      <w:r w:rsidR="007D1F16" w:rsidRPr="007D1F16">
        <w:rPr>
          <w:sz w:val="24"/>
          <w:lang w:val="da-DK"/>
        </w:rPr>
        <w:tab/>
      </w:r>
      <w:r w:rsidRPr="007D1F16">
        <w:rPr>
          <w:sz w:val="24"/>
          <w:lang w:val="da-DK"/>
        </w:rPr>
        <w:t>Domstolens dom af 29. juli 2024 i sag C-202/24 [Alchaster], ECLI:EU:C:2024:649.</w:t>
      </w:r>
    </w:p>
  </w:footnote>
  <w:footnote w:id="53">
    <w:p w14:paraId="53ED596E" w14:textId="0AE2F809" w:rsidR="00C16740" w:rsidRPr="007D1F16" w:rsidRDefault="00C16740" w:rsidP="007D1F16">
      <w:pPr>
        <w:pStyle w:val="FootnoteText"/>
        <w:ind w:left="567" w:hanging="567"/>
        <w:rPr>
          <w:sz w:val="24"/>
          <w:lang w:val="da-DK"/>
        </w:rPr>
      </w:pPr>
      <w:r w:rsidRPr="007D1F16">
        <w:rPr>
          <w:rStyle w:val="FootnoteReference"/>
          <w:sz w:val="24"/>
          <w:lang w:val="da-DK"/>
        </w:rPr>
        <w:footnoteRef/>
      </w:r>
      <w:r w:rsidR="007D1F16" w:rsidRPr="007D1F16">
        <w:rPr>
          <w:sz w:val="24"/>
          <w:lang w:val="da-DK"/>
        </w:rPr>
        <w:t xml:space="preserve"> </w:t>
      </w:r>
      <w:r w:rsidR="007D1F16" w:rsidRPr="007D1F16">
        <w:rPr>
          <w:sz w:val="24"/>
          <w:lang w:val="da-DK"/>
        </w:rPr>
        <w:tab/>
      </w:r>
      <w:r w:rsidRPr="007D1F16">
        <w:rPr>
          <w:sz w:val="24"/>
          <w:lang w:val="da-DK"/>
        </w:rPr>
        <w:t xml:space="preserve">Rådets forordning (EU) 2025/1106 af 27. maj 2025 om oprettelse af instrumentet for sikkerhedstiltag for Europa (SAFE) gennem styrkelse af den europæiske forsvarsindustri (EUT L, 2025/1106, 28.5.2025, ELI: http://data.europa.eu/eli/reg/2025/1106/oj). </w:t>
      </w:r>
      <w:hyperlink r:id="rId46" w:history="1">
        <w:r w:rsidRPr="007D1F16">
          <w:rPr>
            <w:rStyle w:val="Hyperlink"/>
            <w:sz w:val="24"/>
            <w:lang w:val="da-DK"/>
          </w:rPr>
          <w:t>http://data.europa.eu/eli/reg/2025/1106/oj</w:t>
        </w:r>
      </w:hyperlink>
      <w:r w:rsidRPr="007D1F16">
        <w:rPr>
          <w:sz w:val="24"/>
          <w:lang w:val="da-DK"/>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8EF35" w14:textId="77777777" w:rsidR="00064002" w:rsidRPr="007D1F1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C8BE1" w14:textId="77777777" w:rsidR="00064002" w:rsidRPr="007D1F1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CD4C0" w14:textId="77777777" w:rsidR="00064002" w:rsidRPr="007D1F1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15466642">
    <w:abstractNumId w:val="9"/>
  </w:num>
  <w:num w:numId="2" w16cid:durableId="396783631">
    <w:abstractNumId w:val="9"/>
  </w:num>
  <w:num w:numId="3" w16cid:durableId="993333969">
    <w:abstractNumId w:val="7"/>
  </w:num>
  <w:num w:numId="4" w16cid:durableId="972097881">
    <w:abstractNumId w:val="7"/>
  </w:num>
  <w:num w:numId="5" w16cid:durableId="411200523">
    <w:abstractNumId w:val="6"/>
  </w:num>
  <w:num w:numId="6" w16cid:durableId="1959334639">
    <w:abstractNumId w:val="6"/>
  </w:num>
  <w:num w:numId="7" w16cid:durableId="249580246">
    <w:abstractNumId w:val="5"/>
  </w:num>
  <w:num w:numId="8" w16cid:durableId="2024936445">
    <w:abstractNumId w:val="5"/>
  </w:num>
  <w:num w:numId="9" w16cid:durableId="505482118">
    <w:abstractNumId w:val="4"/>
  </w:num>
  <w:num w:numId="10" w16cid:durableId="1352679703">
    <w:abstractNumId w:val="4"/>
  </w:num>
  <w:num w:numId="11" w16cid:durableId="74255209">
    <w:abstractNumId w:val="8"/>
  </w:num>
  <w:num w:numId="12" w16cid:durableId="1355694416">
    <w:abstractNumId w:val="8"/>
  </w:num>
  <w:num w:numId="13" w16cid:durableId="601451500">
    <w:abstractNumId w:val="3"/>
  </w:num>
  <w:num w:numId="14" w16cid:durableId="2031446557">
    <w:abstractNumId w:val="3"/>
  </w:num>
  <w:num w:numId="15" w16cid:durableId="2042052636">
    <w:abstractNumId w:val="2"/>
  </w:num>
  <w:num w:numId="16" w16cid:durableId="600842288">
    <w:abstractNumId w:val="2"/>
  </w:num>
  <w:num w:numId="17" w16cid:durableId="864441043">
    <w:abstractNumId w:val="1"/>
  </w:num>
  <w:num w:numId="18" w16cid:durableId="1842697048">
    <w:abstractNumId w:val="1"/>
  </w:num>
  <w:num w:numId="19" w16cid:durableId="441653802">
    <w:abstractNumId w:val="0"/>
  </w:num>
  <w:num w:numId="20" w16cid:durableId="691146088">
    <w:abstractNumId w:val="0"/>
  </w:num>
  <w:num w:numId="21" w16cid:durableId="331185678">
    <w:abstractNumId w:val="9"/>
  </w:num>
  <w:num w:numId="22" w16cid:durableId="192813617">
    <w:abstractNumId w:val="7"/>
  </w:num>
  <w:num w:numId="23" w16cid:durableId="578949024">
    <w:abstractNumId w:val="6"/>
  </w:num>
  <w:num w:numId="24" w16cid:durableId="918832077">
    <w:abstractNumId w:val="5"/>
  </w:num>
  <w:num w:numId="25" w16cid:durableId="784082033">
    <w:abstractNumId w:val="4"/>
  </w:num>
  <w:num w:numId="26" w16cid:durableId="634532613">
    <w:abstractNumId w:val="8"/>
  </w:num>
  <w:num w:numId="27" w16cid:durableId="238290826">
    <w:abstractNumId w:val="3"/>
  </w:num>
  <w:num w:numId="28" w16cid:durableId="1032534997">
    <w:abstractNumId w:val="2"/>
  </w:num>
  <w:num w:numId="29" w16cid:durableId="2016569568">
    <w:abstractNumId w:val="1"/>
  </w:num>
  <w:num w:numId="30" w16cid:durableId="64303071">
    <w:abstractNumId w:val="0"/>
  </w:num>
  <w:num w:numId="31" w16cid:durableId="384793895">
    <w:abstractNumId w:val="9"/>
  </w:num>
  <w:num w:numId="32" w16cid:durableId="1827088066">
    <w:abstractNumId w:val="7"/>
  </w:num>
  <w:num w:numId="33" w16cid:durableId="719866204">
    <w:abstractNumId w:val="6"/>
  </w:num>
  <w:num w:numId="34" w16cid:durableId="275523041">
    <w:abstractNumId w:val="5"/>
  </w:num>
  <w:num w:numId="35" w16cid:durableId="1763526200">
    <w:abstractNumId w:val="4"/>
  </w:num>
  <w:num w:numId="36" w16cid:durableId="439422256">
    <w:abstractNumId w:val="8"/>
  </w:num>
  <w:num w:numId="37" w16cid:durableId="909382923">
    <w:abstractNumId w:val="3"/>
  </w:num>
  <w:num w:numId="38" w16cid:durableId="1483892484">
    <w:abstractNumId w:val="2"/>
  </w:num>
  <w:num w:numId="39" w16cid:durableId="1497568550">
    <w:abstractNumId w:val="1"/>
  </w:num>
  <w:num w:numId="40" w16cid:durableId="33163262">
    <w:abstractNumId w:val="0"/>
  </w:num>
  <w:num w:numId="41" w16cid:durableId="1375158514">
    <w:abstractNumId w:val="10"/>
  </w:num>
  <w:num w:numId="42" w16cid:durableId="1636912794">
    <w:abstractNumId w:val="10"/>
  </w:num>
  <w:num w:numId="43" w16cid:durableId="1817255961">
    <w:abstractNumId w:val="10"/>
  </w:num>
  <w:num w:numId="44" w16cid:durableId="8639071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6/2025"/>
    <w:docVar w:name="dvlangue" w:val="DA"/>
    <w:docVar w:name="dvnumam" w:val="317"/>
    <w:docVar w:name="dvpe" w:val="768.086"/>
    <w:docVar w:name="dvrapporteur" w:val="Ordfører: "/>
    <w:docVar w:name="dvtitre" w:val="Europa-Parlamentets beslutning af xx.xx 2025 om gennemførelsen af handels- og samarbejdsaftalen mellem EU og Det Forenede Kongerige(2024/2108(INI))"/>
  </w:docVars>
  <w:rsids>
    <w:rsidRoot w:val="003A358B"/>
    <w:rsid w:val="00002272"/>
    <w:rsid w:val="00064002"/>
    <w:rsid w:val="000677B9"/>
    <w:rsid w:val="000831BA"/>
    <w:rsid w:val="000A42CC"/>
    <w:rsid w:val="000B3719"/>
    <w:rsid w:val="000E7DD9"/>
    <w:rsid w:val="0010095E"/>
    <w:rsid w:val="001052AE"/>
    <w:rsid w:val="001139BB"/>
    <w:rsid w:val="00116266"/>
    <w:rsid w:val="00125B37"/>
    <w:rsid w:val="00175BCE"/>
    <w:rsid w:val="00187494"/>
    <w:rsid w:val="001F32AE"/>
    <w:rsid w:val="00270080"/>
    <w:rsid w:val="002767FF"/>
    <w:rsid w:val="0028021A"/>
    <w:rsid w:val="002A41F7"/>
    <w:rsid w:val="002B18FE"/>
    <w:rsid w:val="002B5493"/>
    <w:rsid w:val="002E2010"/>
    <w:rsid w:val="002E44BC"/>
    <w:rsid w:val="00307982"/>
    <w:rsid w:val="00343214"/>
    <w:rsid w:val="00361C00"/>
    <w:rsid w:val="0039423A"/>
    <w:rsid w:val="00395FA1"/>
    <w:rsid w:val="003A358B"/>
    <w:rsid w:val="003E15D4"/>
    <w:rsid w:val="00411CCE"/>
    <w:rsid w:val="0041666E"/>
    <w:rsid w:val="00421060"/>
    <w:rsid w:val="00471C19"/>
    <w:rsid w:val="004867E3"/>
    <w:rsid w:val="00494A28"/>
    <w:rsid w:val="004C0004"/>
    <w:rsid w:val="004C5D52"/>
    <w:rsid w:val="0050519A"/>
    <w:rsid w:val="005072A1"/>
    <w:rsid w:val="00514517"/>
    <w:rsid w:val="00531033"/>
    <w:rsid w:val="00545827"/>
    <w:rsid w:val="00560270"/>
    <w:rsid w:val="005C2568"/>
    <w:rsid w:val="005F1B17"/>
    <w:rsid w:val="006037C0"/>
    <w:rsid w:val="006631B6"/>
    <w:rsid w:val="00680577"/>
    <w:rsid w:val="00680CC1"/>
    <w:rsid w:val="00686BDF"/>
    <w:rsid w:val="006F74FA"/>
    <w:rsid w:val="00731ADD"/>
    <w:rsid w:val="00734777"/>
    <w:rsid w:val="00747932"/>
    <w:rsid w:val="00751A4A"/>
    <w:rsid w:val="00756632"/>
    <w:rsid w:val="00762C74"/>
    <w:rsid w:val="00786EC0"/>
    <w:rsid w:val="007D1690"/>
    <w:rsid w:val="007D1F16"/>
    <w:rsid w:val="007E22AD"/>
    <w:rsid w:val="00817416"/>
    <w:rsid w:val="00842779"/>
    <w:rsid w:val="00865F67"/>
    <w:rsid w:val="00881A7B"/>
    <w:rsid w:val="008840E5"/>
    <w:rsid w:val="00887B3E"/>
    <w:rsid w:val="008C1165"/>
    <w:rsid w:val="008C2AC6"/>
    <w:rsid w:val="00930C23"/>
    <w:rsid w:val="0093193B"/>
    <w:rsid w:val="009509D8"/>
    <w:rsid w:val="00950B64"/>
    <w:rsid w:val="00981893"/>
    <w:rsid w:val="00A1687D"/>
    <w:rsid w:val="00A43E52"/>
    <w:rsid w:val="00A4678D"/>
    <w:rsid w:val="00A72EA8"/>
    <w:rsid w:val="00A778C7"/>
    <w:rsid w:val="00AB441E"/>
    <w:rsid w:val="00AB6293"/>
    <w:rsid w:val="00AD582A"/>
    <w:rsid w:val="00AE0928"/>
    <w:rsid w:val="00AF3B82"/>
    <w:rsid w:val="00B12E95"/>
    <w:rsid w:val="00B22876"/>
    <w:rsid w:val="00B558F0"/>
    <w:rsid w:val="00BD48FE"/>
    <w:rsid w:val="00BD7BD8"/>
    <w:rsid w:val="00BE6ADC"/>
    <w:rsid w:val="00C05BFE"/>
    <w:rsid w:val="00C16740"/>
    <w:rsid w:val="00C23CD4"/>
    <w:rsid w:val="00C61C0C"/>
    <w:rsid w:val="00C923A2"/>
    <w:rsid w:val="00C941CB"/>
    <w:rsid w:val="00CC2357"/>
    <w:rsid w:val="00CF071A"/>
    <w:rsid w:val="00D058B8"/>
    <w:rsid w:val="00D56C11"/>
    <w:rsid w:val="00D813AD"/>
    <w:rsid w:val="00D834A0"/>
    <w:rsid w:val="00D872DF"/>
    <w:rsid w:val="00D91E21"/>
    <w:rsid w:val="00DA7FCD"/>
    <w:rsid w:val="00E365E1"/>
    <w:rsid w:val="00E820A4"/>
    <w:rsid w:val="00E96B25"/>
    <w:rsid w:val="00EA55F5"/>
    <w:rsid w:val="00EB006A"/>
    <w:rsid w:val="00EB4772"/>
    <w:rsid w:val="00EB7311"/>
    <w:rsid w:val="00ED169E"/>
    <w:rsid w:val="00ED4235"/>
    <w:rsid w:val="00F04346"/>
    <w:rsid w:val="00F075DC"/>
    <w:rsid w:val="00F149E9"/>
    <w:rsid w:val="00F420DD"/>
    <w:rsid w:val="00F5134D"/>
    <w:rsid w:val="00F74202"/>
    <w:rsid w:val="00F827F7"/>
    <w:rsid w:val="00F87713"/>
    <w:rsid w:val="00FB4360"/>
    <w:rsid w:val="00FB7E1B"/>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73293A"/>
  <w15:chartTrackingRefBased/>
  <w15:docId w15:val="{2E664697-3A95-40AE-A698-9AB6C4C2A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Title" w:qFormat="1"/>
    <w:lsdException w:name="Subtitle" w:qFormat="1"/>
    <w:lsdException w:name="Hyperlink"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C16740"/>
    <w:pPr>
      <w:spacing w:after="240"/>
      <w:ind w:left="567" w:hanging="567"/>
    </w:pPr>
  </w:style>
  <w:style w:type="paragraph" w:customStyle="1" w:styleId="EPComma">
    <w:name w:val="EPComma"/>
    <w:basedOn w:val="Normal"/>
    <w:rsid w:val="00C16740"/>
    <w:pPr>
      <w:spacing w:before="480" w:after="240"/>
    </w:pPr>
  </w:style>
  <w:style w:type="character" w:styleId="Hyperlink">
    <w:name w:val="Hyperlink"/>
    <w:basedOn w:val="DefaultParagraphFont"/>
    <w:unhideWhenUsed/>
    <w:qFormat/>
    <w:rsid w:val="00C16740"/>
    <w:rPr>
      <w:color w:val="0563C1" w:themeColor="hyperlink"/>
      <w:u w:val="single"/>
    </w:rPr>
  </w:style>
  <w:style w:type="character" w:customStyle="1" w:styleId="NormalHanging12aChar">
    <w:name w:val="NormalHanging12a Char"/>
    <w:basedOn w:val="DefaultParagraphFont"/>
    <w:link w:val="NormalHanging12a"/>
    <w:locked/>
    <w:rsid w:val="00C16740"/>
    <w:rPr>
      <w:sz w:val="24"/>
      <w:lang w:val="da-DK"/>
    </w:rPr>
  </w:style>
  <w:style w:type="paragraph" w:styleId="Revision">
    <w:name w:val="Revision"/>
    <w:hidden/>
    <w:uiPriority w:val="99"/>
    <w:semiHidden/>
    <w:rsid w:val="00116266"/>
    <w:rPr>
      <w:sz w:val="24"/>
      <w:lang w:val="da-DK"/>
    </w:rPr>
  </w:style>
  <w:style w:type="character" w:styleId="CommentReference">
    <w:name w:val="annotation reference"/>
    <w:basedOn w:val="DefaultParagraphFont"/>
    <w:rsid w:val="00116266"/>
    <w:rPr>
      <w:sz w:val="16"/>
      <w:szCs w:val="16"/>
    </w:rPr>
  </w:style>
  <w:style w:type="paragraph" w:styleId="CommentText">
    <w:name w:val="annotation text"/>
    <w:basedOn w:val="Normal"/>
    <w:link w:val="CommentTextChar"/>
    <w:rsid w:val="00116266"/>
    <w:rPr>
      <w:sz w:val="20"/>
    </w:rPr>
  </w:style>
  <w:style w:type="character" w:customStyle="1" w:styleId="CommentTextChar">
    <w:name w:val="Comment Text Char"/>
    <w:basedOn w:val="DefaultParagraphFont"/>
    <w:link w:val="CommentText"/>
    <w:rsid w:val="00116266"/>
    <w:rPr>
      <w:lang w:val="da-DK"/>
    </w:rPr>
  </w:style>
  <w:style w:type="paragraph" w:styleId="CommentSubject">
    <w:name w:val="annotation subject"/>
    <w:basedOn w:val="CommentText"/>
    <w:next w:val="CommentText"/>
    <w:link w:val="CommentSubjectChar"/>
    <w:rsid w:val="00116266"/>
    <w:rPr>
      <w:b/>
      <w:bCs/>
    </w:rPr>
  </w:style>
  <w:style w:type="character" w:customStyle="1" w:styleId="CommentSubjectChar">
    <w:name w:val="Comment Subject Char"/>
    <w:basedOn w:val="CommentTextChar"/>
    <w:link w:val="CommentSubject"/>
    <w:rsid w:val="00116266"/>
    <w:rPr>
      <w:b/>
      <w:bCs/>
      <w:lang w:val="da-DK"/>
    </w:rPr>
  </w:style>
  <w:style w:type="paragraph" w:styleId="ListParagraph">
    <w:name w:val="List Paragraph"/>
    <w:basedOn w:val="Normal"/>
    <w:uiPriority w:val="34"/>
    <w:qFormat/>
    <w:rsid w:val="00F827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ec/2023/1460/oj" TargetMode="External"/><Relationship Id="rId18" Type="http://schemas.openxmlformats.org/officeDocument/2006/relationships/hyperlink" Target="https://www.gov.uk/government/publications/turing-scheme-funding-outcomes-2022-to-2023/turing-scheme-funding-outcomes-for-the-2022-to-2023-academic-year" TargetMode="External"/><Relationship Id="rId26" Type="http://schemas.openxmlformats.org/officeDocument/2006/relationships/hyperlink" Target="http://data.europa.eu/eli/reg/2024/1689/oj" TargetMode="External"/><Relationship Id="rId39" Type="http://schemas.openxmlformats.org/officeDocument/2006/relationships/hyperlink" Target="http://data.europa.eu/eli/dec_impl/2022/1973/oj" TargetMode="External"/><Relationship Id="rId21" Type="http://schemas.openxmlformats.org/officeDocument/2006/relationships/hyperlink" Target="https://www.hesa.ac.uk/news/08-08-2024/sb269-higher-education-student-statistics/location" TargetMode="External"/><Relationship Id="rId34" Type="http://schemas.openxmlformats.org/officeDocument/2006/relationships/hyperlink" Target="http://data.europa.eu/eli/dir/2011/24/oj" TargetMode="External"/><Relationship Id="rId42" Type="http://schemas.openxmlformats.org/officeDocument/2006/relationships/hyperlink" Target="http://data.europa.eu/eli/C/2024/6341/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treaty/withd_2020/sign" TargetMode="External"/><Relationship Id="rId16" Type="http://schemas.openxmlformats.org/officeDocument/2006/relationships/hyperlink" Target="https://ima-citizensrights.org.uk/blog/ima-focus-on-citizens-rights-in-northern-ireland/" TargetMode="External"/><Relationship Id="rId29" Type="http://schemas.openxmlformats.org/officeDocument/2006/relationships/hyperlink" Target="http://data.europa.eu/eli/reg/2022/2065/oj" TargetMode="External"/><Relationship Id="rId1" Type="http://schemas.openxmlformats.org/officeDocument/2006/relationships/hyperlink" Target="http://data.europa.eu/eli/agree_internation/2021/689(1)/oj" TargetMode="External"/><Relationship Id="rId6" Type="http://schemas.openxmlformats.org/officeDocument/2006/relationships/hyperlink" Target="http://data.europa.eu/eli/reg/2021/1755/oj" TargetMode="External"/><Relationship Id="rId11" Type="http://schemas.openxmlformats.org/officeDocument/2006/relationships/hyperlink" Target="https://pca-cpa.org/en/cases/334/" TargetMode="External"/><Relationship Id="rId24" Type="http://schemas.openxmlformats.org/officeDocument/2006/relationships/hyperlink" Target="http://data.europa.eu/eli/dir/2010/13/oj" TargetMode="External"/><Relationship Id="rId32" Type="http://schemas.openxmlformats.org/officeDocument/2006/relationships/hyperlink" Target="http://data.europa.eu/eli/dir/2011/61/oj" TargetMode="External"/><Relationship Id="rId37" Type="http://schemas.openxmlformats.org/officeDocument/2006/relationships/hyperlink" Target="http://data.europa.eu/eli/reg/2008/1008/oj" TargetMode="External"/><Relationship Id="rId40" Type="http://schemas.openxmlformats.org/officeDocument/2006/relationships/hyperlink" Target="http://data.europa.eu/eli/dir/2022/993/oj" TargetMode="External"/><Relationship Id="rId45" Type="http://schemas.openxmlformats.org/officeDocument/2006/relationships/hyperlink" Target="http://data.europa.eu/eli/dec_framw/2002/584/oj" TargetMode="External"/><Relationship Id="rId5" Type="http://schemas.openxmlformats.org/officeDocument/2006/relationships/hyperlink" Target="http://data.europa.eu/eli/C/2025/4389/oj" TargetMode="External"/><Relationship Id="rId15" Type="http://schemas.openxmlformats.org/officeDocument/2006/relationships/hyperlink" Target="https://ima-citizensrights.org.uk/complaints-data/complaints-to-the-ima-1-january-30-june-2023/" TargetMode="External"/><Relationship Id="rId23" Type="http://schemas.openxmlformats.org/officeDocument/2006/relationships/hyperlink" Target="http://data.europa.eu/eli/treaty/withd_2020/dcl_1/sign" TargetMode="External"/><Relationship Id="rId28" Type="http://schemas.openxmlformats.org/officeDocument/2006/relationships/hyperlink" Target="http://data.europa.eu/eli/reg/2022/1925/oj" TargetMode="External"/><Relationship Id="rId36" Type="http://schemas.openxmlformats.org/officeDocument/2006/relationships/hyperlink" Target="http://data.europa.eu/eli/reg/2017/2394/oj" TargetMode="External"/><Relationship Id="rId10" Type="http://schemas.openxmlformats.org/officeDocument/2006/relationships/hyperlink" Target="http://data.europa.eu/eli/C/2025/3151/oj" TargetMode="External"/><Relationship Id="rId19" Type="http://schemas.openxmlformats.org/officeDocument/2006/relationships/hyperlink" Target="https://dera.ioe.ac.uk/id/eprint/31640/1/Gone%20International_expanding%20opportunities_digital.pdf" TargetMode="External"/><Relationship Id="rId31" Type="http://schemas.openxmlformats.org/officeDocument/2006/relationships/hyperlink" Target="http://data.europa.eu/eli/reg/2012/648/oj" TargetMode="External"/><Relationship Id="rId44" Type="http://schemas.openxmlformats.org/officeDocument/2006/relationships/hyperlink" Target="https://ehea.info/page-united-kingdom-scotland" TargetMode="External"/><Relationship Id="rId4" Type="http://schemas.openxmlformats.org/officeDocument/2006/relationships/hyperlink" Target="http://data.europa.eu/eli/C/2025/4388/oj" TargetMode="External"/><Relationship Id="rId9" Type="http://schemas.openxmlformats.org/officeDocument/2006/relationships/hyperlink" Target="http://data.europa.eu/eli/C/2024/4222/oj" TargetMode="External"/><Relationship Id="rId14" Type="http://schemas.openxmlformats.org/officeDocument/2006/relationships/hyperlink" Target="https://ima-citizensrights.org.uk/complaints-data/complaints-to-the-ima-1-january-30-june-2023/" TargetMode="External"/><Relationship Id="rId22" Type="http://schemas.openxmlformats.org/officeDocument/2006/relationships/hyperlink" Target="https://www.gov.uk/government/publications/international-education-strategy-2021-update" TargetMode="External"/><Relationship Id="rId27" Type="http://schemas.openxmlformats.org/officeDocument/2006/relationships/hyperlink" Target="http://data.europa.eu/eli/reg/2016/679/oj" TargetMode="External"/><Relationship Id="rId30" Type="http://schemas.openxmlformats.org/officeDocument/2006/relationships/hyperlink" Target="http://data.europa.eu/eli/reg/2023/1114/oj" TargetMode="External"/><Relationship Id="rId35" Type="http://schemas.openxmlformats.org/officeDocument/2006/relationships/hyperlink" Target="http://data.europa.eu/eli/dir/2022/642/oj" TargetMode="External"/><Relationship Id="rId43" Type="http://schemas.openxmlformats.org/officeDocument/2006/relationships/hyperlink" Target="http://data.europa.eu/eli/reg/2021/695/oj" TargetMode="External"/><Relationship Id="rId8" Type="http://schemas.openxmlformats.org/officeDocument/2006/relationships/hyperlink" Target="http://data.europa.eu/eli/reg/2023/657/oj" TargetMode="External"/><Relationship Id="rId3" Type="http://schemas.openxmlformats.org/officeDocument/2006/relationships/hyperlink" Target="https://eur-lex.europa.eu/legal-content/DA/AUTO/?uri=OJ:L:2023:102:TOC" TargetMode="External"/><Relationship Id="rId12" Type="http://schemas.openxmlformats.org/officeDocument/2006/relationships/hyperlink" Target="http://data.europa.eu/eli/dec/2023/698/oj" TargetMode="External"/><Relationship Id="rId17" Type="http://schemas.openxmlformats.org/officeDocument/2006/relationships/hyperlink" Target="https://ec.europa.eu/commission/presscorner/detail/da/statement_25_1267" TargetMode="External"/><Relationship Id="rId25" Type="http://schemas.openxmlformats.org/officeDocument/2006/relationships/hyperlink" Target="https://eur-lex.europa.eu/legal-content/DA/TXT/?uri=CELEX:12019W/DCL(01)" TargetMode="External"/><Relationship Id="rId33" Type="http://schemas.openxmlformats.org/officeDocument/2006/relationships/hyperlink" Target="http://data.europa.eu/eli/reg/2006/1907/oj" TargetMode="External"/><Relationship Id="rId38" Type="http://schemas.openxmlformats.org/officeDocument/2006/relationships/hyperlink" Target="http://data.europa.eu/eli/dir/2024/3237/oj" TargetMode="External"/><Relationship Id="rId46" Type="http://schemas.openxmlformats.org/officeDocument/2006/relationships/hyperlink" Target="http://data.europa.eu/eli/reg/2025/1106/oj" TargetMode="External"/><Relationship Id="rId20" Type="http://schemas.openxmlformats.org/officeDocument/2006/relationships/hyperlink" Target="https://www.thebritishacademy.ac.uk/documents/5022/The_Turing_Scheme_-_Understanding_Impacts_and_Implications.pdf" TargetMode="External"/><Relationship Id="rId41" Type="http://schemas.openxmlformats.org/officeDocument/2006/relationships/hyperlink" Target="http://data.europa.eu/eli/dir/2014/3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Pages>
  <Words>30707</Words>
  <Characters>195085</Characters>
  <Application>Microsoft Office Word</Application>
  <DocSecurity>4</DocSecurity>
  <Lines>1625</Lines>
  <Paragraphs>450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BINKEVICIUTE Aurelija</cp:lastModifiedBy>
  <cp:revision>2</cp:revision>
  <cp:lastPrinted>2004-11-19T15:42:00Z</cp:lastPrinted>
  <dcterms:created xsi:type="dcterms:W3CDTF">2026-03-02T14:37:00Z</dcterms:created>
  <dcterms:modified xsi:type="dcterms:W3CDTF">2026-03-02T14:37:00Z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A10-0226/2025</vt:lpwstr>
  </property>
  <property fmtid="{D5CDD505-2E9C-101B-9397-08002B2CF9AE}" pid="4" name="&lt;Type&gt;">
    <vt:lpwstr>RR</vt:lpwstr>
  </property>
</Properties>
</file>