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6F36" w14:paraId="66F5FA8A" w14:textId="77777777" w:rsidTr="0010095E">
        <w:trPr>
          <w:trHeight w:hRule="exact" w:val="1418"/>
        </w:trPr>
        <w:tc>
          <w:tcPr>
            <w:tcW w:w="6804" w:type="dxa"/>
            <w:shd w:val="clear" w:color="auto" w:fill="auto"/>
            <w:vAlign w:val="center"/>
          </w:tcPr>
          <w:p w14:paraId="48F38DF7" w14:textId="77777777" w:rsidR="00751A4A" w:rsidRPr="00236F36" w:rsidRDefault="006D6C5D" w:rsidP="0010095E">
            <w:pPr>
              <w:pStyle w:val="EPName"/>
            </w:pPr>
            <w:r w:rsidRPr="00236F36">
              <w:t>Parlamentul European</w:t>
            </w:r>
          </w:p>
          <w:p w14:paraId="429A1CB7" w14:textId="77777777" w:rsidR="00751A4A" w:rsidRPr="00236F36" w:rsidRDefault="005F1B17" w:rsidP="005F1B17">
            <w:pPr>
              <w:pStyle w:val="EPTerm"/>
              <w:rPr>
                <w:rStyle w:val="HideTWBExt"/>
                <w:noProof w:val="0"/>
                <w:vanish w:val="0"/>
                <w:color w:val="auto"/>
              </w:rPr>
            </w:pPr>
            <w:r w:rsidRPr="00236F36">
              <w:t>2024</w:t>
            </w:r>
            <w:r w:rsidR="00817416" w:rsidRPr="00236F36">
              <w:t>-202</w:t>
            </w:r>
            <w:r w:rsidRPr="00236F36">
              <w:t>9</w:t>
            </w:r>
          </w:p>
        </w:tc>
        <w:tc>
          <w:tcPr>
            <w:tcW w:w="2268" w:type="dxa"/>
            <w:shd w:val="clear" w:color="auto" w:fill="auto"/>
          </w:tcPr>
          <w:p w14:paraId="2D4C661C" w14:textId="77777777" w:rsidR="00751A4A" w:rsidRPr="00236F36" w:rsidRDefault="00187494" w:rsidP="0010095E">
            <w:pPr>
              <w:pStyle w:val="EPLogo"/>
            </w:pPr>
            <w:r w:rsidRPr="00236F36">
              <w:rPr>
                <w:noProof/>
                <w:lang w:eastAsia="ja-JP"/>
              </w:rPr>
              <w:drawing>
                <wp:inline distT="0" distB="0" distL="0" distR="0" wp14:anchorId="0F8EBE04" wp14:editId="721C56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996D15" w14:textId="77777777" w:rsidR="00D058B8" w:rsidRPr="00236F36" w:rsidRDefault="00D058B8" w:rsidP="004C5D52">
      <w:pPr>
        <w:pStyle w:val="LineTop"/>
      </w:pPr>
    </w:p>
    <w:p w14:paraId="69FA7626" w14:textId="77777777" w:rsidR="00680577" w:rsidRPr="00236F36" w:rsidRDefault="006D6C5D" w:rsidP="00680577">
      <w:pPr>
        <w:pStyle w:val="EPBodyTA1"/>
      </w:pPr>
      <w:r w:rsidRPr="00236F36">
        <w:t>TEXTE ADOPTATE</w:t>
      </w:r>
    </w:p>
    <w:p w14:paraId="4893807F" w14:textId="77777777" w:rsidR="00D058B8" w:rsidRPr="00236F36" w:rsidRDefault="00D058B8" w:rsidP="00D058B8">
      <w:pPr>
        <w:pStyle w:val="LineBottom"/>
      </w:pPr>
    </w:p>
    <w:p w14:paraId="5DB5692B" w14:textId="328462AA" w:rsidR="006D6C5D" w:rsidRPr="00236F36" w:rsidRDefault="006D6C5D" w:rsidP="006D6C5D">
      <w:pPr>
        <w:pStyle w:val="ATHeading1"/>
      </w:pPr>
      <w:bookmarkStart w:id="0" w:name="TANumber"/>
      <w:r w:rsidRPr="00236F36">
        <w:t>P10_TA(2025)0</w:t>
      </w:r>
      <w:r w:rsidR="004D2DBD" w:rsidRPr="00236F36">
        <w:t>307</w:t>
      </w:r>
      <w:bookmarkEnd w:id="0"/>
    </w:p>
    <w:p w14:paraId="13907914" w14:textId="77777777" w:rsidR="006D6C5D" w:rsidRPr="00236F36" w:rsidRDefault="006D6C5D" w:rsidP="006D6C5D">
      <w:pPr>
        <w:pStyle w:val="ATHeading2"/>
      </w:pPr>
      <w:bookmarkStart w:id="1" w:name="title"/>
      <w:r w:rsidRPr="00236F36">
        <w:t>Punerea în aplicare a Acordului comercial și de cooperare dintre UE și Regatul Unit</w:t>
      </w:r>
      <w:bookmarkEnd w:id="1"/>
    </w:p>
    <w:p w14:paraId="2881C1AB" w14:textId="77777777" w:rsidR="006D6C5D" w:rsidRPr="00236F36" w:rsidRDefault="006D6C5D" w:rsidP="006D6C5D">
      <w:pPr>
        <w:rPr>
          <w:i/>
          <w:vanish/>
        </w:rPr>
      </w:pPr>
      <w:r w:rsidRPr="00236F36">
        <w:rPr>
          <w:i/>
        </w:rPr>
        <w:fldChar w:fldCharType="begin"/>
      </w:r>
      <w:r w:rsidRPr="00236F36">
        <w:rPr>
          <w:i/>
        </w:rPr>
        <w:instrText xml:space="preserve"> TC"(</w:instrText>
      </w:r>
      <w:bookmarkStart w:id="2" w:name="DocNumber"/>
      <w:r w:rsidRPr="00236F36">
        <w:rPr>
          <w:i/>
        </w:rPr>
        <w:instrText>A10-0226/2025</w:instrText>
      </w:r>
      <w:bookmarkEnd w:id="2"/>
      <w:r w:rsidRPr="00236F36">
        <w:rPr>
          <w:i/>
        </w:rPr>
        <w:instrText xml:space="preserve"> - Raportori: Thijs Reuten, Nina Carberry)"\l3 \n&gt; \* MERGEFORMAT </w:instrText>
      </w:r>
      <w:r w:rsidRPr="00236F36">
        <w:rPr>
          <w:i/>
        </w:rPr>
        <w:fldChar w:fldCharType="end"/>
      </w:r>
    </w:p>
    <w:p w14:paraId="14EF88F4" w14:textId="77777777" w:rsidR="006D6C5D" w:rsidRPr="00236F36" w:rsidRDefault="006D6C5D" w:rsidP="006D6C5D">
      <w:pPr>
        <w:rPr>
          <w:vanish/>
        </w:rPr>
      </w:pPr>
      <w:bookmarkStart w:id="3" w:name="Commission"/>
      <w:r w:rsidRPr="00236F36">
        <w:rPr>
          <w:vanish/>
        </w:rPr>
        <w:t>Comisia pentru afaceri externe , Comisia pentru comerț internațional</w:t>
      </w:r>
      <w:bookmarkEnd w:id="3"/>
    </w:p>
    <w:p w14:paraId="4465A539" w14:textId="77777777" w:rsidR="006D6C5D" w:rsidRPr="00236F36" w:rsidRDefault="006D6C5D" w:rsidP="006D6C5D">
      <w:pPr>
        <w:rPr>
          <w:vanish/>
        </w:rPr>
      </w:pPr>
      <w:bookmarkStart w:id="4" w:name="PE"/>
      <w:r w:rsidRPr="00236F36">
        <w:rPr>
          <w:vanish/>
        </w:rPr>
        <w:t>PE768.086</w:t>
      </w:r>
      <w:bookmarkEnd w:id="4"/>
    </w:p>
    <w:p w14:paraId="0A805879" w14:textId="77777777" w:rsidR="006D6C5D" w:rsidRPr="00236F36" w:rsidRDefault="006D6C5D" w:rsidP="006D6C5D">
      <w:pPr>
        <w:pStyle w:val="ATHeading3"/>
      </w:pPr>
      <w:bookmarkStart w:id="5" w:name="Sujet"/>
      <w:r w:rsidRPr="00236F36">
        <w:t>Rezoluția Parlamentului European din 27 noiembrie 2025 referitoare la punerea în aplicare a Acordului comercial și de cooperare dintre UE și Regatul Unit</w:t>
      </w:r>
      <w:bookmarkEnd w:id="5"/>
      <w:r w:rsidRPr="00236F36">
        <w:t xml:space="preserve"> </w:t>
      </w:r>
      <w:bookmarkStart w:id="6" w:name="References"/>
      <w:r w:rsidRPr="00236F36">
        <w:t>(2024/2108(INI))</w:t>
      </w:r>
      <w:bookmarkEnd w:id="6"/>
    </w:p>
    <w:p w14:paraId="02594EEA" w14:textId="77777777" w:rsidR="0028437D" w:rsidRPr="00236F36" w:rsidRDefault="0028437D" w:rsidP="0028437D">
      <w:pPr>
        <w:pStyle w:val="EPComma"/>
      </w:pPr>
      <w:bookmarkStart w:id="7" w:name="TextBodyBegin"/>
      <w:bookmarkEnd w:id="7"/>
      <w:r w:rsidRPr="00236F36">
        <w:rPr>
          <w:i/>
          <w:iCs/>
        </w:rPr>
        <w:t>Parlamentul European</w:t>
      </w:r>
      <w:r w:rsidRPr="00236F36">
        <w:t>,</w:t>
      </w:r>
    </w:p>
    <w:p w14:paraId="3735140A" w14:textId="77777777" w:rsidR="0028437D" w:rsidRPr="00236F36" w:rsidRDefault="0028437D" w:rsidP="0028437D">
      <w:pPr>
        <w:pStyle w:val="NormalHanging12a"/>
      </w:pPr>
      <w:r w:rsidRPr="00236F36">
        <w:t>–</w:t>
      </w:r>
      <w:r w:rsidRPr="00236F36">
        <w:tab/>
        <w:t>având în vedere Tratatul privind Uniunea Europeană și Tratatul privind funcționarea Uniunii Europene (TFUE),</w:t>
      </w:r>
    </w:p>
    <w:p w14:paraId="0A4EA3D9" w14:textId="77777777" w:rsidR="0028437D" w:rsidRPr="00236F36" w:rsidRDefault="0028437D" w:rsidP="0028437D">
      <w:pPr>
        <w:pStyle w:val="NormalHanging12a"/>
      </w:pPr>
      <w:r w:rsidRPr="00236F36">
        <w:t>–</w:t>
      </w:r>
      <w:r w:rsidRPr="00236F36">
        <w:tab/>
        <w:t>având în vedere Acordul privind comerțul și cooperarea dintre Uniunea Europeană și Comunitatea Europeană a Energiei Atomice, pe de o parte, și Regatul Unit al Marii Britanii și Irlandei de Nord, pe de altă parte („Acordul privind comerțul și cooperarea”</w:t>
      </w:r>
      <w:r w:rsidRPr="00236F36">
        <w:rPr>
          <w:rStyle w:val="FootnoteReference"/>
          <w:color w:val="000000"/>
        </w:rPr>
        <w:footnoteReference w:id="1"/>
      </w:r>
      <w:r w:rsidRPr="00236F36">
        <w:t>, respectiv ACC),</w:t>
      </w:r>
    </w:p>
    <w:p w14:paraId="05F068A5" w14:textId="77777777" w:rsidR="0028437D" w:rsidRPr="00236F36" w:rsidRDefault="0028437D" w:rsidP="0028437D">
      <w:pPr>
        <w:pStyle w:val="NormalHanging12a"/>
      </w:pPr>
      <w:r w:rsidRPr="00236F36">
        <w:t>–</w:t>
      </w:r>
      <w:r w:rsidRPr="00236F36">
        <w:tab/>
        <w:t>având în vedere Acordul privind retragerea Regatului Unit al Marii Britanii și Irlandei de Nord din Uniunea Europeană și din Comunitatea Europeană a Energiei Atomice</w:t>
      </w:r>
      <w:r w:rsidRPr="00236F36">
        <w:rPr>
          <w:rStyle w:val="FootnoteReference"/>
        </w:rPr>
        <w:footnoteReference w:id="2"/>
      </w:r>
      <w:r w:rsidRPr="00236F36">
        <w:t xml:space="preserve"> („Acordul de retragere”),</w:t>
      </w:r>
    </w:p>
    <w:p w14:paraId="72EB26E1" w14:textId="77777777" w:rsidR="0028437D" w:rsidRPr="00236F36" w:rsidRDefault="0028437D" w:rsidP="0028437D">
      <w:pPr>
        <w:pStyle w:val="NormalHanging12a"/>
      </w:pPr>
      <w:r w:rsidRPr="00236F36">
        <w:t>–</w:t>
      </w:r>
      <w:r w:rsidRPr="00236F36">
        <w:tab/>
        <w:t>având în vedere Cadrul Windsor</w:t>
      </w:r>
      <w:r w:rsidRPr="00236F36">
        <w:rPr>
          <w:rStyle w:val="FootnoteReference"/>
          <w:color w:val="000000"/>
        </w:rPr>
        <w:footnoteReference w:id="3"/>
      </w:r>
      <w:r w:rsidRPr="00236F36">
        <w:t>, unde sunt enumerate dispozițiile din dreptul Uniunii care se aplică Regatului Unit și pe teritoriul acestuia în ceea ce privește Irlanda de Nord,</w:t>
      </w:r>
    </w:p>
    <w:p w14:paraId="423F74A2" w14:textId="77777777" w:rsidR="0028437D" w:rsidRPr="00236F36" w:rsidRDefault="0028437D" w:rsidP="0028437D">
      <w:pPr>
        <w:pStyle w:val="NormalHanging12a"/>
      </w:pPr>
      <w:r w:rsidRPr="00236F36">
        <w:t>–</w:t>
      </w:r>
      <w:r w:rsidRPr="00236F36">
        <w:tab/>
        <w:t xml:space="preserve">având în vedere Declarația comună, Parteneriatul pentru securitate și apărare și Înțelegerea comună privind o agendă reînnoită pentru cooperarea dintre UE și Regatul Unit din 19 mai 2025, </w:t>
      </w:r>
    </w:p>
    <w:p w14:paraId="176A3E1A" w14:textId="77777777" w:rsidR="0028437D" w:rsidRPr="00236F36" w:rsidRDefault="0028437D" w:rsidP="0028437D">
      <w:pPr>
        <w:pStyle w:val="NormalHanging12a"/>
      </w:pPr>
      <w:r w:rsidRPr="00236F36">
        <w:t xml:space="preserve">– </w:t>
      </w:r>
      <w:r w:rsidRPr="00236F36">
        <w:tab/>
        <w:t xml:space="preserve">având în vedere Acordul din Vinerea Mare din 1998 și acordurile ulterioare de punere în aplicare, </w:t>
      </w:r>
    </w:p>
    <w:p w14:paraId="61DD175A" w14:textId="77777777" w:rsidR="0028437D" w:rsidRPr="00236F36" w:rsidRDefault="0028437D" w:rsidP="0028437D">
      <w:pPr>
        <w:pStyle w:val="NormalHanging12a"/>
      </w:pPr>
      <w:r w:rsidRPr="00236F36">
        <w:t>–</w:t>
      </w:r>
      <w:r w:rsidRPr="00236F36">
        <w:tab/>
        <w:t xml:space="preserve">având în vedere raportul Comisiei Europene din 21 martie 2024 privind punerea în aplicare a Acordului comercial și de cooperare dintre Uniunea Europeană și Regatul </w:t>
      </w:r>
      <w:r w:rsidRPr="00236F36">
        <w:lastRenderedPageBreak/>
        <w:t>Unit al Marii Britanii și Irlandei de Nord: 1 ianuarie – 31 decembrie 2023 (COM(2024)0127),</w:t>
      </w:r>
    </w:p>
    <w:p w14:paraId="79D5C277" w14:textId="77777777" w:rsidR="0028437D" w:rsidRPr="00236F36" w:rsidRDefault="0028437D" w:rsidP="0028437D">
      <w:pPr>
        <w:pStyle w:val="NormalHanging12a"/>
      </w:pPr>
      <w:r w:rsidRPr="00236F36">
        <w:t>–</w:t>
      </w:r>
      <w:r w:rsidRPr="00236F36">
        <w:tab/>
        <w:t>având în vedere raportul Comisiei Europene din 4 aprilie 2025 privind punerea în aplicare a Acordului comercial și de cooperare dintre Uniunea Europeană și Regatul Unit al Marii Britanii și Irlandei de Nord: 1 ianuarie – 31 decembrie 2024 (COM(2025)0149),</w:t>
      </w:r>
    </w:p>
    <w:p w14:paraId="18924937" w14:textId="1E222536" w:rsidR="0028437D" w:rsidRPr="00236F36" w:rsidRDefault="0028437D" w:rsidP="0028437D">
      <w:pPr>
        <w:pStyle w:val="NormalHanging12a"/>
      </w:pPr>
      <w:r w:rsidRPr="00236F36">
        <w:t>–</w:t>
      </w:r>
      <w:r w:rsidRPr="00236F36">
        <w:tab/>
        <w:t>având în vedere rezoluțiile sale din 2 aprilie 2025 referitoare la punerea în aplicare a politicii externe și de securitate comune – raportul anual pe 2024</w:t>
      </w:r>
      <w:r w:rsidRPr="00236F36">
        <w:rPr>
          <w:rStyle w:val="FootnoteReference"/>
          <w:color w:val="000000"/>
        </w:rPr>
        <w:footnoteReference w:id="4"/>
      </w:r>
      <w:r w:rsidRPr="00236F36">
        <w:t xml:space="preserve"> și la punerea în aplicare a politicii de securitate și apărare comune –</w:t>
      </w:r>
      <w:r w:rsidR="00DF6F52" w:rsidRPr="00236F36">
        <w:t xml:space="preserve"> </w:t>
      </w:r>
      <w:r w:rsidRPr="00236F36">
        <w:t>raportul anual 2024</w:t>
      </w:r>
      <w:r w:rsidRPr="00236F36">
        <w:rPr>
          <w:rStyle w:val="FootnoteReference"/>
          <w:color w:val="000000"/>
        </w:rPr>
        <w:footnoteReference w:id="5"/>
      </w:r>
      <w:r w:rsidRPr="00236F36">
        <w:t>,</w:t>
      </w:r>
    </w:p>
    <w:p w14:paraId="3F0F91BB" w14:textId="77777777" w:rsidR="0028437D" w:rsidRPr="00236F36" w:rsidRDefault="0028437D" w:rsidP="0028437D">
      <w:pPr>
        <w:pStyle w:val="NormalHanging12a"/>
      </w:pPr>
      <w:r w:rsidRPr="00236F36">
        <w:t>–</w:t>
      </w:r>
      <w:r w:rsidRPr="00236F36">
        <w:tab/>
        <w:t xml:space="preserve">având în vedere Regulamentul (UE) 2021/1755 al Parlamentului European și al Consiliului din 6 octombrie 2021 de înființare a rezervei de ajustare la </w:t>
      </w:r>
      <w:proofErr w:type="spellStart"/>
      <w:r w:rsidRPr="00236F36">
        <w:t>Brexit</w:t>
      </w:r>
      <w:proofErr w:type="spellEnd"/>
      <w:r w:rsidRPr="00236F36">
        <w:rPr>
          <w:vertAlign w:val="superscript"/>
        </w:rPr>
        <w:footnoteReference w:id="6"/>
      </w:r>
      <w:r w:rsidRPr="00236F36">
        <w:t xml:space="preserve"> (Regulamentul RAB), </w:t>
      </w:r>
    </w:p>
    <w:p w14:paraId="5356891A" w14:textId="77777777" w:rsidR="0028437D" w:rsidRPr="00236F36" w:rsidRDefault="0028437D" w:rsidP="0028437D">
      <w:pPr>
        <w:pStyle w:val="NormalHanging12a"/>
      </w:pPr>
      <w:r w:rsidRPr="00236F36">
        <w:t>–</w:t>
      </w:r>
      <w:r w:rsidRPr="00236F36">
        <w:tab/>
        <w:t>având în vedere Regulamentul (UE, Euratom) 2024/2509 al Parlamentului European și al Consiliului din 23 septembrie 2024 privind normele financiare aplicabile bugetului general al Uniunii</w:t>
      </w:r>
      <w:r w:rsidRPr="00236F36">
        <w:rPr>
          <w:rStyle w:val="FootnoteReference"/>
        </w:rPr>
        <w:footnoteReference w:id="7"/>
      </w:r>
      <w:r w:rsidRPr="00236F36">
        <w:t xml:space="preserve">, </w:t>
      </w:r>
    </w:p>
    <w:p w14:paraId="39D67FF0" w14:textId="77777777" w:rsidR="0028437D" w:rsidRPr="00236F36" w:rsidRDefault="0028437D" w:rsidP="0028437D">
      <w:pPr>
        <w:pStyle w:val="NormalHanging12a"/>
        <w:rPr>
          <w:szCs w:val="24"/>
        </w:rPr>
      </w:pPr>
      <w:r w:rsidRPr="00236F36">
        <w:t>–</w:t>
      </w:r>
      <w:r w:rsidRPr="00236F36">
        <w:tab/>
        <w:t>având în vedere Regulamentul (UE) 2023/657 al Parlamentului European și al Consiliului din 15 martie 2023 de stabilire a unor norme privind exercitarea drepturilor Uniunii pentru punerea în aplicare și asigurarea respectării Acordului privind retragerea Regatului Unit al Marii Britanii și Irlandei de Nord din Uniunea Europeană și din Comunitatea Europeană a Energiei Atomice și a Acordului comercial și de cooperare dintre Uniunea Europeană și Comunitatea Europeană a Energiei Atomice, pe de o parte, și Regatul Unit al Marii Britanii și Irlandei de Nord, pe de altă parte</w:t>
      </w:r>
      <w:r w:rsidRPr="00236F36">
        <w:rPr>
          <w:rStyle w:val="FootnoteReference"/>
          <w:color w:val="000000"/>
        </w:rPr>
        <w:footnoteReference w:id="8"/>
      </w:r>
      <w:r w:rsidRPr="00236F36">
        <w:t>,</w:t>
      </w:r>
    </w:p>
    <w:p w14:paraId="74F6FDB0" w14:textId="77777777" w:rsidR="0028437D" w:rsidRPr="00236F36" w:rsidRDefault="0028437D" w:rsidP="0028437D">
      <w:pPr>
        <w:pStyle w:val="NormalHanging12a"/>
      </w:pPr>
      <w:r w:rsidRPr="00236F36">
        <w:t>–</w:t>
      </w:r>
      <w:r w:rsidRPr="00236F36">
        <w:tab/>
        <w:t>având în vedere rezoluția sa din 23 noiembrie 2023 referitoare la punerea în aplicare a Acordului comercial și de cooperare dintre UE și Regatul Unit</w:t>
      </w:r>
      <w:r w:rsidRPr="00236F36">
        <w:rPr>
          <w:rStyle w:val="FootnoteReference"/>
          <w:color w:val="000000"/>
        </w:rPr>
        <w:footnoteReference w:id="9"/>
      </w:r>
      <w:r w:rsidRPr="00236F36">
        <w:t>,</w:t>
      </w:r>
    </w:p>
    <w:p w14:paraId="426F5188" w14:textId="77777777" w:rsidR="0028437D" w:rsidRPr="00236F36" w:rsidRDefault="0028437D" w:rsidP="0028437D">
      <w:pPr>
        <w:pStyle w:val="NormalHanging12a"/>
      </w:pPr>
      <w:r w:rsidRPr="00236F36">
        <w:t>–</w:t>
      </w:r>
      <w:r w:rsidRPr="00236F36">
        <w:tab/>
        <w:t>având în vedere reuniunile și pozițiile Adunării parlamentare a parteneriatului UE-Regatul Unit (APP),</w:t>
      </w:r>
    </w:p>
    <w:p w14:paraId="4397AD57" w14:textId="77777777" w:rsidR="0028437D" w:rsidRPr="00236F36" w:rsidRDefault="0028437D" w:rsidP="0028437D">
      <w:pPr>
        <w:pStyle w:val="NormalHanging12a"/>
      </w:pPr>
      <w:r w:rsidRPr="00236F36">
        <w:t>–</w:t>
      </w:r>
      <w:r w:rsidRPr="00236F36">
        <w:tab/>
        <w:t>având în vedere Cartea albă privind pregătirea pentru apărare a Europei 2030 din 19 martie 2025 (JOIN(2025)0120),</w:t>
      </w:r>
    </w:p>
    <w:p w14:paraId="2CE1C1C4" w14:textId="77777777" w:rsidR="0028437D" w:rsidRPr="00236F36" w:rsidRDefault="0028437D" w:rsidP="0028437D">
      <w:pPr>
        <w:pStyle w:val="NormalHanging12a"/>
      </w:pPr>
      <w:r w:rsidRPr="00236F36">
        <w:t>–</w:t>
      </w:r>
      <w:r w:rsidRPr="00236F36">
        <w:tab/>
        <w:t>având în vedere rezoluția sa din 12 martie 2025 referitoare la Cartea albă privind viitorul apărării europene</w:t>
      </w:r>
      <w:r w:rsidRPr="00236F36">
        <w:rPr>
          <w:rStyle w:val="FootnoteReference"/>
        </w:rPr>
        <w:footnoteReference w:id="10"/>
      </w:r>
      <w:r w:rsidRPr="00236F36">
        <w:t>,</w:t>
      </w:r>
    </w:p>
    <w:p w14:paraId="6BD349E7" w14:textId="77777777" w:rsidR="0028437D" w:rsidRPr="00236F36" w:rsidRDefault="0028437D" w:rsidP="0028437D">
      <w:pPr>
        <w:pStyle w:val="NormalHanging12a"/>
      </w:pPr>
      <w:r w:rsidRPr="00236F36">
        <w:t>–</w:t>
      </w:r>
      <w:r w:rsidRPr="00236F36">
        <w:tab/>
        <w:t xml:space="preserve">având în vedere raportul lui </w:t>
      </w:r>
      <w:proofErr w:type="spellStart"/>
      <w:r w:rsidRPr="00236F36">
        <w:t>Sauli</w:t>
      </w:r>
      <w:proofErr w:type="spellEnd"/>
      <w:r w:rsidRPr="00236F36">
        <w:t xml:space="preserve"> </w:t>
      </w:r>
      <w:proofErr w:type="spellStart"/>
      <w:r w:rsidRPr="00236F36">
        <w:t>Niinistö</w:t>
      </w:r>
      <w:proofErr w:type="spellEnd"/>
      <w:r w:rsidRPr="00236F36">
        <w:t xml:space="preserve"> din 30 octombrie 2024, intitulat „Un nivel mai mare de siguranță împreună - Consolidarea disponibilității și pregătirii în domeniul apărării civile și militare a Europei”,</w:t>
      </w:r>
    </w:p>
    <w:p w14:paraId="23C70A9F" w14:textId="77777777" w:rsidR="0028437D" w:rsidRPr="00236F36" w:rsidRDefault="0028437D" w:rsidP="0028437D">
      <w:pPr>
        <w:pStyle w:val="NormalHanging12a"/>
      </w:pPr>
      <w:r w:rsidRPr="00236F36">
        <w:lastRenderedPageBreak/>
        <w:t>–</w:t>
      </w:r>
      <w:r w:rsidRPr="00236F36">
        <w:tab/>
        <w:t>având în vedere propunerea Comisiei din 19 martie 2025 de regulament al Consiliului de instituire a instrumentului „Acțiuni pentru securitatea Europei” (SAFE) pentru consolidarea industriei europene de apărare (COM(2025)0122),</w:t>
      </w:r>
    </w:p>
    <w:p w14:paraId="25EF383A" w14:textId="77777777" w:rsidR="0028437D" w:rsidRPr="00236F36" w:rsidRDefault="0028437D" w:rsidP="0028437D">
      <w:pPr>
        <w:pStyle w:val="NormalHanging12a"/>
      </w:pPr>
      <w:r w:rsidRPr="00236F36">
        <w:t>–</w:t>
      </w:r>
      <w:r w:rsidRPr="00236F36">
        <w:tab/>
        <w:t xml:space="preserve">având în vedere Memorandumul de înțelegere de instituire a unui cadru pentru cooperarea în materie de reglementare a serviciilor financiare între UE și Regatul Unit din 27 iunie 2023 și instituirea ulterioară a Forumului comun de reglementare financiară UE-Regatul Unit, </w:t>
      </w:r>
    </w:p>
    <w:p w14:paraId="654CC0F7" w14:textId="77777777" w:rsidR="0028437D" w:rsidRPr="00236F36" w:rsidRDefault="0028437D" w:rsidP="0028437D">
      <w:pPr>
        <w:pStyle w:val="NormalHanging12a"/>
        <w:rPr>
          <w:bCs/>
        </w:rPr>
      </w:pPr>
      <w:r w:rsidRPr="00236F36">
        <w:t>–</w:t>
      </w:r>
      <w:r w:rsidRPr="00236F36">
        <w:tab/>
        <w:t>având în vedere Convenția europeană a drepturilor omului,</w:t>
      </w:r>
    </w:p>
    <w:p w14:paraId="4C93B0E7" w14:textId="77777777" w:rsidR="0028437D" w:rsidRPr="00236F36" w:rsidRDefault="0028437D" w:rsidP="0028437D">
      <w:pPr>
        <w:pStyle w:val="NormalHanging12a"/>
      </w:pPr>
      <w:r w:rsidRPr="00236F36">
        <w:t>–</w:t>
      </w:r>
      <w:r w:rsidRPr="00236F36">
        <w:tab/>
        <w:t xml:space="preserve">având în vedere Statutul de la Roma al Curții Penale Internaționale (CPI), </w:t>
      </w:r>
    </w:p>
    <w:p w14:paraId="58F65A58" w14:textId="77777777" w:rsidR="0028437D" w:rsidRPr="00236F36" w:rsidRDefault="0028437D" w:rsidP="0028437D">
      <w:pPr>
        <w:pStyle w:val="NormalHanging12a"/>
        <w:rPr>
          <w:bCs/>
        </w:rPr>
      </w:pPr>
      <w:r w:rsidRPr="00236F36">
        <w:t>–</w:t>
      </w:r>
      <w:r w:rsidRPr="00236F36">
        <w:tab/>
        <w:t>având în vedere Carta socială europeană,</w:t>
      </w:r>
    </w:p>
    <w:p w14:paraId="7DF4C64B" w14:textId="77777777" w:rsidR="0028437D" w:rsidRPr="00236F36" w:rsidRDefault="0028437D" w:rsidP="0028437D">
      <w:pPr>
        <w:pStyle w:val="NormalHanging12a"/>
        <w:rPr>
          <w:bCs/>
        </w:rPr>
      </w:pPr>
      <w:r w:rsidRPr="00236F36">
        <w:t>–</w:t>
      </w:r>
      <w:r w:rsidRPr="00236F36">
        <w:tab/>
        <w:t>având în vedere convențiile și protocoalele Organizației Internaționale a Muncii (OIM), în special instrumentele fundamentale ale OIM,</w:t>
      </w:r>
    </w:p>
    <w:p w14:paraId="326833C4" w14:textId="77777777" w:rsidR="0028437D" w:rsidRPr="00236F36" w:rsidRDefault="0028437D" w:rsidP="0028437D">
      <w:pPr>
        <w:pStyle w:val="NormalHanging12a"/>
      </w:pPr>
      <w:r w:rsidRPr="00236F36">
        <w:t>–</w:t>
      </w:r>
      <w:r w:rsidRPr="00236F36">
        <w:tab/>
        <w:t xml:space="preserve">având în vedere Convenția Organizației Națiunilor Unite privind dreptul mării din 10 decembrie 1982, cunoscută drept Convenția de la Montego Bay, </w:t>
      </w:r>
    </w:p>
    <w:p w14:paraId="6296BE3E" w14:textId="77777777" w:rsidR="0028437D" w:rsidRPr="00236F36" w:rsidRDefault="0028437D" w:rsidP="0028437D">
      <w:pPr>
        <w:pStyle w:val="NormalHanging12a"/>
      </w:pPr>
      <w:r w:rsidRPr="00236F36">
        <w:t>–</w:t>
      </w:r>
      <w:r w:rsidRPr="00236F36">
        <w:tab/>
        <w:t xml:space="preserve">având în vedere hotărârea Tribunalului de Arbitraj din 28 aprilie 2025 în materie de arbitraj în temeiul articolului 739 din Acordul comercial și de cooperare dintre Uniunea Europeană și Regatul Unit al Marii Britanii și Irlandei de Nord privind decizia Regatului Unit de a interzice pescuitul de </w:t>
      </w:r>
      <w:proofErr w:type="spellStart"/>
      <w:r w:rsidRPr="00236F36">
        <w:t>uvă</w:t>
      </w:r>
      <w:proofErr w:type="spellEnd"/>
      <w:r w:rsidRPr="00236F36">
        <w:rPr>
          <w:vertAlign w:val="superscript"/>
        </w:rPr>
        <w:footnoteReference w:id="11"/>
      </w:r>
      <w:r w:rsidRPr="00236F36">
        <w:t xml:space="preserve">, </w:t>
      </w:r>
    </w:p>
    <w:p w14:paraId="4C0D3AC5" w14:textId="77777777" w:rsidR="0028437D" w:rsidRPr="00236F36" w:rsidRDefault="0028437D" w:rsidP="0028437D">
      <w:pPr>
        <w:pStyle w:val="NormalHanging12a"/>
      </w:pPr>
      <w:r w:rsidRPr="00236F36">
        <w:t>–</w:t>
      </w:r>
      <w:r w:rsidRPr="00236F36">
        <w:tab/>
        <w:t>având în vedere Decizia nr. 1/2023 a Comitetului specializat privind coordonarea sistemelor de securitate socială instituit prin articolul 8 alineatul (1) litera (p) din Acordul comercial și de cooperare dintre Uniunea Europeană și Comunitatea Europeană a Energiei Atomice, pe de o parte, și Regatul Unit al Marii Britanii și Irlandei de Nord, pe de altă parte, din 10 martie 2023 în ceea ce privește utilizarea Schimbului electronic de informații privind securitatea socială pentru transmiterea datelor între instituții sau organismele de legătură</w:t>
      </w:r>
      <w:r w:rsidRPr="00236F36">
        <w:rPr>
          <w:rStyle w:val="FootnoteReference"/>
        </w:rPr>
        <w:footnoteReference w:id="12"/>
      </w:r>
      <w:r w:rsidRPr="00236F36">
        <w:t xml:space="preserve">, </w:t>
      </w:r>
    </w:p>
    <w:p w14:paraId="32948723" w14:textId="77777777" w:rsidR="0028437D" w:rsidRPr="00236F36" w:rsidRDefault="0028437D" w:rsidP="0028437D">
      <w:pPr>
        <w:tabs>
          <w:tab w:val="left" w:pos="567"/>
        </w:tabs>
        <w:spacing w:after="240"/>
        <w:ind w:left="567" w:hanging="567"/>
      </w:pPr>
      <w:bookmarkStart w:id="8" w:name="_Hlk210904078"/>
      <w:r w:rsidRPr="00236F36">
        <w:t>–</w:t>
      </w:r>
      <w:r w:rsidRPr="00236F36">
        <w:tab/>
        <w:t>având în vedere Decizia nr. 2/2023 a Comitetului specializat privind coordonarea sistemelor de securitate socială, instituit prin articolul 8 alineatul (1) litera (p) din Acordul comercial și de cooperare dintre Uniunea Europeană și Comunitatea Europeană a Energiei Atomice, pe de o parte, și Regatul Unit al Marii Britanii și Irlandei de Nord, pe de altă parte, din 28 iunie 2023 privind desemnarea instituției financiare care va servi drept referință pentru stabilirea ratei dobânzii de întârziere și a cursului de schimb pentru conversiile valutare, precum și data care trebuie luată în considerare pentru stabilirea cursului de schimb</w:t>
      </w:r>
      <w:r w:rsidRPr="00236F36">
        <w:rPr>
          <w:vertAlign w:val="superscript"/>
        </w:rPr>
        <w:footnoteReference w:id="13"/>
      </w:r>
      <w:r w:rsidRPr="00236F36">
        <w:t xml:space="preserve">, </w:t>
      </w:r>
    </w:p>
    <w:p w14:paraId="07110EF4" w14:textId="77777777" w:rsidR="0028437D" w:rsidRPr="00236F36" w:rsidRDefault="0028437D" w:rsidP="0028437D">
      <w:pPr>
        <w:pStyle w:val="NormalHanging12a"/>
      </w:pPr>
      <w:r w:rsidRPr="00236F36">
        <w:t>–</w:t>
      </w:r>
      <w:bookmarkEnd w:id="8"/>
      <w:r w:rsidRPr="00236F36">
        <w:tab/>
        <w:t>având în vedere articolul 55 din Regulamentul său de procedură, precum și articolul 1 alineatul (1) litera (f) din decizia Conferinței președinților din 11 decembrie 2024 privind procedura de autorizare a rapoartelor din proprie inițiativă și anexa 3 la aceasta,</w:t>
      </w:r>
    </w:p>
    <w:p w14:paraId="347753D3" w14:textId="77777777" w:rsidR="0028437D" w:rsidRPr="00236F36" w:rsidRDefault="0028437D" w:rsidP="0028437D">
      <w:pPr>
        <w:pStyle w:val="NormalHanging12a"/>
      </w:pPr>
      <w:r w:rsidRPr="00236F36">
        <w:t>–</w:t>
      </w:r>
      <w:r w:rsidRPr="00236F36">
        <w:tab/>
        <w:t xml:space="preserve">având în vedere avizele Comisiei pentru bugete, Comisiei pentru afaceri economice și monetare, Comisiei pentru ocuparea forței de muncă și afaceri sociale, Comisiei pentru </w:t>
      </w:r>
      <w:r w:rsidRPr="00236F36">
        <w:lastRenderedPageBreak/>
        <w:t>mediu, climă și siguranță alimentară, Comisiei pentru industrie, cercetare și energie, Comisiei pentru piața internă și protecția consumatorilor, Comisiei pentru transport și turism, Comisiei pentru pescuit, Comisiei pentru cultură și educație și Comisiei pentru libertăți civile, justiție și afaceri interne,</w:t>
      </w:r>
    </w:p>
    <w:p w14:paraId="60D78D6F" w14:textId="77777777" w:rsidR="0028437D" w:rsidRPr="00236F36" w:rsidRDefault="0028437D" w:rsidP="0028437D">
      <w:pPr>
        <w:pStyle w:val="NormalHanging12a"/>
      </w:pPr>
      <w:r w:rsidRPr="00236F36">
        <w:t>–</w:t>
      </w:r>
      <w:r w:rsidRPr="00236F36">
        <w:tab/>
        <w:t>având în vedere raportul Comisiei pentru afaceri externe și al Comisiei pentru comerț internațional (A10-0226/2025),</w:t>
      </w:r>
    </w:p>
    <w:p w14:paraId="4859B59D" w14:textId="77777777" w:rsidR="0028437D" w:rsidRPr="00236F36" w:rsidRDefault="0028437D" w:rsidP="0028437D">
      <w:pPr>
        <w:pStyle w:val="NormalHanging12a"/>
        <w:rPr>
          <w:szCs w:val="24"/>
        </w:rPr>
      </w:pPr>
      <w:r w:rsidRPr="00236F36">
        <w:rPr>
          <w:caps/>
        </w:rPr>
        <w:t>A.</w:t>
      </w:r>
      <w:r w:rsidRPr="00236F36">
        <w:rPr>
          <w:caps/>
        </w:rPr>
        <w:tab/>
      </w:r>
      <w:r w:rsidRPr="00236F36">
        <w:t xml:space="preserve">întrucât UE și Regatul Unit, părți ale aceluiași continent și legate de proximitatea geografică, de valorile comune și de interesele strategice, se confruntă cu probleme similare, cum ar fi schimbările climatice, un mediu de securitate mondial îngrijorător și volatil și o ordine mondială în schimbare, marcată de un război pe continentul european și de erodarea rapidă a ordinii internaționale bazate pe norme, care exercită o presiune accentuată asupra societăților, economiilor și structurilor noastre de securitate; întrucât această situație accentuează necesitatea unei cooperări consolidate a celor două părți în politica externă și apărare; întrucât situația geopolitică actuală și dificultățile la nivel mondial arată că este necesară o cooperare mai strânsă între UE și Regatul Unit pentru securitatea, stabilitatea și prosperitatea întregului continent; întrucât o cooperare mai strânsă între UE și Regatul Unit, bazată pe previzibilitatea și structura prevăzute de ACC, este mai importantă ca niciodată pentru a proteja interesele reciproce și a le spori reziliența; </w:t>
      </w:r>
    </w:p>
    <w:p w14:paraId="34991D28" w14:textId="77777777" w:rsidR="0028437D" w:rsidRPr="00236F36" w:rsidRDefault="0028437D" w:rsidP="0028437D">
      <w:pPr>
        <w:pStyle w:val="NormalHanging12a"/>
        <w:rPr>
          <w:szCs w:val="24"/>
        </w:rPr>
      </w:pPr>
      <w:r w:rsidRPr="00236F36">
        <w:t>B.</w:t>
      </w:r>
      <w:r w:rsidRPr="00236F36">
        <w:tab/>
        <w:t xml:space="preserve">întrucât UE și Regatul Unit au demonstrat recent o nouă voință politică de a colabora, printr-un parteneriat solid, în confruntarea cu problemele mondiale și cu amenințările la adresa securității, inclusiv cea reprezentată de Rusia pentru securitatea întregului continent european și a ordinii mondiale bazate pe norme; întrucât, în martie 2025, prim-ministrul britanic </w:t>
      </w:r>
      <w:proofErr w:type="spellStart"/>
      <w:r w:rsidRPr="00236F36">
        <w:t>Starmer</w:t>
      </w:r>
      <w:proofErr w:type="spellEnd"/>
      <w:r w:rsidRPr="00236F36">
        <w:t xml:space="preserve"> a anunțat inițiativa unei „coaliții voluntare” pentru a sprijini mai bine și coordonat Ucraina în a se apăra de agresiunea rusă oricât va fi necesar; </w:t>
      </w:r>
    </w:p>
    <w:p w14:paraId="71004831" w14:textId="77777777" w:rsidR="0028437D" w:rsidRPr="00236F36" w:rsidRDefault="0028437D" w:rsidP="0028437D">
      <w:pPr>
        <w:pStyle w:val="NormalHanging12a"/>
        <w:rPr>
          <w:szCs w:val="24"/>
        </w:rPr>
      </w:pPr>
      <w:r w:rsidRPr="00236F36">
        <w:t>C.</w:t>
      </w:r>
      <w:r w:rsidRPr="00236F36">
        <w:tab/>
        <w:t xml:space="preserve">întrucât societățile și economiile deschise și conectate ale Regatului Unit și ale UE sunt tot mai expuse unor campanii hibride agresive, derulate ca atacuri cibernetice, acțiuni străine de manipulare a informațiilor și ingerințe străine (FIMI), sabotaj și instrumentalizarea migrației; </w:t>
      </w:r>
    </w:p>
    <w:p w14:paraId="32DE76A3" w14:textId="77777777" w:rsidR="0028437D" w:rsidRPr="00236F36" w:rsidRDefault="0028437D" w:rsidP="0028437D">
      <w:pPr>
        <w:pStyle w:val="NormalHanging12a"/>
        <w:rPr>
          <w:szCs w:val="24"/>
        </w:rPr>
      </w:pPr>
      <w:r w:rsidRPr="00236F36">
        <w:t>D.</w:t>
      </w:r>
      <w:r w:rsidRPr="00236F36">
        <w:tab/>
        <w:t xml:space="preserve">întrucât, la </w:t>
      </w:r>
      <w:proofErr w:type="spellStart"/>
      <w:r w:rsidRPr="00236F36">
        <w:t>summitul</w:t>
      </w:r>
      <w:proofErr w:type="spellEnd"/>
      <w:r w:rsidRPr="00236F36">
        <w:t xml:space="preserve"> UE-Regatul Unit din 19 mai 2025, ambele părți și-au reafirmat hotărârea politică de a colabora ca parteneri apropiați și de încredere în tratarea problemelor comune cu care ne confruntăm la nivel mondial; întrucât acest lucru a fost demonstrat cel mai clar prin instituirea unui Parteneriat pentru securitate și apărare, precum și prin sprijinul continuu și unit acordat Ucrainei în apărarea împotriva agresiunii Rusiei și restabilirea unei păci solide, juste și durabile, și prin angajamente consolidate în materie de securitate; </w:t>
      </w:r>
    </w:p>
    <w:p w14:paraId="1B7A285A" w14:textId="77777777" w:rsidR="0028437D" w:rsidRPr="00236F36" w:rsidRDefault="0028437D" w:rsidP="0028437D">
      <w:pPr>
        <w:pStyle w:val="NormalHanging12a"/>
        <w:rPr>
          <w:szCs w:val="24"/>
        </w:rPr>
      </w:pPr>
      <w:r w:rsidRPr="00236F36">
        <w:t>E.</w:t>
      </w:r>
      <w:r w:rsidRPr="00236F36">
        <w:tab/>
        <w:t>întrucât multilateralismul, apărarea unei ordini internaționale bazate pe norme, pacea, democrația, statul de drept, drepturile omului, economia de piață, dezvoltarea durabilă și liberul schimb sunt principii fundamentale ale UE și ale Regatului Unit; întrucât ACC oferă un cadru care ar putea fi consolidat în timp pentru a îndeplini obiective strategice și economice comune; întrucât ACC oferă securitatea juridică necesară pentru a încuraja comerțul și a promova o cooperare armonioasă;</w:t>
      </w:r>
    </w:p>
    <w:p w14:paraId="386AD611" w14:textId="77777777" w:rsidR="0028437D" w:rsidRPr="00236F36" w:rsidRDefault="0028437D" w:rsidP="0028437D">
      <w:pPr>
        <w:pStyle w:val="NormalHanging12a"/>
        <w:rPr>
          <w:szCs w:val="24"/>
        </w:rPr>
      </w:pPr>
      <w:r w:rsidRPr="00236F36">
        <w:lastRenderedPageBreak/>
        <w:t>F.</w:t>
      </w:r>
      <w:r w:rsidRPr="00236F36">
        <w:tab/>
        <w:t>întrucât structurile de guvernanță instituite prin ACC, de exemplu Consiliul de parteneriat și alte organisme comune, au funcționat bine, cu peste 35 de reuniuni organizate în 2024 pentru a monitoriza punerea în aplicare a acordului;</w:t>
      </w:r>
    </w:p>
    <w:p w14:paraId="75A32E0D" w14:textId="14D46702" w:rsidR="0028437D" w:rsidRPr="00236F36" w:rsidRDefault="0028437D" w:rsidP="0028437D">
      <w:pPr>
        <w:pStyle w:val="NormalHanging12a"/>
      </w:pPr>
      <w:r w:rsidRPr="00236F36">
        <w:t>G.</w:t>
      </w:r>
      <w:r w:rsidRPr="00236F36">
        <w:tab/>
        <w:t xml:space="preserve">întrucât ACC vizează domenii precum comerțul, energia, pescuitul, transporturile, cooperarea judiciară și în materie de aplicare a legii și coordonarea securității sociale, oferind un cadru diversificat și larg, asigurând competiția loială și acordând prioritate condițiilor de concurență loială în domeniile vizate; întrucât </w:t>
      </w:r>
      <w:proofErr w:type="spellStart"/>
      <w:r w:rsidRPr="00236F36">
        <w:t>summitul</w:t>
      </w:r>
      <w:proofErr w:type="spellEnd"/>
      <w:r w:rsidRPr="00236F36">
        <w:t xml:space="preserve"> UE-Regatul Unit a afirmat angajamentul reînnoit al ambelor părți față de cooperarea dintre UE și Regatul Unit în domeniul energiei, inclusiv planurile de a explora reintroducerea Regatului Unit pe piața internă a energiei </w:t>
      </w:r>
      <w:r w:rsidR="00DF6F52" w:rsidRPr="00236F36">
        <w:t xml:space="preserve">electrice </w:t>
      </w:r>
      <w:r w:rsidRPr="00236F36">
        <w:t>a UE, cu scopul de a reduce costurile energiei curate și de a îmbunătăți competitivitatea;</w:t>
      </w:r>
    </w:p>
    <w:p w14:paraId="102AADCC" w14:textId="77777777" w:rsidR="0028437D" w:rsidRPr="00236F36" w:rsidRDefault="0028437D" w:rsidP="0028437D">
      <w:pPr>
        <w:pStyle w:val="NormalHanging12a"/>
      </w:pPr>
      <w:r w:rsidRPr="00236F36">
        <w:t>H.</w:t>
      </w:r>
      <w:r w:rsidRPr="00236F36">
        <w:tab/>
        <w:t xml:space="preserve">întrucât punerea în aplicare a ACC poate fi un stimulent valoros pentru promovarea instruirii, a dezvoltării competențelor și a investițiilor în active necorporale, cum ar fi capitalul uman, atât în UE, cât și dincolo de frontierele sale; întrucât este recunoscută importanța promovării schimbului de cunoștințe și a colaborării pentru a îmbunătăți competențele persoanelor, contribuind astfel la o forță de muncă mai competitivă, mai sustenabilă și mai favorabilă incluziunii la nivel mondial; </w:t>
      </w:r>
    </w:p>
    <w:p w14:paraId="505A355D" w14:textId="77777777" w:rsidR="0028437D" w:rsidRPr="00236F36" w:rsidRDefault="0028437D" w:rsidP="0028437D">
      <w:pPr>
        <w:pStyle w:val="NormalHanging12a"/>
      </w:pPr>
      <w:r w:rsidRPr="00236F36">
        <w:t>I.</w:t>
      </w:r>
      <w:r w:rsidRPr="00236F36">
        <w:tab/>
        <w:t xml:space="preserve">întrucât ACC este primul acord comercial semnat de UE care include Acordul de la Paris ca o clauză esențială; întrucât, prin analogie, participarea Regatului Unit și a statelor membre ale UE la Convenția europeană a drepturilor omului este o prevedere esențială a acordului; întrucât ACC nu vizează serviciile financiare, migrația, programul Erasmus+, politica externă și apărarea; întrucât, la </w:t>
      </w:r>
      <w:proofErr w:type="spellStart"/>
      <w:r w:rsidRPr="00236F36">
        <w:t>summitul</w:t>
      </w:r>
      <w:proofErr w:type="spellEnd"/>
      <w:r w:rsidRPr="00236F36">
        <w:t xml:space="preserve"> UE-Regatul Unit care a avut loc la 19 mai 2025, s-au făcut pași importanți înspre a acoperi aceste lacune; </w:t>
      </w:r>
    </w:p>
    <w:p w14:paraId="2FBE0ADA" w14:textId="77777777" w:rsidR="0028437D" w:rsidRPr="00236F36" w:rsidRDefault="0028437D" w:rsidP="0028437D">
      <w:pPr>
        <w:pStyle w:val="NormalHanging12a"/>
      </w:pPr>
      <w:r w:rsidRPr="00236F36">
        <w:t>J.</w:t>
      </w:r>
      <w:r w:rsidRPr="00236F36">
        <w:tab/>
        <w:t>întrucât ACC impune ambelor părți obligația de a respecta drepturile fundamentale și principiile juridice, astfel cum sunt reflectate, în special, în Convenția europeană a drepturilor omului; întrucât hotărârile Curții Europene a Drepturilor Omului reprezintă o parte esențială a arhitecturii drepturilor omului pe continentul european; întrucât Irlanda a introdus în ianuarie 2024 o plângere împotriva Regatului Unit la Curtea Europeană a Drepturilor Omului referitoare la Legea din 2023 privind conflictul din Irlanda de Nord (moștenire și reconciliere);</w:t>
      </w:r>
    </w:p>
    <w:p w14:paraId="28B30D69" w14:textId="77777777" w:rsidR="0028437D" w:rsidRPr="00236F36" w:rsidRDefault="0028437D" w:rsidP="0028437D">
      <w:pPr>
        <w:pStyle w:val="NormalHanging12a"/>
      </w:pPr>
      <w:r w:rsidRPr="00236F36">
        <w:t>K.</w:t>
      </w:r>
      <w:r w:rsidRPr="00236F36">
        <w:tab/>
        <w:t xml:space="preserve">întrucât ACC nu include un cadru de cooperare privind politica externă, de securitate și de apărare; întrucât UE și Regatul Unit au recunoscut de atunci în mod explicit importanța și valoarea adăugată a cooperării structurate în aceste domenii, în special în contextul geopolitic actual; întrucât </w:t>
      </w:r>
      <w:proofErr w:type="spellStart"/>
      <w:r w:rsidRPr="00236F36">
        <w:t>summitul</w:t>
      </w:r>
      <w:proofErr w:type="spellEnd"/>
      <w:r w:rsidRPr="00236F36">
        <w:t xml:space="preserve"> UE-Regatul Unit din 19 mai 2025 a avut ca rezultat semnarea unui parteneriat pentru securitate și apărare, marcând un pas esențial în direcția formalizării acestei cooperări; întrucât o cooperare mai strânsă în aceste domenii ar contribui la consolidarea securității, a rezilienței și a prosperității europene comune pentru toți cetățenii, cu beneficii dincolo de granițele proprii;</w:t>
      </w:r>
    </w:p>
    <w:p w14:paraId="7816422B" w14:textId="77777777" w:rsidR="0028437D" w:rsidRPr="00236F36" w:rsidRDefault="0028437D" w:rsidP="0028437D">
      <w:pPr>
        <w:pStyle w:val="NormalHanging12a"/>
        <w:rPr>
          <w:szCs w:val="24"/>
        </w:rPr>
      </w:pPr>
      <w:r w:rsidRPr="00236F36">
        <w:t xml:space="preserve">L. </w:t>
      </w:r>
      <w:r w:rsidRPr="00236F36">
        <w:tab/>
        <w:t>întrucât statele membre ale UE au politici militare și de securitate diferite, inclusiv politici de neutralitate; întrucât aceste politici ar trebui respectate;</w:t>
      </w:r>
    </w:p>
    <w:p w14:paraId="08F56156" w14:textId="77777777" w:rsidR="0028437D" w:rsidRPr="00236F36" w:rsidRDefault="0028437D" w:rsidP="0028437D">
      <w:pPr>
        <w:pStyle w:val="NormalHanging12a"/>
        <w:rPr>
          <w:szCs w:val="24"/>
        </w:rPr>
      </w:pPr>
      <w:bookmarkStart w:id="9" w:name="_Hlk210808872"/>
      <w:r w:rsidRPr="00236F36">
        <w:t>M.</w:t>
      </w:r>
      <w:r w:rsidRPr="00236F36">
        <w:tab/>
        <w:t xml:space="preserve">întrucât Regatul Unit și Franța sunt singurele țări europene care dețin arme nucleare; întrucât descurajarea nucleară este de o importanță crucială pentru protejarea întregului continent european; întrucât Parlamentul își reafirmă sprijinul deplin pentru angajamentul UE și al statelor sale membre față de Tratatul cu privire la neproliferarea armelor nucleare ca piatră de temelie a regimului de neproliferare și de dezarmare </w:t>
      </w:r>
      <w:r w:rsidRPr="00236F36">
        <w:lastRenderedPageBreak/>
        <w:t>nucleară; întrucât Parlamentul insistă asupra necesității de a garanta că UE joacă un rol puternic și constructiv în dezvoltarea și consolidarea eforturilor globale de neproliferare bazate pe norme și a arhitecturii de control al armelor și de dezarmare;</w:t>
      </w:r>
    </w:p>
    <w:bookmarkEnd w:id="9"/>
    <w:p w14:paraId="48A3E181" w14:textId="77777777" w:rsidR="0028437D" w:rsidRPr="00236F36" w:rsidRDefault="0028437D" w:rsidP="0028437D">
      <w:pPr>
        <w:pStyle w:val="NormalHanging12a"/>
        <w:rPr>
          <w:szCs w:val="24"/>
        </w:rPr>
      </w:pPr>
      <w:r w:rsidRPr="00236F36">
        <w:t>N.</w:t>
      </w:r>
      <w:r w:rsidRPr="00236F36">
        <w:tab/>
        <w:t>întrucât acordul de retragere și ACC constituie cadrul pentru relația Regatului Unit cu UE; întrucât ambele acorduri au fost ratificate de UE și de Regatul Unit și sunt obligatorii din punct de vedere juridic în temeiul dreptului internațional; întrucât relația dintre UE și Regatul Unit trebuie să se bazeze pe respectarea deplină și aplicarea efectivă a acestor angajamente internaționale;</w:t>
      </w:r>
    </w:p>
    <w:p w14:paraId="520EF3B8" w14:textId="77777777" w:rsidR="0028437D" w:rsidRPr="00236F36" w:rsidRDefault="0028437D" w:rsidP="0028437D">
      <w:pPr>
        <w:pStyle w:val="NormalHanging12a"/>
        <w:rPr>
          <w:szCs w:val="24"/>
        </w:rPr>
      </w:pPr>
      <w:bookmarkStart w:id="10" w:name="_Hlk210808919"/>
      <w:bookmarkStart w:id="11" w:name="_Hlk210809297"/>
      <w:r w:rsidRPr="00236F36">
        <w:t>O.</w:t>
      </w:r>
      <w:r w:rsidRPr="00236F36">
        <w:tab/>
        <w:t>întrucât Parlamentul continuă să acorde o atenție deosebită situației cetățenilor UE care locuiesc în Regatul Unit și a cetățenilor britanici care locuiesc în UE; întrucât, în perioada 1 ianuarie–30 iunie 2023</w:t>
      </w:r>
      <w:r w:rsidRPr="00236F36">
        <w:rPr>
          <w:rStyle w:val="FootnoteReference"/>
          <w:szCs w:val="24"/>
        </w:rPr>
        <w:footnoteReference w:id="14"/>
      </w:r>
      <w:r w:rsidRPr="00236F36">
        <w:t>, Autoritatea independentă de monitorizare pentru acordul privind drepturile cetățenilor (IMA) din Regatul Unit a primit 79 de plângeri din partea unor cetățeni UE și din SEE; întrucât cele mai multe plângeri se referă la dreptul de ședere, vizând în special perioadele lungi de așteptare pentru cererile depuse în sistemul de înregistrare a cetățenilor UE, perioadele la fel de lungi de așteptare pentru cererile de permis de ședere de membru al familiei și controalele administrative îndelungate în sistemul de înregistrare a cetățenilor UE, urmate de problema egalității de tratament; întrucât, în decembrie 2024, IMA a raportat o rată de refuz de 21 % la cererile depuse în Irlanda de Nord prin sistemul de înregistrare a cetățenilor UE pentru obținerea noului statut de ședere în Regatul Unit, cea mai ridicată rată din Regatul Unit</w:t>
      </w:r>
      <w:r w:rsidRPr="00236F36">
        <w:rPr>
          <w:rStyle w:val="FootnoteReference"/>
          <w:szCs w:val="24"/>
        </w:rPr>
        <w:footnoteReference w:id="15"/>
      </w:r>
      <w:r w:rsidRPr="00236F36">
        <w:t>;</w:t>
      </w:r>
      <w:bookmarkEnd w:id="10"/>
      <w:r w:rsidRPr="00236F36">
        <w:t xml:space="preserve"> </w:t>
      </w:r>
    </w:p>
    <w:bookmarkEnd w:id="11"/>
    <w:p w14:paraId="22A8BC3A" w14:textId="77777777" w:rsidR="0028437D" w:rsidRPr="00236F36" w:rsidRDefault="0028437D" w:rsidP="0028437D">
      <w:pPr>
        <w:pStyle w:val="NormalHanging12a"/>
        <w:rPr>
          <w:szCs w:val="24"/>
        </w:rPr>
      </w:pPr>
      <w:r w:rsidRPr="00236F36">
        <w:t>P.</w:t>
      </w:r>
      <w:r w:rsidRPr="00236F36">
        <w:tab/>
      </w:r>
      <w:bookmarkStart w:id="12" w:name="_Hlk210809331"/>
      <w:r w:rsidRPr="00236F36">
        <w:t>întrucât UE are o responsabilitate specifică în a asigura respectarea Acordului din Vinerea Mare și a păcii în Irlanda de Nord;</w:t>
      </w:r>
      <w:bookmarkEnd w:id="12"/>
      <w:r w:rsidRPr="00236F36">
        <w:rPr>
          <w:b/>
          <w:i/>
        </w:rPr>
        <w:t xml:space="preserve"> </w:t>
      </w:r>
      <w:r w:rsidRPr="00236F36">
        <w:t xml:space="preserve">întrucât punerea în aplicare a ACC este direct legată de cea a Acordului de retragere; întrucât punerea sa deplină în aplicare a fost amânată pentru ca UE și Regatul Unit să găsească soluții comune la dificultățile practice apărute în punerea în aplicare a Protocolului privind Irlanda și Irlanda de Nord, care reprezintă rezultatul </w:t>
      </w:r>
      <w:proofErr w:type="spellStart"/>
      <w:r w:rsidRPr="00236F36">
        <w:t>Brexitului</w:t>
      </w:r>
      <w:proofErr w:type="spellEnd"/>
      <w:r w:rsidRPr="00236F36">
        <w:t>;</w:t>
      </w:r>
    </w:p>
    <w:p w14:paraId="3E49C381" w14:textId="77777777" w:rsidR="0028437D" w:rsidRPr="00236F36" w:rsidRDefault="0028437D" w:rsidP="0028437D">
      <w:pPr>
        <w:pStyle w:val="NormalHanging12a"/>
      </w:pPr>
      <w:r w:rsidRPr="00236F36">
        <w:t>Q.</w:t>
      </w:r>
      <w:r w:rsidRPr="00236F36">
        <w:tab/>
        <w:t>întrucât în Cadrul Windsor, introdus în 2023, se abordează unele dintre dificultățile practice survenite în funcționarea Protocolului privind Irlanda și Irlanda de Nord în primii ani de la punerea sa în aplicare și se asigură o mai mare securitate juridică, așadar pregătind terenul pentru implementarea deplină a acordului de retragere și a ACC în Irlanda de Nord; întrucât Cadrul Windsor acoperă o gamă largă de domenii, cum ar fi democrația, drepturile, garanțiile și egalitatea de șanse, vămile, produsele agroalimentare, medicamentele, ajutoarele de stat, TVA-</w:t>
      </w:r>
      <w:proofErr w:type="spellStart"/>
      <w:r w:rsidRPr="00236F36">
        <w:t>ul</w:t>
      </w:r>
      <w:proofErr w:type="spellEnd"/>
      <w:r w:rsidRPr="00236F36">
        <w:t xml:space="preserve"> și accizele; întrucât Acordul din Vinerea Mare a susținut eforturile de pace și stabilitate pe insula Irlanda timp de peste 25 de ani; întrucât statutul unic al Irlandei de Nord, astfel cum este recunoscut în protocol și în Cadrul Windsor, trebuie respectat pe deplin în viitoarele negocieri UE-Regatul Unit pentru a se asigura că niciun acord nu pune în pericol această realizare; întrucât actualul guvern britanic s-a angajat să abroge și să înlocuiască Legea privind moștenirea adoptată de guvernul anterior; întrucât actualele crize comerciale mondiale au un impact important asupra Irlandei de Nord, dată fiind poziția sa sensibilă după </w:t>
      </w:r>
      <w:proofErr w:type="spellStart"/>
      <w:r w:rsidRPr="00236F36">
        <w:t>Brexit</w:t>
      </w:r>
      <w:proofErr w:type="spellEnd"/>
      <w:r w:rsidRPr="00236F36">
        <w:t>, și întrucât guvernul britanic și UE deopotrivă trebuie să fie conștiente de această poziție atunci când formulează politica comercială;</w:t>
      </w:r>
    </w:p>
    <w:p w14:paraId="2EDDFBD0" w14:textId="77777777" w:rsidR="0028437D" w:rsidRPr="00236F36" w:rsidRDefault="0028437D" w:rsidP="0028437D">
      <w:pPr>
        <w:pStyle w:val="NormalHanging12a"/>
      </w:pPr>
      <w:r w:rsidRPr="00236F36">
        <w:lastRenderedPageBreak/>
        <w:t>R.</w:t>
      </w:r>
      <w:r w:rsidRPr="00236F36">
        <w:tab/>
        <w:t>întrucât convenirea Cadrului de la Windsor, precum și angajamentul asumat de prim-ministrul Regatului Unit de a „</w:t>
      </w:r>
      <w:proofErr w:type="spellStart"/>
      <w:r w:rsidRPr="00236F36">
        <w:t>restarta</w:t>
      </w:r>
      <w:proofErr w:type="spellEnd"/>
      <w:r w:rsidRPr="00236F36">
        <w:t>” relația Regatului Unit cu UE în iulie 2024 au deschis un nou și ambițios capitol în relațiile dintre UE și Regatul Unit;</w:t>
      </w:r>
    </w:p>
    <w:p w14:paraId="15122D23" w14:textId="77777777" w:rsidR="0028437D" w:rsidRPr="00236F36" w:rsidRDefault="0028437D" w:rsidP="0028437D">
      <w:pPr>
        <w:pStyle w:val="NormalHanging12a"/>
        <w:rPr>
          <w:szCs w:val="24"/>
        </w:rPr>
      </w:pPr>
      <w:r w:rsidRPr="00236F36">
        <w:t>S.</w:t>
      </w:r>
      <w:r w:rsidRPr="00236F36">
        <w:tab/>
      </w:r>
      <w:bookmarkStart w:id="13" w:name="_Hlk210809506"/>
      <w:r w:rsidRPr="00236F36">
        <w:t xml:space="preserve">întrucât </w:t>
      </w:r>
      <w:proofErr w:type="spellStart"/>
      <w:r w:rsidRPr="00236F36">
        <w:t>summitul</w:t>
      </w:r>
      <w:proofErr w:type="spellEnd"/>
      <w:r w:rsidRPr="00236F36">
        <w:t xml:space="preserve"> UE-Regatul Unit din 19 mai 2025 a avut rezultate pozitive pentru ambele părți în a reafirma angajamentul politic de a aprofunda parteneriatul, inclusiv printr-un parteneriat strategic; întrucât </w:t>
      </w:r>
      <w:proofErr w:type="spellStart"/>
      <w:r w:rsidRPr="00236F36">
        <w:t>summitul</w:t>
      </w:r>
      <w:proofErr w:type="spellEnd"/>
      <w:r w:rsidRPr="00236F36">
        <w:t xml:space="preserve"> a adus progrese în diverse domenii, de exemplu măsuri sanitare și fitosanitare (SPS), mobilitatea tinerilor și cooperarea în domeniul energetic;</w:t>
      </w:r>
      <w:bookmarkEnd w:id="13"/>
    </w:p>
    <w:p w14:paraId="755A51A2" w14:textId="77777777" w:rsidR="0028437D" w:rsidRPr="00236F36" w:rsidRDefault="0028437D" w:rsidP="0028437D">
      <w:pPr>
        <w:pStyle w:val="NormalHanging12a"/>
        <w:rPr>
          <w:szCs w:val="24"/>
        </w:rPr>
      </w:pPr>
      <w:r w:rsidRPr="00236F36">
        <w:t>T.</w:t>
      </w:r>
      <w:r w:rsidRPr="00236F36">
        <w:tab/>
        <w:t xml:space="preserve">întrucât </w:t>
      </w:r>
      <w:proofErr w:type="spellStart"/>
      <w:r w:rsidRPr="00236F36">
        <w:t>summitul</w:t>
      </w:r>
      <w:proofErr w:type="spellEnd"/>
      <w:r w:rsidRPr="00236F36">
        <w:t xml:space="preserve"> UE-Regatul Unit a pus bazele unei agende bilaterale mai structurate și cu o viziune mai orientată spre viitor; întrucât acest summit se dorea a fi începutul unui dialog politic regulat și structurat, fiind așteptate și alte reuniuni vizând domenii precum politica externă, de securitate și apărare, mobilitatea, energia, clima, cercetarea și securitatea internă; întrucât Comisia a confirmat că discuțiile preliminare purtate în perioada premergătoare </w:t>
      </w:r>
      <w:proofErr w:type="spellStart"/>
      <w:r w:rsidRPr="00236F36">
        <w:t>summitului</w:t>
      </w:r>
      <w:proofErr w:type="spellEnd"/>
      <w:r w:rsidRPr="00236F36">
        <w:t xml:space="preserve"> fac parte dintr-un proces mai amplu și continuu care vizează aprofundarea cooperării în mai multe domenii; </w:t>
      </w:r>
    </w:p>
    <w:p w14:paraId="24FA9D5A" w14:textId="77777777" w:rsidR="0028437D" w:rsidRPr="00236F36" w:rsidRDefault="0028437D" w:rsidP="0028437D">
      <w:pPr>
        <w:pStyle w:val="NormalHanging12a"/>
        <w:rPr>
          <w:szCs w:val="24"/>
        </w:rPr>
      </w:pPr>
      <w:r w:rsidRPr="00236F36">
        <w:t>U.</w:t>
      </w:r>
      <w:r w:rsidRPr="00236F36">
        <w:tab/>
        <w:t xml:space="preserve">întrucât angajamentele asumate la </w:t>
      </w:r>
      <w:proofErr w:type="spellStart"/>
      <w:r w:rsidRPr="00236F36">
        <w:t>summitul</w:t>
      </w:r>
      <w:proofErr w:type="spellEnd"/>
      <w:r w:rsidRPr="00236F36">
        <w:t xml:space="preserve"> UE-Regatul Unit ar trebui să fie mai mult decât simple declarații politice și însoțite de acorduri și rezultate concrete și cu forță juridică obligatorie atât pentru UE, cât și pentru Regatul Unit, într-un termen rezonabil, în special pentru cetățenii și întreprinderile acestora; </w:t>
      </w:r>
    </w:p>
    <w:p w14:paraId="3D7355F2" w14:textId="77777777" w:rsidR="0028437D" w:rsidRPr="00236F36" w:rsidRDefault="0028437D" w:rsidP="0028437D">
      <w:pPr>
        <w:pStyle w:val="NormalHanging12a"/>
        <w:rPr>
          <w:szCs w:val="24"/>
        </w:rPr>
      </w:pPr>
      <w:r w:rsidRPr="00236F36">
        <w:t>V.</w:t>
      </w:r>
      <w:r w:rsidRPr="00236F36">
        <w:tab/>
        <w:t xml:space="preserve">întrucât UE și Regatul Unit trebuie să se adapteze la dinamica în continuă evoluție a securității transatlantice și trebuie să își consolideze propriile capabilități, împreună cu alți parteneri cu care împărtășesc aceeași viziune, pentru a aborda aceste evoluții; </w:t>
      </w:r>
    </w:p>
    <w:p w14:paraId="0CB4ED00" w14:textId="77777777" w:rsidR="0028437D" w:rsidRPr="00236F36" w:rsidRDefault="0028437D" w:rsidP="0028437D">
      <w:pPr>
        <w:pStyle w:val="NormalHanging12a"/>
        <w:rPr>
          <w:szCs w:val="24"/>
        </w:rPr>
      </w:pPr>
      <w:r w:rsidRPr="00236F36">
        <w:t>W.</w:t>
      </w:r>
      <w:r w:rsidRPr="00236F36">
        <w:tab/>
        <w:t xml:space="preserve">întrucât ACC impune respectarea democrației, a statului de drept și a protecției drepturilor și libertăților fundamentale ale persoanelor, inclusiv astfel cum sunt prevăzute în Declarația universală a drepturilor omului și în Convenția europeană a drepturilor omului; întrucât aceste drepturi servesc drept principii directoare ale activității grupurilor consultative interne (GCI), inclusiv în capitolele aferente din ACC; întrucât Grupul consultativ intern al UE (GCI) are un rol esențial pentru monitorizarea punerii în aplicare a ACC; întrucât Forumul societății civile, instituit în temeiul articolului 14 din ACC, servește drept platformă esențială pentru ca organizațiile societății civile, firmele europene, sindicatele și alte organizații ale lucrătorilor să își exprime opiniile cu privire la punerea în aplicare a ACC și joacă un rol esențial în sprijinirea dialogului Comisiei cu Regatul Unit; </w:t>
      </w:r>
    </w:p>
    <w:p w14:paraId="13F4C270" w14:textId="77777777" w:rsidR="0028437D" w:rsidRPr="00236F36" w:rsidRDefault="0028437D" w:rsidP="0028437D">
      <w:pPr>
        <w:pStyle w:val="NormalHanging12a"/>
        <w:rPr>
          <w:szCs w:val="24"/>
        </w:rPr>
      </w:pPr>
      <w:r w:rsidRPr="00236F36">
        <w:t>X.</w:t>
      </w:r>
      <w:r w:rsidRPr="00236F36">
        <w:tab/>
        <w:t>întrucât, la 19 mai 2025, UE și Regatul Unit au adoptat un acord politic care va permite un acces reciproc deplin la ape pentru pescuit până la 30 iunie 2038</w:t>
      </w:r>
      <w:r w:rsidRPr="00236F36">
        <w:rPr>
          <w:szCs w:val="24"/>
          <w:vertAlign w:val="superscript"/>
        </w:rPr>
        <w:footnoteReference w:id="16"/>
      </w:r>
      <w:r w:rsidRPr="00236F36">
        <w:t>;</w:t>
      </w:r>
      <w:r w:rsidRPr="00236F36">
        <w:rPr>
          <w:vertAlign w:val="superscript"/>
        </w:rPr>
        <w:t xml:space="preserve"> </w:t>
      </w:r>
    </w:p>
    <w:p w14:paraId="2FD40753" w14:textId="77777777" w:rsidR="0028437D" w:rsidRPr="00236F36" w:rsidRDefault="0028437D" w:rsidP="0028437D">
      <w:pPr>
        <w:pStyle w:val="NormalHanging12a"/>
        <w:rPr>
          <w:i/>
          <w:iCs/>
          <w:szCs w:val="24"/>
        </w:rPr>
      </w:pPr>
      <w:r w:rsidRPr="00236F36">
        <w:t>Y.</w:t>
      </w:r>
      <w:r w:rsidRPr="00236F36">
        <w:tab/>
      </w:r>
      <w:bookmarkStart w:id="14" w:name="_Hlk210813645"/>
      <w:r w:rsidRPr="00236F36">
        <w:t>întrucât UE rămâne cel mai important partener comercial al Regatului Unit;</w:t>
      </w:r>
      <w:bookmarkEnd w:id="14"/>
      <w:r w:rsidRPr="00236F36">
        <w:t xml:space="preserve"> întrucât claritatea și stabilitatea comerțului </w:t>
      </w:r>
      <w:bookmarkStart w:id="15" w:name="_Hlk210813661"/>
      <w:r w:rsidRPr="00236F36">
        <w:t>și investițiilor</w:t>
      </w:r>
      <w:bookmarkEnd w:id="15"/>
      <w:r w:rsidRPr="00236F36">
        <w:t xml:space="preserve"> internaționale trebuie recunoscute, spre beneficiul tuturor părților interesate și implicate; întrucât este absolută nevoie de un mediu comercial previzibil, care să stimuleze comerțul și investițiile între UE </w:t>
      </w:r>
      <w:bookmarkStart w:id="16" w:name="_Hlk210813699"/>
      <w:r w:rsidRPr="00236F36">
        <w:t>și Regatul Unit și care să conducă la creștere și la ocuparea forței de muncă</w:t>
      </w:r>
      <w:bookmarkEnd w:id="16"/>
      <w:r w:rsidRPr="00236F36">
        <w:t>;</w:t>
      </w:r>
    </w:p>
    <w:p w14:paraId="7429BD50" w14:textId="77777777" w:rsidR="0028437D" w:rsidRPr="00236F36" w:rsidRDefault="0028437D" w:rsidP="0028437D">
      <w:pPr>
        <w:pStyle w:val="NormalHanging12a"/>
        <w:rPr>
          <w:szCs w:val="24"/>
        </w:rPr>
      </w:pPr>
      <w:bookmarkStart w:id="17" w:name="_Hlk210813727"/>
      <w:r w:rsidRPr="00236F36">
        <w:lastRenderedPageBreak/>
        <w:t>Z.</w:t>
      </w:r>
      <w:r w:rsidRPr="00236F36">
        <w:tab/>
        <w:t xml:space="preserve">întrucât, deși ACC garantează tarife și contingente zero, acesta nu elimină barierele netarifare; întrucât, ca urmare a </w:t>
      </w:r>
      <w:proofErr w:type="spellStart"/>
      <w:r w:rsidRPr="00236F36">
        <w:t>Brexitului</w:t>
      </w:r>
      <w:proofErr w:type="spellEnd"/>
      <w:r w:rsidRPr="00236F36">
        <w:t xml:space="preserve">, întreprinderile și mai ales întreprinderile mici și mijlocii (IMM) se confruntă cu o creștere a numărului de declarații vamale, de verificări ale conformității și de cerințe de reglementare, ceea ce generează costuri operaționale mai mari și întârzieri semnificative la frontiere; întrucât infrastructura inadecvată și deficitul de agenți vamali calificați au suprasolicitat și mai mult sistemul, generând perturbări în circulația în timp util a bunurilor; </w:t>
      </w:r>
      <w:bookmarkEnd w:id="17"/>
    </w:p>
    <w:p w14:paraId="00508ED1" w14:textId="77777777" w:rsidR="0028437D" w:rsidRPr="00236F36" w:rsidRDefault="0028437D" w:rsidP="0028437D">
      <w:pPr>
        <w:pStyle w:val="NormalHanging12a"/>
      </w:pPr>
      <w:r w:rsidRPr="00236F36">
        <w:t>AA.</w:t>
      </w:r>
      <w:r w:rsidRPr="00236F36">
        <w:tab/>
        <w:t xml:space="preserve">întrucât transportul rutier, feroviar, maritim și aerian ușor, eficient și la prețuri accesibile între UE și Regatul Unit joacă un rol esențial în asigurarea unui nivel ridicat de mobilitate pentru numeroșii cetățeni ai statelor membre ale UE care locuiesc și lucrează în Regatul Unit, precum și pentru cetățenii Regatului Unit care călătoresc în UE ca turiști; </w:t>
      </w:r>
    </w:p>
    <w:p w14:paraId="2D839901" w14:textId="77777777" w:rsidR="0028437D" w:rsidRPr="00236F36" w:rsidRDefault="0028437D" w:rsidP="0028437D">
      <w:pPr>
        <w:pStyle w:val="NormalHanging12a"/>
        <w:rPr>
          <w:szCs w:val="24"/>
        </w:rPr>
      </w:pPr>
      <w:r w:rsidRPr="00236F36">
        <w:t>AB.</w:t>
      </w:r>
      <w:r w:rsidRPr="00236F36">
        <w:tab/>
        <w:t>întrucât analiza generală a Comisiei este că ACC reprezintă un acord modern și cuprinzător, reflectând interesele UE în materie de comerț și cooperare și menținând, în același timp, limitele stabilite de instituțiile UE și de statele membre în cursul procesului de retragere a Regatului Unit; întrucât, pentru anii 2021-2024, în rapoartele sale anuale de punere în aplicare, Comisia a constatat că, în general, regimurile comerciale pentru bunuri și servicii stabilite în ACC au funcționat bine, în pofida anumitor probleme de punere în aplicare;</w:t>
      </w:r>
    </w:p>
    <w:p w14:paraId="2C91943B" w14:textId="77777777" w:rsidR="0028437D" w:rsidRPr="00236F36" w:rsidRDefault="0028437D" w:rsidP="0028437D">
      <w:pPr>
        <w:pStyle w:val="NormalHanging12a"/>
        <w:rPr>
          <w:szCs w:val="24"/>
        </w:rPr>
      </w:pPr>
      <w:r w:rsidRPr="00236F36">
        <w:t>AC.</w:t>
      </w:r>
      <w:r w:rsidRPr="00236F36">
        <w:tab/>
        <w:t>întrucât, în temeiul ACC, furnizorii de servicii sau investitorii din UE nu trebuie să fie tratați mai puțin favorabil decât operatorii britanici din Regatul Unit și viceversa; întrucât principiul nediscriminării se aplică unei game largi de activități economice, inclusiv prestarea de servicii, înființarea de întreprinderi și protecția drepturilor de proprietate intelectuală;</w:t>
      </w:r>
    </w:p>
    <w:p w14:paraId="67F06DA1" w14:textId="77777777" w:rsidR="0028437D" w:rsidRPr="00236F36" w:rsidRDefault="0028437D" w:rsidP="0028437D">
      <w:pPr>
        <w:pStyle w:val="NormalHanging12a"/>
        <w:rPr>
          <w:szCs w:val="24"/>
        </w:rPr>
      </w:pPr>
      <w:r w:rsidRPr="00236F36">
        <w:t>AD.</w:t>
      </w:r>
      <w:r w:rsidRPr="00236F36">
        <w:tab/>
        <w:t>întrucât Regatul Unit aplică un sistem de sponsorizare pentru vizele de muncă acordate prestatorilor de servicii din UE și, prin urmare, un angajator din Regatul Unit care dorește să angajeze un lucrător din UE trebuie să fie autorizat de Ministerul de Interne din Regatul Unit și apoi să emită un certificat de sponsorizare lucrătorului din UE și plătește taxe pentru ca lucrătorul respectiv să poată solicita o viză (cu taxe suplimentare și pentru lucrător); întrucât aceste restricții se aplică și pentru organizațiile intermediare și culturale, cum ar fi fundațiile și institutele publice care furnizează servicii de interes public, și întrucât se impun măsuri mai favorabile în acest sens; întrucât acest lucru creează o sarcină suplimentară care poate favoriza operatorii din Regatul Unit;</w:t>
      </w:r>
    </w:p>
    <w:p w14:paraId="0DAA9D4C" w14:textId="77777777" w:rsidR="0028437D" w:rsidRPr="00236F36" w:rsidRDefault="0028437D" w:rsidP="0028437D">
      <w:pPr>
        <w:pStyle w:val="NormalHanging12a"/>
        <w:rPr>
          <w:szCs w:val="24"/>
        </w:rPr>
      </w:pPr>
      <w:r w:rsidRPr="00236F36">
        <w:t>AE.</w:t>
      </w:r>
      <w:r w:rsidRPr="00236F36">
        <w:tab/>
        <w:t>întrucât piețele de achiziții publice din Regatul Unit rămân deschise ofertanților din UE și viceversa, în condiții egale; întrucât ambele părți trebuie să se asigure că procesul de achiziții publice este echitabil, transparent și deschis concurenței; întrucât Regatul Unit și UE au convenit totodată să își mențină angajamentele aplicabile în materie de achiziții publice în temeiul Acordului Organizației Mondiale a Comerțului (OMC) privind achizițiile publice, ceea ce permite o deschidere și mai mare a piețelor lor de achiziții publice pentru întreprinderi din alte țări;</w:t>
      </w:r>
    </w:p>
    <w:p w14:paraId="65611DFC" w14:textId="77777777" w:rsidR="0028437D" w:rsidRPr="00236F36" w:rsidRDefault="0028437D" w:rsidP="0028437D">
      <w:pPr>
        <w:pStyle w:val="NormalHanging12a"/>
      </w:pPr>
      <w:r w:rsidRPr="00236F36">
        <w:t>AF.</w:t>
      </w:r>
      <w:r w:rsidRPr="00236F36">
        <w:tab/>
        <w:t xml:space="preserve">întrucât ACC este singurul acord de liber schimb încheiat de UE care stabilește tarife și contingente zero pentru toate mărfurile care respectă regulile de origine corespunzătoare; întrucât statisticile comerciale pentru perioada de după intrarea în vigoare a ACC demonstrează că fluxurile comerciale dintre UE și Regatul Unit au fost afectate negativ de retragerea Regatului Unit; întrucât comerțul cu bunuri dintre Regatul Unit și UE a stagnat; întrucât anul 2024 a confirmat că comerțul cu bunuri și servicii al </w:t>
      </w:r>
      <w:r w:rsidRPr="00236F36">
        <w:lastRenderedPageBreak/>
        <w:t>UE cu alți parteneri comerciali a crescut mult față de cel cu Regatul Unit într-o perioadă comparabilă;</w:t>
      </w:r>
    </w:p>
    <w:p w14:paraId="59C84149" w14:textId="77777777" w:rsidR="0028437D" w:rsidRPr="00236F36" w:rsidRDefault="0028437D" w:rsidP="0028437D">
      <w:pPr>
        <w:pStyle w:val="NormalHanging12a"/>
        <w:rPr>
          <w:bCs/>
          <w:iCs/>
        </w:rPr>
      </w:pPr>
      <w:r w:rsidRPr="00236F36">
        <w:t>AG.</w:t>
      </w:r>
      <w:r w:rsidRPr="00236F36">
        <w:tab/>
        <w:t>întrucât controalele sanitare și fitosanitare (SPS) și reintroducerea formalităților vamale au perturbat exportul de bunuri perisabile, ceea ce a dus la creșterea deșeurilor și la pierderi financiare, precum și la o diminuare a circulației și disponibilității produselor nu doar între UE și Regatul Unit, ci și între Marea Britanie și Irlanda de Nord;</w:t>
      </w:r>
    </w:p>
    <w:p w14:paraId="727D6735" w14:textId="77777777" w:rsidR="0028437D" w:rsidRPr="00236F36" w:rsidRDefault="0028437D" w:rsidP="0028437D">
      <w:pPr>
        <w:pStyle w:val="NormalHanging12a"/>
        <w:rPr>
          <w:bCs/>
          <w:iCs/>
        </w:rPr>
      </w:pPr>
      <w:r w:rsidRPr="00236F36">
        <w:t>AH.</w:t>
      </w:r>
      <w:r w:rsidRPr="00236F36">
        <w:tab/>
        <w:t xml:space="preserve">întrucât, la </w:t>
      </w:r>
      <w:proofErr w:type="spellStart"/>
      <w:r w:rsidRPr="00236F36">
        <w:t>summitul</w:t>
      </w:r>
      <w:proofErr w:type="spellEnd"/>
      <w:r w:rsidRPr="00236F36">
        <w:t xml:space="preserve"> UE-Regatul Unit, deși Regatul Unit și-a reafirmat poziția de a nu adera la uniunea vamală a UE, ambele părți și-au exprimat intenția de a simplifica procedurile vamale pentru a reduce întârzierile și costurile operaționale și de a depune eforturi în direcția stabilirii unui spațiu sanitar și fitosanitar comun;</w:t>
      </w:r>
    </w:p>
    <w:p w14:paraId="4FED465A" w14:textId="77777777" w:rsidR="0028437D" w:rsidRPr="00236F36" w:rsidRDefault="0028437D" w:rsidP="0028437D">
      <w:pPr>
        <w:pStyle w:val="NormalHanging12a"/>
        <w:rPr>
          <w:bCs/>
          <w:iCs/>
        </w:rPr>
      </w:pPr>
      <w:r w:rsidRPr="00236F36">
        <w:t>AI.</w:t>
      </w:r>
      <w:r w:rsidRPr="00236F36">
        <w:tab/>
        <w:t>întrucât ACC cuprinde mai multe angajamente relevante pentru comerțul electronic, cum ar fi interzicerea taxelor vamale pentru transmisiile electronice; întrucât promovarea cooperării în materie de reglementare, inclusiv în ceea ce privește tehnologiile emergente, precum și mecanismele care facilitează transferurile de date, este esențială pentru comerțul electronic; întrucât au apărut provocări practice legate de punerea în aplicare a ACC și de creșterea semnificativă a tranzacțiilor comerciale electronice din ultima perioadă, ceea ce a afectat întreprinderile și consumatorii de ambele părți ale Canalului Mânecii; întrucât atât UE, cât și Regatul Unit au semnat Inițiativa comună a OMC privind comerțul electronic;</w:t>
      </w:r>
    </w:p>
    <w:p w14:paraId="5CB0CC53" w14:textId="77777777" w:rsidR="0028437D" w:rsidRPr="00236F36" w:rsidRDefault="0028437D" w:rsidP="0028437D">
      <w:pPr>
        <w:pStyle w:val="NormalHanging12a"/>
        <w:rPr>
          <w:szCs w:val="24"/>
        </w:rPr>
      </w:pPr>
      <w:r w:rsidRPr="00236F36">
        <w:t>AJ.</w:t>
      </w:r>
      <w:r w:rsidRPr="00236F36">
        <w:tab/>
        <w:t>întrucât, pentru continuarea punerii în aplicare a ACC, ar trebui să se depună eforturi deosebite de monitorizare a riscului de posibile divergențe în materie de reglementare; întrucât este extrem de important ca între părți să existe o cooperare cuprinzătoare în materie de reglementare; întrucât este de bun augur că, în anul 2024, au fost depuse, prin instrumentul online al Comisiei, doar două plângeri oficiale din partea părților interesate cu privire la punerea în aplicare a ACC; întrucât instituțiile europene continuă să colaboreze în mod regulat cu părțile interesate pentru a discuta aspectele practice ale punerii în aplicare a ACC;</w:t>
      </w:r>
    </w:p>
    <w:p w14:paraId="059B7FFF" w14:textId="77777777" w:rsidR="0028437D" w:rsidRPr="00236F36" w:rsidRDefault="0028437D" w:rsidP="0028437D">
      <w:pPr>
        <w:pStyle w:val="NormalHanging12a"/>
      </w:pPr>
      <w:r w:rsidRPr="00236F36">
        <w:t>AK.</w:t>
      </w:r>
      <w:r w:rsidRPr="00236F36">
        <w:tab/>
        <w:t xml:space="preserve">întrucât diferențele de reglementare dintre UE și Regatul Unit în domeniul sănătății publice s-au accentuat după </w:t>
      </w:r>
      <w:proofErr w:type="spellStart"/>
      <w:r w:rsidRPr="00236F36">
        <w:t>Brexit</w:t>
      </w:r>
      <w:proofErr w:type="spellEnd"/>
      <w:r w:rsidRPr="00236F36">
        <w:t xml:space="preserve">, având consecințe pentru procesele de autorizare a medicamentelor, lanțurile de aprovizionare transfrontaliere și accesul la tratamente critice; întrucât aceste diferențe au contribuit deja la penuria de medicamente și la creșterea costurilor de import, afectând în special regiunile și statele membre mai mici; întrucât ACC prevede doar mecanisme limitate de cooperare în domeniul sănătății, evidențiind necesitatea unei alinieri constante a reglementărilor, a unui schimb structurat de date și a unei pregătiri comune pentru situații de urgență cu scopul de a garanta accesul echitabil la medicamente sigure și eficace în ambele jurisdicții; </w:t>
      </w:r>
    </w:p>
    <w:p w14:paraId="398A0612" w14:textId="77777777" w:rsidR="0028437D" w:rsidRPr="00236F36" w:rsidRDefault="0028437D" w:rsidP="0028437D">
      <w:pPr>
        <w:pStyle w:val="NormalHanging12a"/>
        <w:rPr>
          <w:szCs w:val="24"/>
        </w:rPr>
      </w:pPr>
      <w:r w:rsidRPr="00236F36">
        <w:t>AL.</w:t>
      </w:r>
      <w:r w:rsidRPr="00236F36">
        <w:tab/>
        <w:t>întrucât, la 8 mai 2025, Regatul Unit și Statele Unite au ajuns la o înțelegere privind un Acord de prosperitate economică între SUA și Regatul Unit; întrucât astfel de acorduri pot avea un impact asupra condițiilor de concurență loială stabilite între UE și Regatul Unit în contextul ACC și ar putea conduce la alte abateri de reglementare de la standardele UE, în special în domenii precum siguranța alimentară, serviciile digitale și protecția forței de muncă; întrucât UE trebuie să se asigure că astfel de abateri nu subminează condițiile de concurență loială stabilite în cadrul ACC și nici nu afectează integritatea pieței unice a UE; întrucât, în acest sens, ar trebui să se acorde o atenție deosebită spațiului sanitar și fitosanitar comun planificat între UE și Regatul Unit;</w:t>
      </w:r>
    </w:p>
    <w:p w14:paraId="7F17AF5C" w14:textId="77777777" w:rsidR="0028437D" w:rsidRPr="00236F36" w:rsidRDefault="0028437D" w:rsidP="0028437D">
      <w:pPr>
        <w:pStyle w:val="NormalHanging12a"/>
      </w:pPr>
      <w:r w:rsidRPr="00236F36">
        <w:lastRenderedPageBreak/>
        <w:t>AM.</w:t>
      </w:r>
      <w:r w:rsidRPr="00236F36">
        <w:tab/>
        <w:t xml:space="preserve">întrucât atât consumatorii din UE, cât și cei din Regatul Unit ar beneficia de pe urma unei cooperări consolidate între Rețeaua UE de cooperare pentru protecția consumatorilor și Autoritatea pentru Concurență și Piețe din Regatul Unit; întrucât, în conformitate cu articolul 211 alineatul (1) din Acordul comercial și de cooperare, UE și Regatul Unit au convenit să coopereze cu privire la diferite aspecte în materie de reglementare a comerțului digital; întrucât confruntarea cu dificultățile generate de existența a două piețe vamale separate necesită un angajament constructiv și un schimb de informații în timp util între autoritățile vamale din UE și din Regatul Unit, în special în ceea ce privește punerea în aplicare a noilor obligații; </w:t>
      </w:r>
    </w:p>
    <w:p w14:paraId="4AAF5FEC" w14:textId="77777777" w:rsidR="0028437D" w:rsidRPr="00236F36" w:rsidRDefault="0028437D" w:rsidP="0028437D">
      <w:pPr>
        <w:pStyle w:val="NormalHanging12a"/>
        <w:rPr>
          <w:szCs w:val="24"/>
        </w:rPr>
      </w:pPr>
      <w:r w:rsidRPr="00236F36">
        <w:t>AN.</w:t>
      </w:r>
      <w:r w:rsidRPr="00236F36">
        <w:tab/>
        <w:t xml:space="preserve">întrucât, în ceea ce privește procesul de punere în aplicare a ACC la nivel intern în cadrul UE, </w:t>
      </w:r>
      <w:proofErr w:type="spellStart"/>
      <w:r w:rsidRPr="00236F36">
        <w:t>colegiuitorii</w:t>
      </w:r>
      <w:proofErr w:type="spellEnd"/>
      <w:r w:rsidRPr="00236F36">
        <w:t xml:space="preserve"> UE au finalizat cadrul de reglementare necesar prin adoptarea Regulamentului (UE) 2023/657 din 15 martie 2023 de stabilire a unor norme privind exercitarea drepturilor Uniunii pentru punerea în aplicare și asigurarea respectării Acordului de retragere și a Acordului comercial și de cooperare,</w:t>
      </w:r>
    </w:p>
    <w:p w14:paraId="44FFB22E" w14:textId="77777777" w:rsidR="0028437D" w:rsidRPr="00236F36" w:rsidRDefault="0028437D" w:rsidP="0028437D">
      <w:pPr>
        <w:pStyle w:val="NormalHanging12a"/>
        <w:rPr>
          <w:szCs w:val="24"/>
        </w:rPr>
      </w:pPr>
      <w:r w:rsidRPr="00236F36">
        <w:t>AO.</w:t>
      </w:r>
      <w:r w:rsidRPr="00236F36">
        <w:tab/>
        <w:t>întrucât UE și Regatul Unit au ambiții comune în domenii precum protecția mediului, clima și siguranța alimentară; întrucât, dacă se amplifică, divergențele normative în aceste domenii riscă să perturbe comerțul și să submineze eficacitatea acțiunilor în domeniile mediului și climei, în special în contextul Irlandei de Nord și Irlandei; întrucât, în 2024, guvernul Regatului Unit a pledat pentru o „</w:t>
      </w:r>
      <w:proofErr w:type="spellStart"/>
      <w:r w:rsidRPr="00236F36">
        <w:t>restartare</w:t>
      </w:r>
      <w:proofErr w:type="spellEnd"/>
      <w:r w:rsidRPr="00236F36">
        <w:t xml:space="preserve">” a relațiilor, pentru a amplifica cooperarea strategică și alinierea reglementărilor ca răspuns la provocările și prioritățile comune; </w:t>
      </w:r>
    </w:p>
    <w:p w14:paraId="20637990" w14:textId="77777777" w:rsidR="0028437D" w:rsidRPr="00236F36" w:rsidRDefault="0028437D" w:rsidP="0028437D">
      <w:pPr>
        <w:pStyle w:val="NormalHanging12a"/>
        <w:rPr>
          <w:szCs w:val="24"/>
        </w:rPr>
      </w:pPr>
      <w:r w:rsidRPr="00236F36">
        <w:t>AP.</w:t>
      </w:r>
      <w:r w:rsidRPr="00236F36">
        <w:tab/>
        <w:t xml:space="preserve">întrucât Comisia și Regatul Unit, în contextul </w:t>
      </w:r>
      <w:proofErr w:type="spellStart"/>
      <w:r w:rsidRPr="00236F36">
        <w:t>summitului</w:t>
      </w:r>
      <w:proofErr w:type="spellEnd"/>
      <w:r w:rsidRPr="00236F36">
        <w:t xml:space="preserve"> UE-Regatul Unit, au explorat domenii cu potențial de intensificare a cooperării bilaterale și s-au angajat să lucreze la instaurarea unui spațiu comun SPS, pentru a facilita comerțul agroalimentar; întrucât UE și Regatul Unit s-au angajat, totodată, să încerce să-și interconecteze sistemele de comercializare a certificatelor de emisii (ETS) și mecanismele de ajustare la frontieră a emisiilor de dioxid de carbon (CBAM); </w:t>
      </w:r>
    </w:p>
    <w:p w14:paraId="233B3D8A" w14:textId="77777777" w:rsidR="0028437D" w:rsidRPr="00236F36" w:rsidRDefault="0028437D" w:rsidP="0028437D">
      <w:pPr>
        <w:pStyle w:val="NormalHanging12a"/>
        <w:rPr>
          <w:szCs w:val="24"/>
        </w:rPr>
      </w:pPr>
      <w:r w:rsidRPr="00236F36">
        <w:t xml:space="preserve">AQ. </w:t>
      </w:r>
      <w:r w:rsidRPr="00236F36">
        <w:tab/>
        <w:t xml:space="preserve">întrucât ACC prevede coordonarea securității sociale, pentru a proteja drepturile de securitate socială ale persoanelor care se deplasează între UE și Regatul Unit după 1 ianuarie 2021; întrucât acesta prevede, de asemenea, condiții de concurență echitabile, pentru a asigura o concurență loială prin menținerea unor niveluri ridicate de protecție într-o serie de domenii, inclusiv în ceea ce privește drepturile sociale și drepturile lucrătorilor, cu mecanisme obligatorii de punere în aplicare și de soluționare a litigiilor în scopul asigurării conformității; </w:t>
      </w:r>
    </w:p>
    <w:p w14:paraId="32B4A1C3" w14:textId="77777777" w:rsidR="0028437D" w:rsidRPr="00236F36" w:rsidRDefault="0028437D" w:rsidP="0028437D">
      <w:pPr>
        <w:pStyle w:val="NormalHanging12a"/>
        <w:rPr>
          <w:szCs w:val="24"/>
        </w:rPr>
      </w:pPr>
      <w:r w:rsidRPr="00236F36">
        <w:t>AR.</w:t>
      </w:r>
      <w:r w:rsidRPr="00236F36">
        <w:tab/>
        <w:t xml:space="preserve">întrucât drepturile fundamentale la organizare, la negociere colectivă și la acțiune colectivă sunt consacrate în dreptul internațional și inerente asigurării dezvoltării durabile și a unor condiții corecte de concurență, cum se prevede în ACC, </w:t>
      </w:r>
    </w:p>
    <w:p w14:paraId="56AE8C62" w14:textId="77777777" w:rsidR="0028437D" w:rsidRPr="00236F36" w:rsidRDefault="0028437D" w:rsidP="0028437D">
      <w:pPr>
        <w:pStyle w:val="NormalHanging12a"/>
        <w:rPr>
          <w:szCs w:val="24"/>
        </w:rPr>
      </w:pPr>
      <w:r w:rsidRPr="00236F36">
        <w:t>AS.</w:t>
      </w:r>
      <w:r w:rsidRPr="00236F36">
        <w:tab/>
        <w:t xml:space="preserve">întrucât Legea Regatului Unit privind dreptul UE menținut în dreptul intern (revocare și reformă) din 2023 a primit avizul regal la 29 iunie 2023; întrucât această lege a revocat anumite legi ale UE menținute în dreptul intern până la sfârșitul anului 2023 și a eliminat statutul special al tuturor actelor legislative ale UE menținute în ordinea juridică a Regatului Unit; întrucât actul a delegat competențe importante autorităților Regatului Unit pentru a revoca, adapta sau modifica legislația menținută a UE; </w:t>
      </w:r>
    </w:p>
    <w:p w14:paraId="014C5D94" w14:textId="77777777" w:rsidR="0028437D" w:rsidRPr="00236F36" w:rsidRDefault="0028437D" w:rsidP="0028437D">
      <w:pPr>
        <w:pStyle w:val="NormalHanging12a"/>
        <w:rPr>
          <w:szCs w:val="24"/>
        </w:rPr>
      </w:pPr>
      <w:r w:rsidRPr="00236F36">
        <w:t>AT.</w:t>
      </w:r>
      <w:r w:rsidRPr="00236F36">
        <w:tab/>
        <w:t xml:space="preserve">întrucât libera circulație a lucrătorilor constituie un drept fundamental în UE; întrucât UE și Regatul Unit au un istoric de lungă durată a mobilității lucrătorilor și a educației </w:t>
      </w:r>
      <w:r w:rsidRPr="00236F36">
        <w:lastRenderedPageBreak/>
        <w:t xml:space="preserve">și formării profesionale a studenților; întrucât Erasmus+ a fost mult timp un instrument important în acest sens; întrucât acordul dintre UE și Regatul Unit de a depune eforturi în vederea asocierii Regatului Unit la programul Erasmus+ pentru a lărgi șansele educaționale, profesionale și culturale pentru tineri este binevenit; întrucât îmbunătățirea mobilității profesionale între UE și Regatul Unit ar putea contribui la depășirea problemelor legate de forța de muncă; întrucât este nevoie de un acord cuprinzător privind mobilitatea între UE și Regatul Unit, care să asigure protecția drepturilor lucrătorilor și circulația transfrontalieră a acestora; </w:t>
      </w:r>
    </w:p>
    <w:p w14:paraId="69AE9F4D" w14:textId="77777777" w:rsidR="0028437D" w:rsidRPr="00236F36" w:rsidRDefault="0028437D" w:rsidP="0028437D">
      <w:pPr>
        <w:pStyle w:val="NormalHanging12a"/>
        <w:rPr>
          <w:szCs w:val="24"/>
        </w:rPr>
      </w:pPr>
      <w:r w:rsidRPr="00236F36">
        <w:t>AU.</w:t>
      </w:r>
      <w:r w:rsidRPr="00236F36">
        <w:tab/>
        <w:t xml:space="preserve">întrucât Regatul Unit nu este asociat la programul Erasmus+ 2021-2027, nici la programul „Corpul european de solidaritate” 2021-2027 sau programul „Europa creativă” 2021-2027; </w:t>
      </w:r>
    </w:p>
    <w:p w14:paraId="6B223113" w14:textId="77777777" w:rsidR="0028437D" w:rsidRPr="00236F36" w:rsidRDefault="0028437D" w:rsidP="0028437D">
      <w:pPr>
        <w:pStyle w:val="NormalHanging12a"/>
        <w:rPr>
          <w:szCs w:val="24"/>
        </w:rPr>
      </w:pPr>
      <w:r w:rsidRPr="00236F36">
        <w:t>AV.</w:t>
      </w:r>
      <w:r w:rsidRPr="00236F36">
        <w:tab/>
        <w:t xml:space="preserve">întrucât sectoarele culturale și creative nu sunt incluse în ACC, care menționează termenul „educație” numai în legătură cu securitatea cibernetică și necesitatea de a educa cetățenii despre problemele conexe; </w:t>
      </w:r>
    </w:p>
    <w:p w14:paraId="19C1A4FC" w14:textId="77777777" w:rsidR="0028437D" w:rsidRPr="00236F36" w:rsidRDefault="0028437D" w:rsidP="0028437D">
      <w:pPr>
        <w:pStyle w:val="NormalHanging12a"/>
        <w:rPr>
          <w:szCs w:val="24"/>
        </w:rPr>
      </w:pPr>
      <w:r w:rsidRPr="00236F36">
        <w:t>AW.</w:t>
      </w:r>
      <w:r w:rsidRPr="00236F36">
        <w:tab/>
        <w:t xml:space="preserve">întrucât, ca urmare a </w:t>
      </w:r>
      <w:proofErr w:type="spellStart"/>
      <w:r w:rsidRPr="00236F36">
        <w:t>Brexitului</w:t>
      </w:r>
      <w:proofErr w:type="spellEnd"/>
      <w:r w:rsidRPr="00236F36">
        <w:t>, cetățenii UE</w:t>
      </w:r>
      <w:r w:rsidRPr="00236F36">
        <w:rPr>
          <w:rStyle w:val="FootnoteReference"/>
          <w:szCs w:val="24"/>
        </w:rPr>
        <w:footnoteReference w:id="17"/>
      </w:r>
      <w:r w:rsidRPr="00236F36">
        <w:t xml:space="preserve"> care studiază în Regatul Unit nu mai au dreptul la „taxe naționale”, fiind obligați să plătească taxe mai mari, ca studenți internaționali; întrucât această modificare face ca studiile în Regatul Unit să fie exagerat de costisitoare, penalizând mai ales tinerii care provin din medii dezavantajate social, deoarece nu există un plafon tarifar al taxelor de școlarizare pentru studenții internaționali; </w:t>
      </w:r>
    </w:p>
    <w:p w14:paraId="34E30D6C" w14:textId="77777777" w:rsidR="0028437D" w:rsidRPr="00236F36" w:rsidRDefault="0028437D" w:rsidP="0028437D">
      <w:pPr>
        <w:pStyle w:val="NormalHanging12a"/>
        <w:rPr>
          <w:szCs w:val="24"/>
        </w:rPr>
      </w:pPr>
      <w:r w:rsidRPr="00236F36">
        <w:t>AX.</w:t>
      </w:r>
      <w:r w:rsidRPr="00236F36">
        <w:tab/>
        <w:t>întrucât programul Turing nu poate fi considerat un înlocuitor al programului Erasmus+, deoarece finanțează doar mobilitatea externă; întrucât, în ultimul an al programului Erasmus+ (2019-2020) în Regatul Unit, fondurile alocate Regatului Unit au fost de 200 de milioane GBP, o sumă mai mare decât cele 110 milioane GBP alocată programului Turing în 2022-2023</w:t>
      </w:r>
      <w:r w:rsidRPr="00236F36">
        <w:rPr>
          <w:rStyle w:val="FootnoteReference"/>
          <w:szCs w:val="24"/>
        </w:rPr>
        <w:footnoteReference w:id="18"/>
      </w:r>
      <w:r w:rsidRPr="00236F36">
        <w:t xml:space="preserve">; </w:t>
      </w:r>
    </w:p>
    <w:p w14:paraId="0586B2B8" w14:textId="77777777" w:rsidR="0028437D" w:rsidRPr="00236F36" w:rsidRDefault="0028437D" w:rsidP="0028437D">
      <w:pPr>
        <w:pStyle w:val="NormalHanging12a"/>
        <w:rPr>
          <w:szCs w:val="24"/>
        </w:rPr>
      </w:pPr>
      <w:r w:rsidRPr="00236F36">
        <w:t>AY.</w:t>
      </w:r>
      <w:r w:rsidRPr="00236F36">
        <w:tab/>
        <w:t>întrucât între 2013 și 2016, 52,7 % din totalul stagiilor de mobilitate ale studenților din Regatul Unit au avut loc într-un stat membru al UE</w:t>
      </w:r>
      <w:r w:rsidRPr="00236F36">
        <w:rPr>
          <w:rStyle w:val="FootnoteReference"/>
          <w:szCs w:val="24"/>
        </w:rPr>
        <w:footnoteReference w:id="19"/>
      </w:r>
      <w:r w:rsidRPr="00236F36">
        <w:t>; întrucât 6 din 10 stagii de mobilitate în cadrul programului Turing pentru anul universitar 2021-2022 au avut loc în afara UE</w:t>
      </w:r>
      <w:r w:rsidRPr="00236F36">
        <w:rPr>
          <w:rStyle w:val="FootnoteReference"/>
          <w:szCs w:val="24"/>
        </w:rPr>
        <w:footnoteReference w:id="20"/>
      </w:r>
      <w:r w:rsidRPr="00236F36">
        <w:t xml:space="preserve">; </w:t>
      </w:r>
    </w:p>
    <w:p w14:paraId="1B82DF17" w14:textId="77777777" w:rsidR="0028437D" w:rsidRPr="00236F36" w:rsidRDefault="0028437D" w:rsidP="0028437D">
      <w:pPr>
        <w:pStyle w:val="NormalHanging12a"/>
        <w:rPr>
          <w:szCs w:val="24"/>
        </w:rPr>
      </w:pPr>
      <w:r w:rsidRPr="00236F36">
        <w:lastRenderedPageBreak/>
        <w:t>AZ.</w:t>
      </w:r>
      <w:r w:rsidRPr="00236F36">
        <w:tab/>
        <w:t xml:space="preserve">întrucât numărul studenților din UE aflați în Regatul Unit a scăzut de la 66 685 în anul universitar imediat înainte de </w:t>
      </w:r>
      <w:proofErr w:type="spellStart"/>
      <w:r w:rsidRPr="00236F36">
        <w:t>Brexit</w:t>
      </w:r>
      <w:proofErr w:type="spellEnd"/>
      <w:r w:rsidRPr="00236F36">
        <w:t xml:space="preserve"> la 28 375 în anul universitar 2023-2024</w:t>
      </w:r>
      <w:r w:rsidRPr="00236F36">
        <w:rPr>
          <w:rStyle w:val="FootnoteReference"/>
          <w:szCs w:val="24"/>
        </w:rPr>
        <w:footnoteReference w:id="21"/>
      </w:r>
      <w:r w:rsidRPr="00236F36">
        <w:t xml:space="preserve">; </w:t>
      </w:r>
    </w:p>
    <w:p w14:paraId="06B52936" w14:textId="77777777" w:rsidR="0028437D" w:rsidRPr="00236F36" w:rsidRDefault="0028437D" w:rsidP="0028437D">
      <w:pPr>
        <w:pStyle w:val="NormalHanging12a"/>
        <w:rPr>
          <w:szCs w:val="24"/>
          <w:vertAlign w:val="superscript"/>
        </w:rPr>
      </w:pPr>
      <w:r w:rsidRPr="00236F36">
        <w:t>BA.</w:t>
      </w:r>
      <w:r w:rsidRPr="00236F36">
        <w:tab/>
        <w:t xml:space="preserve">întrucât guvernul Țării Galilor a pus în aplicare programul de schimb internațional în domeniul educației </w:t>
      </w:r>
      <w:proofErr w:type="spellStart"/>
      <w:r w:rsidRPr="00236F36">
        <w:t>Taith</w:t>
      </w:r>
      <w:proofErr w:type="spellEnd"/>
      <w:r w:rsidRPr="00236F36">
        <w:rPr>
          <w:rStyle w:val="FootnoteReference"/>
          <w:szCs w:val="24"/>
        </w:rPr>
        <w:footnoteReference w:id="22"/>
      </w:r>
      <w:r w:rsidRPr="00236F36">
        <w:t xml:space="preserve"> pentru a oferi mobilitate studenților în exterior și în interior, vizând grupurile subreprezentate și organizațiile mai mici; întrucât guvernul scoțian a introdus programul de schimb educațional Test </w:t>
      </w:r>
      <w:proofErr w:type="spellStart"/>
      <w:r w:rsidRPr="00236F36">
        <w:t>and</w:t>
      </w:r>
      <w:proofErr w:type="spellEnd"/>
      <w:r w:rsidRPr="00236F36">
        <w:t xml:space="preserve"> </w:t>
      </w:r>
      <w:proofErr w:type="spellStart"/>
      <w:r w:rsidRPr="00236F36">
        <w:t>Learn</w:t>
      </w:r>
      <w:proofErr w:type="spellEnd"/>
      <w:r w:rsidRPr="00236F36">
        <w:rPr>
          <w:rStyle w:val="FootnoteReference"/>
          <w:szCs w:val="24"/>
        </w:rPr>
        <w:footnoteReference w:id="23"/>
      </w:r>
      <w:r w:rsidRPr="00236F36">
        <w:t>; salută decizia guvernului irlandez de a finanța mobilitatea Erasmus+ pentru studenții universităților din Irlanda de Nord, indiferent de naționalitate, prin înscrierea lor în universitățile irlandeze pe durata schimbului</w:t>
      </w:r>
      <w:r w:rsidRPr="00236F36">
        <w:rPr>
          <w:rStyle w:val="FootnoteReference"/>
          <w:szCs w:val="24"/>
        </w:rPr>
        <w:footnoteReference w:id="24"/>
      </w:r>
      <w:r w:rsidRPr="00236F36">
        <w:t>;</w:t>
      </w:r>
    </w:p>
    <w:p w14:paraId="6EFAA467" w14:textId="77777777" w:rsidR="0028437D" w:rsidRPr="00236F36" w:rsidRDefault="0028437D" w:rsidP="0028437D">
      <w:pPr>
        <w:pStyle w:val="NormalHanging12a"/>
        <w:rPr>
          <w:szCs w:val="24"/>
        </w:rPr>
      </w:pPr>
      <w:r w:rsidRPr="00236F36">
        <w:t>BB.</w:t>
      </w:r>
      <w:r w:rsidRPr="00236F36">
        <w:tab/>
        <w:t>întrucât Strategia internațională de educație a Regatului Unit a stabilit ca obiectiv creșterea numărului de studenți internaționali primiți în instituțiile de învățământ superior din Regatul Unit în fiecare an de la 400 000 la 600 000 până în 2030</w:t>
      </w:r>
      <w:r w:rsidRPr="00236F36">
        <w:rPr>
          <w:rStyle w:val="FootnoteReference"/>
          <w:szCs w:val="24"/>
        </w:rPr>
        <w:footnoteReference w:id="25"/>
      </w:r>
      <w:r w:rsidRPr="00236F36">
        <w:t xml:space="preserve">; </w:t>
      </w:r>
    </w:p>
    <w:p w14:paraId="2081EE91" w14:textId="77777777" w:rsidR="0028437D" w:rsidRPr="00236F36" w:rsidRDefault="0028437D" w:rsidP="0028437D">
      <w:pPr>
        <w:pStyle w:val="NormalHanging12a"/>
        <w:rPr>
          <w:szCs w:val="24"/>
        </w:rPr>
      </w:pPr>
      <w:r w:rsidRPr="00236F36">
        <w:t>BC.</w:t>
      </w:r>
      <w:r w:rsidRPr="00236F36">
        <w:tab/>
        <w:t>întrucât declarația politică din 2019 de stabilire a cadrului viitoarelor relații dintre UE și Regatul Unit prevedea că „[p]</w:t>
      </w:r>
      <w:proofErr w:type="spellStart"/>
      <w:r w:rsidRPr="00236F36">
        <w:t>ărțile</w:t>
      </w:r>
      <w:proofErr w:type="spellEnd"/>
      <w:r w:rsidRPr="00236F36">
        <w:t xml:space="preserve"> convin să ia în considerare condiții pentru intrarea și șederea în scopuri cum ar fi cercetarea, studiul, formarea și schimburile de tineret”</w:t>
      </w:r>
      <w:r w:rsidRPr="00236F36">
        <w:rPr>
          <w:rStyle w:val="FootnoteReference"/>
          <w:szCs w:val="24"/>
        </w:rPr>
        <w:footnoteReference w:id="26"/>
      </w:r>
      <w:r w:rsidRPr="00236F36">
        <w:t xml:space="preserve">; întrucât schimburile de tineri au fost considerate una din prioritățile relațiilor dintre UE și Regatul Unit la reuniunea Consiliului Afaceri Generale din 17 decembrie 2024; </w:t>
      </w:r>
    </w:p>
    <w:p w14:paraId="33AA00ED" w14:textId="77777777" w:rsidR="0028437D" w:rsidRPr="00236F36" w:rsidRDefault="0028437D" w:rsidP="0028437D">
      <w:pPr>
        <w:pStyle w:val="NormalHanging12a"/>
        <w:rPr>
          <w:szCs w:val="24"/>
        </w:rPr>
      </w:pPr>
      <w:r w:rsidRPr="00236F36">
        <w:t>BD.</w:t>
      </w:r>
      <w:r w:rsidRPr="00236F36">
        <w:tab/>
        <w:t xml:space="preserve">întrucât artiștii și lucrătorii culturali din Regatul Unit fac în prezent obiectul normelor Schengen, ceea ce creează dificultăți, cum ar fi costuri mult mai mari și necesitatea de a obține permise de transport pentru echipamente și vize pentru spectacole culturale, atunci când efectuează turnee în diferite țări europene pe perioade scurte; </w:t>
      </w:r>
    </w:p>
    <w:p w14:paraId="1BF24C2E" w14:textId="77777777" w:rsidR="0028437D" w:rsidRPr="00236F36" w:rsidRDefault="0028437D" w:rsidP="0028437D">
      <w:pPr>
        <w:pStyle w:val="NormalHanging12a"/>
        <w:rPr>
          <w:szCs w:val="24"/>
        </w:rPr>
      </w:pPr>
      <w:r w:rsidRPr="00236F36">
        <w:t>BE.</w:t>
      </w:r>
      <w:r w:rsidRPr="00236F36">
        <w:tab/>
        <w:t xml:space="preserve">întrucât ACC aplică o excepție culturală, care exclude serviciile audiovizuale din sfera sa de aplicare, în pofida faptului că UE și Regatul Unit împărtășesc numeroase valori comune în domeniile culturii și educației; întrucât Regatul Unit rămâne parte la Convenția europeană privind televiziunea transfrontalieră, iar operele audiovizuale originare din Regatul Unit sunt considerate „opere europene” în conformitate cu </w:t>
      </w:r>
      <w:r w:rsidRPr="00236F36">
        <w:lastRenderedPageBreak/>
        <w:t>articolul 1 alineatul (1) litera (n) punctul (iii) din Directiva serviciilor mass-media audiovizuale</w:t>
      </w:r>
      <w:r w:rsidRPr="00236F36">
        <w:rPr>
          <w:rStyle w:val="FootnoteReference"/>
          <w:szCs w:val="24"/>
        </w:rPr>
        <w:footnoteReference w:id="27"/>
      </w:r>
      <w:r w:rsidRPr="00236F36">
        <w:t xml:space="preserve">; </w:t>
      </w:r>
    </w:p>
    <w:p w14:paraId="39615083" w14:textId="77777777" w:rsidR="0028437D" w:rsidRPr="00236F36" w:rsidRDefault="0028437D" w:rsidP="0028437D">
      <w:pPr>
        <w:pStyle w:val="NormalHanging12a"/>
        <w:rPr>
          <w:szCs w:val="24"/>
        </w:rPr>
      </w:pPr>
      <w:r w:rsidRPr="00236F36">
        <w:t>BF.</w:t>
      </w:r>
      <w:r w:rsidRPr="00236F36">
        <w:tab/>
        <w:t xml:space="preserve">întrucât concluziile </w:t>
      </w:r>
      <w:proofErr w:type="spellStart"/>
      <w:r w:rsidRPr="00236F36">
        <w:t>summitului</w:t>
      </w:r>
      <w:proofErr w:type="spellEnd"/>
      <w:r w:rsidRPr="00236F36">
        <w:t xml:space="preserve"> UE-Regatul Unit menționează eforturi în vederea unui viitor program de schimb de experiență pentru tineri și reasocierea Regatului Unit la programul Erasmus+, precum și schimburile culturale și artistice și artiștii aflați în turnee; </w:t>
      </w:r>
    </w:p>
    <w:p w14:paraId="655A7639" w14:textId="77777777" w:rsidR="0028437D" w:rsidRPr="00236F36" w:rsidRDefault="0028437D" w:rsidP="0028437D">
      <w:pPr>
        <w:pStyle w:val="NormalHanging12a"/>
        <w:rPr>
          <w:szCs w:val="24"/>
        </w:rPr>
      </w:pPr>
      <w:r w:rsidRPr="00236F36">
        <w:t>BG.</w:t>
      </w:r>
      <w:r w:rsidRPr="00236F36">
        <w:tab/>
        <w:t xml:space="preserve">întrucât, de la </w:t>
      </w:r>
      <w:proofErr w:type="spellStart"/>
      <w:r w:rsidRPr="00236F36">
        <w:t>Brexit</w:t>
      </w:r>
      <w:proofErr w:type="spellEnd"/>
      <w:r w:rsidRPr="00236F36">
        <w:t xml:space="preserve">, sportivii din UE au nevoie de un permis de muncă pentru a-și desfășura activitatea în Regatul Unit; întrucât ACC nu conține nicio dispoziție legată de consolidarea capacităților organizațiilor de la nivel local și profesional, a parteneriatelor și a schimburilor în domeniul sportului, </w:t>
      </w:r>
    </w:p>
    <w:p w14:paraId="5A76513B" w14:textId="77777777" w:rsidR="0028437D" w:rsidRPr="00236F36" w:rsidRDefault="0028437D" w:rsidP="0028437D">
      <w:pPr>
        <w:pStyle w:val="NormalHanging12a"/>
        <w:rPr>
          <w:b/>
          <w:bCs/>
          <w:i/>
          <w:szCs w:val="24"/>
        </w:rPr>
      </w:pPr>
      <w:r w:rsidRPr="00236F36">
        <w:rPr>
          <w:b/>
          <w:i/>
        </w:rPr>
        <w:t>Concluziile principale</w:t>
      </w:r>
    </w:p>
    <w:p w14:paraId="08172D30" w14:textId="77777777" w:rsidR="0028437D" w:rsidRPr="00236F36" w:rsidRDefault="0028437D" w:rsidP="0028437D">
      <w:pPr>
        <w:pStyle w:val="NormalHanging12a"/>
        <w:rPr>
          <w:szCs w:val="24"/>
        </w:rPr>
      </w:pPr>
      <w:r w:rsidRPr="00236F36">
        <w:t>1.</w:t>
      </w:r>
      <w:r w:rsidRPr="00236F36">
        <w:tab/>
        <w:t>subliniază că UE și Regatul Unit sunt vecini, parteneri și aliați apropiați care împărtășesc aceeași viziune, valori comune, interese și legături istorice și care se confruntă cu aceeași situație de securitate volatilă în Europa și în vecinătatea sa; subliniază că întărirea relației dintre UE și Regatul Unit contribuie la îmbunătățirea competitivității generale și a autonomiei strategice a Europei;</w:t>
      </w:r>
    </w:p>
    <w:p w14:paraId="7C2D3B5D" w14:textId="77777777" w:rsidR="0028437D" w:rsidRPr="00236F36" w:rsidRDefault="0028437D" w:rsidP="0028437D">
      <w:pPr>
        <w:pStyle w:val="NormalHanging12a"/>
        <w:rPr>
          <w:szCs w:val="24"/>
        </w:rPr>
      </w:pPr>
      <w:r w:rsidRPr="00236F36">
        <w:t>2.</w:t>
      </w:r>
      <w:r w:rsidRPr="00236F36">
        <w:tab/>
        <w:t>recunoaște rolul important al Regatului Unit în asigurarea păcii, a securității și stabilității continentului european și nu numai; subliniază că numărul tot mai mare de amenințări convenționale și hibride necesită o acțiune internațională puternică și coordonată pentru a ne asigura viitorul comun;</w:t>
      </w:r>
    </w:p>
    <w:p w14:paraId="6E4B5013" w14:textId="77777777" w:rsidR="0028437D" w:rsidRPr="00236F36" w:rsidRDefault="0028437D" w:rsidP="0028437D">
      <w:pPr>
        <w:pStyle w:val="NormalHanging12a"/>
      </w:pPr>
      <w:r w:rsidRPr="00236F36">
        <w:t>3.</w:t>
      </w:r>
      <w:r w:rsidRPr="00236F36">
        <w:tab/>
        <w:t>reamintește că relația dintre UE și Regatul Unit se bazează pe respectarea deplină și pe punerea în aplicare integrală, în timp util și fidelă a Acordului de retragere, inclusiv a Cadrului Windsor și a ACC;</w:t>
      </w:r>
    </w:p>
    <w:p w14:paraId="5A4BDB51" w14:textId="77777777" w:rsidR="0028437D" w:rsidRPr="00236F36" w:rsidRDefault="0028437D" w:rsidP="0028437D">
      <w:pPr>
        <w:pStyle w:val="NormalHanging12a"/>
        <w:rPr>
          <w:szCs w:val="24"/>
        </w:rPr>
      </w:pPr>
      <w:r w:rsidRPr="00236F36">
        <w:t>4.</w:t>
      </w:r>
      <w:r w:rsidRPr="00236F36">
        <w:tab/>
        <w:t xml:space="preserve">salută concluziile ambițioase ale primului summit UE-Regatul Unit, care a avut loc la Londra la 19 mai 2025, precum și spiritul pozitiv și constructiv demonstrat de ambele părți; observă că liderii au încheiat </w:t>
      </w:r>
      <w:proofErr w:type="spellStart"/>
      <w:r w:rsidRPr="00236F36">
        <w:t>summitul</w:t>
      </w:r>
      <w:proofErr w:type="spellEnd"/>
      <w:r w:rsidRPr="00236F36">
        <w:t xml:space="preserve"> adoptând trei documente de referință, și anume declarația comună, parteneriatul pentru securitate și apărare și înțelegerea comună privind o agendă reînnoită pentru cooperarea dintre Uniunea Europeană și Regatul Unit; salută, în special, acordul privind un nou parteneriat strategic UE-Regatul Unit, care marchează o reînnoire a angajamentelor reciproce și o aprofundare a cooperării bilaterale, precum și acordul de a organiza </w:t>
      </w:r>
      <w:proofErr w:type="spellStart"/>
      <w:r w:rsidRPr="00236F36">
        <w:t>summituri</w:t>
      </w:r>
      <w:proofErr w:type="spellEnd"/>
      <w:r w:rsidRPr="00236F36">
        <w:t xml:space="preserve"> anuale între cele două părți;</w:t>
      </w:r>
    </w:p>
    <w:p w14:paraId="2B299A5A" w14:textId="77777777" w:rsidR="0028437D" w:rsidRPr="00236F36" w:rsidRDefault="0028437D" w:rsidP="0028437D">
      <w:pPr>
        <w:pStyle w:val="NormalHanging12a"/>
        <w:rPr>
          <w:szCs w:val="24"/>
        </w:rPr>
      </w:pPr>
      <w:r w:rsidRPr="00236F36">
        <w:t>5.</w:t>
      </w:r>
      <w:r w:rsidRPr="00236F36">
        <w:tab/>
        <w:t xml:space="preserve">insistă că este nevoie de coerență geografică pentru a asigura pacea, securitatea și stabilitatea Europei și reziliența bazei industriale europene; subliniază, în acest sens, că </w:t>
      </w:r>
      <w:proofErr w:type="spellStart"/>
      <w:r w:rsidRPr="00236F36">
        <w:t>summitul</w:t>
      </w:r>
      <w:proofErr w:type="spellEnd"/>
      <w:r w:rsidRPr="00236F36">
        <w:t xml:space="preserve"> UE-Regatul Unit a reprezentat o etapă în relansarea și consolidarea parteneriatului dintre UE și Regatul Unit și un punct de plecare pentru o cooperare mai structurată, în special prin lansarea parteneriatului pentru securitate și apărare; consideră că declarațiile politice și bunele intenții trebuie concretizate acum și insistă că atât UE, </w:t>
      </w:r>
      <w:r w:rsidRPr="00236F36">
        <w:lastRenderedPageBreak/>
        <w:t xml:space="preserve">cât și Regatul Unit trebuie să-și respecte și să-și îndeplinească angajamentele, în special acțiunile privind industria de apărare; </w:t>
      </w:r>
    </w:p>
    <w:p w14:paraId="7613460F" w14:textId="77777777" w:rsidR="0028437D" w:rsidRPr="00236F36" w:rsidRDefault="0028437D" w:rsidP="0028437D">
      <w:pPr>
        <w:pStyle w:val="NormalHanging12a"/>
        <w:rPr>
          <w:szCs w:val="24"/>
        </w:rPr>
      </w:pPr>
      <w:r w:rsidRPr="00236F36">
        <w:t>6.</w:t>
      </w:r>
      <w:r w:rsidRPr="00236F36">
        <w:tab/>
        <w:t xml:space="preserve">subliniază că ACC reprezintă unul dintre cele mai ambițioase și mai cuprinzătoare acorduri comerciale pe care UE le-a încheiat cu o țară non-UE; subliniază însă că, deși nu înlocuiește și nu poate înlocui apartenența la UE și beneficiile care decurg din accesul la piața unică și la uniunea vamală, ACC deține totuși un potențial important pentru cooperarea viitoare, astfel cum reiese din diversele angajamente asumate la nivel politic la </w:t>
      </w:r>
      <w:proofErr w:type="spellStart"/>
      <w:r w:rsidRPr="00236F36">
        <w:t>summitul</w:t>
      </w:r>
      <w:proofErr w:type="spellEnd"/>
      <w:r w:rsidRPr="00236F36">
        <w:t xml:space="preserve"> recent; salută angajamentul comun al UE și al Regatului Unit, asumat în cadrul </w:t>
      </w:r>
      <w:proofErr w:type="spellStart"/>
      <w:r w:rsidRPr="00236F36">
        <w:t>summitului</w:t>
      </w:r>
      <w:proofErr w:type="spellEnd"/>
      <w:r w:rsidRPr="00236F36">
        <w:t xml:space="preserve">, de a-și reafirma sprijinul reciproc pentru comerțul liber, echitabil, durabil și deschis, în conformitate cu valorile lor comune; </w:t>
      </w:r>
    </w:p>
    <w:p w14:paraId="5C73A5B5" w14:textId="77777777" w:rsidR="0028437D" w:rsidRPr="00236F36" w:rsidRDefault="0028437D" w:rsidP="0028437D">
      <w:pPr>
        <w:pStyle w:val="NormalHanging12a"/>
      </w:pPr>
      <w:r w:rsidRPr="00236F36">
        <w:t>7.</w:t>
      </w:r>
      <w:r w:rsidRPr="00236F36">
        <w:tab/>
        <w:t>accentuează că este important să se pună pe deplin în aplicare dispozițiile incluse în ambele acorduri și să se evalueze și să se trateze cât mai curând posibil problemele potențiale în aplicarea Acordului de retragere și a ACC, pentru a evita întârzieri și alte probleme la aplicarea acestora;</w:t>
      </w:r>
    </w:p>
    <w:p w14:paraId="5BA8FF1F" w14:textId="77777777" w:rsidR="0028437D" w:rsidRPr="00236F36" w:rsidRDefault="0028437D" w:rsidP="0028437D">
      <w:pPr>
        <w:pStyle w:val="NormalHanging12a"/>
      </w:pPr>
      <w:r w:rsidRPr="00236F36">
        <w:t>8.</w:t>
      </w:r>
      <w:r w:rsidRPr="00236F36">
        <w:tab/>
        <w:t>consideră binevenit faptul că aplicarea ACC continuă să progreseze fără probleme, toate angajamentele scadente în 2023 și 2024 fiind fie finalizate, fie pe drumul cel bun; invită Comisia să continue să monitorizeze îndeaproape aplicarea corectă a ACC;</w:t>
      </w:r>
    </w:p>
    <w:p w14:paraId="7D503774" w14:textId="77777777" w:rsidR="0028437D" w:rsidRPr="00236F36" w:rsidRDefault="0028437D" w:rsidP="0028437D">
      <w:pPr>
        <w:pStyle w:val="NormalHanging12a"/>
      </w:pPr>
      <w:r w:rsidRPr="00236F36">
        <w:t>9.</w:t>
      </w:r>
      <w:r w:rsidRPr="00236F36">
        <w:tab/>
        <w:t xml:space="preserve">reamintește situația specifică a Irlandei de Nord, ca urmare a Protocolului privind Irlanda și Irlanda de Nord, încheiat pentru a menține beneficiile aduse de Acordul din Vinerea Mare, în urma retragerii Regatului Unit din UE; sprijină recunoașterea continuă a poziției unice și speciale a Irlandei de Nord, țara menținând accesul dublu atât la piața unică a UE, cât și la piața internă a Regatului Unit, astfel cum s-a subliniat în cadrul </w:t>
      </w:r>
      <w:proofErr w:type="spellStart"/>
      <w:r w:rsidRPr="00236F36">
        <w:t>summitului</w:t>
      </w:r>
      <w:proofErr w:type="spellEnd"/>
      <w:r w:rsidRPr="00236F36">
        <w:t xml:space="preserve">; solicită punerea în aplicare deplină, la timp și fidelă a tuturor componentelor Cadrului de la Windsor pentru a asigura beneficii de durată, certitudine juridică, stabilitate pe termen lung, sprijin concret și previzibilitate pentru întreprinderile și cetățenii din Irlanda de Nord, a asigura mai multă protecție pentru întreaga economie insulară, a evita o frontieră strict controlată pe insula Irlandei, a menține beneficiile aduse de Acordul din Vinerea Mare în toate aspectele sale, a asigura un comerț și o cooperare armonioase, păstrând totodată integritatea pieței unice și a uniunii vamale; solicită măsuri care să prevină perturbările legăturilor comerciale strânse dintre Irlanda și Irlanda de Nord prin modificarea cadrelor juridice sau de reglementare, în special în ceea ce privește serviciile furnizate consumatorilor și IMM-urilor care nu pot profita de mobilitate; reamintește că UE a aplicat rapid toate aspectele Cadrului de la Windsor și, în prezent, se așteaptă ca Regatul Unit să pună rapid în aplicare, complet și fidel, partea care-i revine, pentru a asigura stabilitatea pe termen lung a relațiilor dintre UE și Regatul Unit; subliniază că acest lucru include operaționalizarea efectivă a mecanismelor sale vamale și legate de SPS pentru a aborda problemele de circulație a mărfurilor din Marea Britanie către Irlanda de Nord și pentru a evita perturbarea livrării și reducerea disponibilității produselor pentru consumatorii din Irlanda de Nord; solicită punerea deplină în aplicare a mecanismelor de schimburi de informații și o mai bună monitorizare a noilor procese și sisteme de coletărie în temeiul Cadrului Windsor și a impactului acestora asupra accesului pe piață al consumatorilor; observă că o cooperare mai strânsă între autorități și schimbul de informații despre viitoarea platformă de date a UE ar îmbunătăți procedurile de trecere a frontierei, prin furnizarea datelor și a documentației necesare; </w:t>
      </w:r>
    </w:p>
    <w:p w14:paraId="096C4C43" w14:textId="77777777" w:rsidR="0028437D" w:rsidRPr="00236F36" w:rsidRDefault="0028437D" w:rsidP="0028437D">
      <w:pPr>
        <w:pStyle w:val="NormalHanging12a"/>
      </w:pPr>
      <w:r w:rsidRPr="00236F36">
        <w:t>10.</w:t>
      </w:r>
      <w:r w:rsidRPr="00236F36">
        <w:tab/>
        <w:t xml:space="preserve">subliniază importanța istorică a Acordului din Vinerea Mare și felicită toate părțile implicate pentru că susțin și pun în aplicare în continuare acordul și valorile sale, ca </w:t>
      </w:r>
      <w:r w:rsidRPr="00236F36">
        <w:lastRenderedPageBreak/>
        <w:t xml:space="preserve">pilon esențial al proceselor de reconciliere care rămân un exemplu pozitiv pentru alte țări de pe continent și nu numai; reamintește angajamentul obligatoriu luat de UK în temeiul articolului 2 din Cadrul Windsor de a nu știrbi drepturile, garanțiile sau egalitatea de șanse, după cum se prevede în Acordul din Vinerea Mare; subliniază că a proteja efectiv aceste drepturi este esențial și pentru menține un climat de încredere și cooperare în temeiul ACC, în special în domenii precum impunerea legii, drepturile lucrătorilor și accesul la justiție; invită Comisia să monitorizeze în continuare respectarea acestei obligații și să colaboreze cu autoritățile competente din Regatul Unit în cazul în care apar riscuri de diminuare a drepturilor; reamintește că orice modificare la cele șase directive ale UE privind egalitatea enumerate în anexa 1 la Acordul de retragere dintre UE și Regatul Unit trebuie să se reflecte în legislația Irlandei de Nord pentru a asigura nediminuarea drepturilor; solicită Comisiei să numească un reprezentant de legătură special pentru Irlanda de Nord, pentru a asigura un dialog structurat și continuu cu reprezentanții politici și părțile interesate în scopul construirii încrederii și al coordonării eforturilor; constată că există o nevoie deosebită ca UE să colaboreze cu parlamentul și guvernul Irlandei de Nord în ceea ce privește aspectele reglementate de Cadrul Windsor; solicită, în acest sens, o mai mare implicare a parlamentelor și adunărilor națiunilor descentralizate din Regatul Unit, în special a celor din Irlanda de Nord, în Adunarea Parlamentară a Parteneriatului UE-Regatul Unit, astfel încât interesele cetățenilor din Irlanda de Nord să poată fi cel mai bine articulate; solicită eforturi suplimentare pentru a consolida reprezentarea democratică a cetățenilor UE care locuiesc în Irlanda de Nord; încurajează, de asemenea, consultarea adecvată a administrațiilor națiunilor descentralizate în relația dintre UE și Regatul Unit, în conformitate cu competențele lor respective; constată că situația unică din Irlanda de Nord necesită o abordare personalizată care să se bazeze pe beneficiile programelor PEACE și care să analizeze modul în care politica de coeziune mai extinsă poate ajuta la procesul de reconciliere; subliniază că aplicarea autorizației electronice de călătorie (ETA) în Irlanda de Nord este regretabilă; solicită guvernului Regatului Unit să renunțe la aplicarea ETA în Irlanda de Nord pentru a permite călătoriile fără restricții pe întreaga insulă a Irlandei; subliniază că este important să se asigure că nu există niciun impediment sau restricție pentru persoanele care locuiesc în Irlanda de Nord și Irlanda de a căuta și de a ocupa un loc de muncă peste graniță, după cum prevăd principiile Acordului din Vinerea Mare; subliniază importanța protejării lucrătorilor transfrontalieri în acest context, inclusiv a drepturilor lor sociale și de muncă; constată că prin hotărârea Curții de Apel a Irlandei de Nord s-a stabilit că Legea din 2023 privind tulburările din Irlanda de Nord (moștenire și reconciliere) este incompatibilă cu legislația privind drepturile omului și cu Cadrul Windsor; ia act, de asemenea, de cererea interstatală introdusă de Irlanda împotriva Regatului Unit cu privire la această lege; reamintește angajamentul actualului guvern al Regatului Unit de a abroga și a înlocui Legea privind tulburările din Irlanda de Nord (moștenire și reconciliere) adoptată de guvernul anterior și solicită guvernului Regatului Unit să facă acest lucru cât mai curând posibil; solicită guvernului Regatului Unit să-și retragă apelul formulat împotriva hotărârii instanței referitoare la Legea privind tulburările din Irlanda de Nord (moștenire și reconciliere), să abroge această lege și să respecte pe deplin Curtea Europeană a Drepturilor Omului și toate hotărârile sale; </w:t>
      </w:r>
    </w:p>
    <w:p w14:paraId="1AB66834" w14:textId="77777777" w:rsidR="0028437D" w:rsidRPr="00236F36" w:rsidRDefault="0028437D" w:rsidP="0028437D">
      <w:pPr>
        <w:pStyle w:val="NormalHanging12a"/>
        <w:rPr>
          <w:bCs/>
          <w:iCs/>
        </w:rPr>
      </w:pPr>
      <w:r w:rsidRPr="00236F36">
        <w:t>11.</w:t>
      </w:r>
      <w:r w:rsidRPr="00236F36">
        <w:tab/>
        <w:t>constată că, în conformitate cu Acordul din Vinerea Mare, viitorul constituțional al Irlandei de Nord urmează să fie decis de poporul insulei Irlandei;</w:t>
      </w:r>
    </w:p>
    <w:p w14:paraId="62C85FC4" w14:textId="77777777" w:rsidR="0028437D" w:rsidRPr="00236F36" w:rsidRDefault="0028437D" w:rsidP="0028437D">
      <w:pPr>
        <w:pStyle w:val="NormalHanging12a"/>
        <w:rPr>
          <w:szCs w:val="24"/>
        </w:rPr>
      </w:pPr>
      <w:r w:rsidRPr="00236F36">
        <w:t>12.</w:t>
      </w:r>
      <w:r w:rsidRPr="00236F36">
        <w:tab/>
        <w:t xml:space="preserve">solicită ambelor părți să aprofundeze parteneriatul UE-Regatul Unit și să aplice pe deplin ACC și să-i exploateze la maximum potențialul în domenii de interes reciproc, inclusiv prin aliniere sectorială voluntară, mecanisme de recunoaștere reciprocă și </w:t>
      </w:r>
      <w:r w:rsidRPr="00236F36">
        <w:lastRenderedPageBreak/>
        <w:t xml:space="preserve">dialog privind inovarea în materie de reglementare și să aibă în vedere continuarea cooperării în domeniul vamal; salută concluziile </w:t>
      </w:r>
      <w:proofErr w:type="spellStart"/>
      <w:r w:rsidRPr="00236F36">
        <w:t>summitului</w:t>
      </w:r>
      <w:proofErr w:type="spellEnd"/>
      <w:r w:rsidRPr="00236F36">
        <w:t xml:space="preserve">, care au reafirmat un angajament comun pentru o cooperare consolidată în domenii-cheie, precum energia, inclusiv posibilitatea ca Regatul Unit să participe la piața internă de electricitate a UE, noile tehnologii și industria agroalimentară; subliniază că ACC oferă un cadru orientat spre viitor pentru a promova prosperitatea și competitivitatea comune și încurajează ambele părți să valorifice impulsul politic reînnoit al </w:t>
      </w:r>
      <w:proofErr w:type="spellStart"/>
      <w:r w:rsidRPr="00236F36">
        <w:t>summitului</w:t>
      </w:r>
      <w:proofErr w:type="spellEnd"/>
      <w:r w:rsidRPr="00236F36">
        <w:t xml:space="preserve"> pentru a realiza progrese concrete în aceste sectoare și pentru a asigura punerea în aplicare rapidă și cuprinzătoare a angajamentelor asumate, astfel cum au fost exprimate în recenta înțelegere comună dintre UE și Regatul Unit și în rezultatele structurate ale </w:t>
      </w:r>
      <w:proofErr w:type="spellStart"/>
      <w:r w:rsidRPr="00236F36">
        <w:t>summitului</w:t>
      </w:r>
      <w:proofErr w:type="spellEnd"/>
      <w:r w:rsidRPr="00236F36">
        <w:t>; subliniază că această nouă agendă trebuie să rămână flexibilă și receptivă la viitoarele dificultăți, pentru a maximiza oportunitățile de cooperare și competitivitate, a îmbunătăți protecția consumatorilor, comerțul transfrontalier și accesul la bunuri și servicii și a promova un mediu digital sigur și sănătos pentru toți;</w:t>
      </w:r>
      <w:r w:rsidRPr="00236F36">
        <w:rPr>
          <w:b/>
          <w:i/>
        </w:rPr>
        <w:t xml:space="preserve"> </w:t>
      </w:r>
    </w:p>
    <w:p w14:paraId="3C0EC9FB" w14:textId="77777777" w:rsidR="0028437D" w:rsidRPr="00236F36" w:rsidRDefault="0028437D" w:rsidP="0028437D">
      <w:pPr>
        <w:pStyle w:val="NormalHanging12a"/>
      </w:pPr>
      <w:r w:rsidRPr="00236F36">
        <w:t>13.</w:t>
      </w:r>
      <w:r w:rsidRPr="00236F36">
        <w:tab/>
        <w:t xml:space="preserve">Salută - având în vedere faptul că ACC nu include cooperarea în domeniul politicii externe, al securității, al apărării și al cooperării pentru dezvoltare - acordul privind un parteneriat pentru securitate și apărare la care s-a ajuns la </w:t>
      </w:r>
      <w:proofErr w:type="spellStart"/>
      <w:r w:rsidRPr="00236F36">
        <w:t>summitul</w:t>
      </w:r>
      <w:proofErr w:type="spellEnd"/>
      <w:r w:rsidRPr="00236F36">
        <w:t xml:space="preserve"> UE-Regatul Unit, care consolidează cooperarea, se aliniază la instituirea anterioară a dialogului bianual privind politica externă, prevede un cadru structurat care lipsește din ACC și stabilește și demonstrează angajamentul reînnoit al Regatului Unit de a colabora cu UE în domeniul politicii externe și al securității;</w:t>
      </w:r>
    </w:p>
    <w:p w14:paraId="1E676B9E" w14:textId="77777777" w:rsidR="0028437D" w:rsidRPr="00236F36" w:rsidRDefault="0028437D" w:rsidP="0028437D">
      <w:pPr>
        <w:pStyle w:val="NormalHanging12a"/>
        <w:rPr>
          <w:szCs w:val="24"/>
        </w:rPr>
      </w:pPr>
      <w:r w:rsidRPr="00236F36">
        <w:t>14.</w:t>
      </w:r>
      <w:r w:rsidRPr="00236F36">
        <w:tab/>
        <w:t xml:space="preserve">subliniază că este esențială o coordonare mai bună pentru a răspunde la crizele mondiale, în contextul unui mediu de securitate din ce în ce mai volatil, marcat de amenințări hibride, atacuri cibernetice și campanii de dezinformare; evidențiază că îmbunătățirea coordonării este esențială și pentru a promova democrația și drepturile omului și pentru a asigura securitatea regională și internațională; </w:t>
      </w:r>
    </w:p>
    <w:p w14:paraId="0098402E" w14:textId="77777777" w:rsidR="0028437D" w:rsidRPr="00236F36" w:rsidRDefault="0028437D" w:rsidP="0028437D">
      <w:pPr>
        <w:pStyle w:val="NormalHanging12a"/>
        <w:rPr>
          <w:szCs w:val="24"/>
        </w:rPr>
      </w:pPr>
      <w:r w:rsidRPr="00236F36">
        <w:t>15.</w:t>
      </w:r>
      <w:r w:rsidRPr="00236F36">
        <w:tab/>
        <w:t>salută faptul că parteneriatul pentru securitate și apărare stabilește o cooperare mai structurată și instituționalizată în chestiuni externe, de securitate și de apărare la diferite niveluri de guvernanță, aliniată la Declarația politică din 2019</w:t>
      </w:r>
      <w:r w:rsidRPr="00236F36">
        <w:rPr>
          <w:rStyle w:val="FootnoteReference"/>
          <w:szCs w:val="24"/>
        </w:rPr>
        <w:footnoteReference w:id="28"/>
      </w:r>
      <w:r w:rsidRPr="00236F36">
        <w:t>, inclusiv acordul vizând organizarea de dialoguri privind politica externă și de securitate o dată la șase luni; consideră că această practică poate constitui o bază solidă de cooperare și că ar trebui analizată posibila sa instituționalizare prin elaborarea unui instrument cu caracter juridic obligatoriu; subliniază că aceasta ar contribui la garantarea securității societăților noastre și la reziliența acestora în fața amenințărilor geopolitice comune și fără precedent la adresa securității geopolitice, în special în fața amenințării din partea Rusiei;</w:t>
      </w:r>
    </w:p>
    <w:p w14:paraId="6BE2C587" w14:textId="77777777" w:rsidR="0028437D" w:rsidRPr="00236F36" w:rsidRDefault="0028437D" w:rsidP="0028437D">
      <w:pPr>
        <w:pStyle w:val="NormalHanging12a"/>
        <w:rPr>
          <w:bCs/>
          <w:iCs/>
        </w:rPr>
      </w:pPr>
      <w:r w:rsidRPr="00236F36">
        <w:t>16.</w:t>
      </w:r>
      <w:r w:rsidRPr="00236F36">
        <w:tab/>
        <w:t xml:space="preserve">subliniază că este nevoie ca UE și Regatul Unit să monitorizeze îndeaproape punerea în aplicare a dispozițiilor parteneriatului pentru securitate și apărare și a angajamentelor prevăzute de înțelegerea comună; recunoaște că, prin angajamentele asumate, înțelegerea comună are un caracter amplu și cuprinzător; reamintește că Parlamentul trebuie să fie informat cu privire la etapele punerii în aplicare și potențialele obstacole; subliniază că Parlamentul trebuie să monitorizeze riguros modul în care Comisia asigură îndeplinirea angajamentelor asumate în temeiul înțelegerii comune convenite cu guvernul Regatului Unit; </w:t>
      </w:r>
    </w:p>
    <w:p w14:paraId="75C0BB4F" w14:textId="77777777" w:rsidR="0028437D" w:rsidRPr="00236F36" w:rsidRDefault="0028437D" w:rsidP="0028437D">
      <w:pPr>
        <w:pStyle w:val="NormalHanging12a"/>
        <w:rPr>
          <w:bCs/>
          <w:iCs/>
        </w:rPr>
      </w:pPr>
      <w:r w:rsidRPr="00236F36">
        <w:lastRenderedPageBreak/>
        <w:t>17.</w:t>
      </w:r>
      <w:r w:rsidRPr="00236F36">
        <w:tab/>
        <w:t xml:space="preserve">salută angajamentul Regatului Unit și al UE de a explora posibilitățile unei cooperări consolidate reciproc avantajoase în domeniul industriei de apărare, respectând cadrelor juridice și de politică ale fiecărei părți; </w:t>
      </w:r>
    </w:p>
    <w:p w14:paraId="7DDEC766" w14:textId="77777777" w:rsidR="0028437D" w:rsidRPr="00236F36" w:rsidRDefault="0028437D" w:rsidP="0028437D">
      <w:pPr>
        <w:pStyle w:val="NormalHanging12a"/>
        <w:rPr>
          <w:b/>
          <w:i/>
        </w:rPr>
      </w:pPr>
      <w:r w:rsidRPr="00236F36">
        <w:rPr>
          <w:b/>
          <w:i/>
        </w:rPr>
        <w:t>Cadrul instituțional</w:t>
      </w:r>
    </w:p>
    <w:p w14:paraId="66947E14" w14:textId="77777777" w:rsidR="0028437D" w:rsidRPr="00236F36" w:rsidRDefault="0028437D" w:rsidP="0028437D">
      <w:pPr>
        <w:pStyle w:val="NormalHanging12a"/>
        <w:rPr>
          <w:szCs w:val="24"/>
        </w:rPr>
      </w:pPr>
      <w:r w:rsidRPr="00236F36">
        <w:t>18.</w:t>
      </w:r>
      <w:r w:rsidRPr="00236F36">
        <w:tab/>
        <w:t>salută funcționarea corectă a organismelor comune ale ACC; subliniază că este important ca Parlamentul să fie informat și implicat cu mai multă regularitate în discuțiile politice și tehnice în curs; solicită o mai mare transparență în activitatea organismelor comune ale ACC, în special față de Parlament; solicită stabilitatea comerțului și armonizarea în materie de reglementare între UE și Regatul Unit, pentru a proteja drepturile consumatorilor, securitatea juridică pentru întreprinderi și condițiile de investiții, în special având în vedere recentele perturbări la nivel mondial;</w:t>
      </w:r>
    </w:p>
    <w:p w14:paraId="69B5A000" w14:textId="77777777" w:rsidR="0028437D" w:rsidRPr="00236F36" w:rsidRDefault="0028437D" w:rsidP="0028437D">
      <w:pPr>
        <w:pStyle w:val="NormalHanging12a"/>
      </w:pPr>
      <w:r w:rsidRPr="00236F36">
        <w:t>19.</w:t>
      </w:r>
      <w:r w:rsidRPr="00236F36">
        <w:tab/>
        <w:t>subliniază reluarea APP UE-Regatul Unit în martie 2025, după alegerile europene și din Regatul Unit din 2024; subliniază rolul ce-i revine în asigurarea controlului și supravegherii parlamentare a punerii în aplicare a ACC; subliniază valoarea APP în promovarea unor legături mai strânse și a unei cooperări constructive între deputații în Parlamentul European și parlamentarii din Regatul Unit; invită Consiliul de parteneriat să ia în considerare recomandările APP; subliniază importanța lărgirii participării membrilor aleși din parlamentele și adunările din Irlanda de Nord, Scoția și Țara Galilor în calitate de observatori; recomandă organizarea de reuniuni tematice mai frecvente, nelimitate la programul bianual actual, pentru a permite discuții periodice pe subiecte precum comerțul, politica externă, energia și drepturile cetățenilor; solicită o mai bună colaborare cu parlamentele naționale și adunările regionale pentru a reflecta diversitatea perspectivelor democratice; subliniază angajamentul acestuia de a consolida în continuare APP ca forum esențial pentru dialogul interparlamentar;</w:t>
      </w:r>
    </w:p>
    <w:p w14:paraId="77C81EED" w14:textId="77777777" w:rsidR="0028437D" w:rsidRPr="00236F36" w:rsidRDefault="0028437D" w:rsidP="0028437D">
      <w:pPr>
        <w:pStyle w:val="NormalHanging12a"/>
        <w:rPr>
          <w:szCs w:val="24"/>
        </w:rPr>
      </w:pPr>
      <w:r w:rsidRPr="00236F36">
        <w:t>20.</w:t>
      </w:r>
      <w:r w:rsidRPr="00236F36">
        <w:tab/>
        <w:t>subliniază necesitatea de a menține interesele cetățenilor în centrul punerii în aplicare a ACC și de a integra în dialog elementele de cooperare economică alături de justiția socială prin participarea grupurilor de voluntari, a societății civile și a asociațiilor de întreprinderi; salută implicarea societății civile, inclusiv a organizațiilor patronale și a sindicatelor, precum și a ONG-urilor, în punerea în aplicare a ACC; evidențiază reprezentarea echilibrată în GCI UE și recomandările sale valoroase; subliniază importanța Forumului societății civile în această privință; invită Consiliul de parteneriat să ia în considerare și pe viitor diferitele puncte de vedere ale societății civile, iar APP să faciliteze un schimb direct între membrii APP și membrii GCI la fiecare dintre reuniunile bianuale ale APP; invită toate comisiile de specialitate să întărească dialogul cu GCI pentru a asigura o mai bună supraveghere și transparență; solicită eforturi suplimentare pentru a asigura aderarea unei game largi de organizații ale societății civile, cum ar fi organizațiile de tineret, la Forumul societății civile în cadrul ACC;</w:t>
      </w:r>
    </w:p>
    <w:p w14:paraId="53575EC3" w14:textId="77777777" w:rsidR="0028437D" w:rsidRPr="00236F36" w:rsidRDefault="0028437D" w:rsidP="0028437D">
      <w:pPr>
        <w:pStyle w:val="NormalHanging12a"/>
        <w:rPr>
          <w:bCs/>
          <w:iCs/>
        </w:rPr>
      </w:pPr>
      <w:r w:rsidRPr="00236F36">
        <w:t>21.</w:t>
      </w:r>
      <w:r w:rsidRPr="00236F36">
        <w:tab/>
        <w:t xml:space="preserve">reafirmă angajamentul Parlamentului de a monitoriza îndeaproape punerea în aplicare a ACC; reamintește că Comisia ar trebui să transmită Parlamentului imediat informații complete și imediate referitoare la punerea în aplicare a ACC pentru a garanta un control adecvat; salută continuarea bunei cooperări dintre Parlament și Comisie și intensificarea contactelor directe, pozitive și constructive dintre deputații în Parlamentul European și membrii ambelor Camere ale Parlamentului din Regatul Unit; își reiterează apelul pentru implicarea Parlamentului în orice procedură de revizuire viitoare a ACC; regretă că Parlamentul nu a fost implicat în </w:t>
      </w:r>
      <w:proofErr w:type="spellStart"/>
      <w:r w:rsidRPr="00236F36">
        <w:t>summitul</w:t>
      </w:r>
      <w:proofErr w:type="spellEnd"/>
      <w:r w:rsidRPr="00236F36">
        <w:t xml:space="preserve"> UE-Regatul Unit și își exprimă îngrijorarea cu privire la lipsa oricărei referiri la rolul Parlamentului și al Parlamentului Regatului Unit în cadrul instituțional al agendei reînnoite pentru cooperare, parteneriat </w:t>
      </w:r>
      <w:r w:rsidRPr="00236F36">
        <w:lastRenderedPageBreak/>
        <w:t xml:space="preserve">strategic și parteneriat în materie de securitate și apărare dintre UE și Regatul Unit la </w:t>
      </w:r>
      <w:proofErr w:type="spellStart"/>
      <w:r w:rsidRPr="00236F36">
        <w:t>summitul</w:t>
      </w:r>
      <w:proofErr w:type="spellEnd"/>
      <w:r w:rsidRPr="00236F36">
        <w:t xml:space="preserve"> UE-Regatul Unit; </w:t>
      </w:r>
    </w:p>
    <w:p w14:paraId="59DB31A2" w14:textId="77777777" w:rsidR="0028437D" w:rsidRPr="00236F36" w:rsidRDefault="0028437D" w:rsidP="0028437D">
      <w:pPr>
        <w:pStyle w:val="NormalHanging12a"/>
        <w:rPr>
          <w:b/>
          <w:i/>
        </w:rPr>
      </w:pPr>
      <w:r w:rsidRPr="00236F36">
        <w:rPr>
          <w:b/>
          <w:i/>
        </w:rPr>
        <w:t>Comerțul cu mărfuri</w:t>
      </w:r>
    </w:p>
    <w:p w14:paraId="490C090A" w14:textId="77777777" w:rsidR="0028437D" w:rsidRPr="00236F36" w:rsidRDefault="0028437D" w:rsidP="0028437D">
      <w:pPr>
        <w:pStyle w:val="NormalHanging12a"/>
        <w:rPr>
          <w:szCs w:val="24"/>
        </w:rPr>
      </w:pPr>
      <w:r w:rsidRPr="00236F36">
        <w:t>22.</w:t>
      </w:r>
      <w:r w:rsidRPr="00236F36">
        <w:tab/>
        <w:t>reamintește că ACC oferă o bază cuprinzătoare și ambițioasă pentru relația dintre cele două părți, în special pentru comerțul dintre UE și Regatul Unit, asigurând și condiții corecte pentru o concurență loială și o dezvoltare durabilă; reamintește că ACC este unic în istoria acordurilor de liber schimb ale UE, deoarece se axează mai degrabă pe limitarea divergențelor decât pe promovarea convergenței între partenerii comerciali; reamintește că ACC este un acord unic și pentru că prevede tarife zero și cote zero pentru comerțul dintre UE și Regatul Unit;</w:t>
      </w:r>
    </w:p>
    <w:p w14:paraId="6DC3A1C4" w14:textId="77777777" w:rsidR="0028437D" w:rsidRPr="00236F36" w:rsidRDefault="0028437D" w:rsidP="0028437D">
      <w:pPr>
        <w:pStyle w:val="NormalHanging12a"/>
        <w:rPr>
          <w:bCs/>
          <w:iCs/>
        </w:rPr>
      </w:pPr>
      <w:r w:rsidRPr="00236F36">
        <w:t>23.</w:t>
      </w:r>
      <w:r w:rsidRPr="00236F36">
        <w:tab/>
        <w:t>reiterează faptul că ACC este rezultatul delicat al unor negocieri lungi și dificile și că, prin urmare, ar trebui pus în aplicare pe deplin cu bună-credință, la fel ca Acordul de retragere, în special Cadrul Windsor, în beneficiul reciproc al ambelor părți; invită ambele părți să valorifice pe deplin potențialul imens al ACC pentru a facilita în cea mai mare măsură posibilă comerțul dintre UE și Regatul Unit, ținând seama și de faptul că avantajele statutului de membru pentru accesul la piața unică a UE și la uniunea vamală, precum și participarea la alte politici comune și adiacente nu pot, în niciun caz, să fie reproduse printr-un acord de liber schimb; recunoaște, cu toate acestea, potențialul semnificativ nevalorificat al ACC și apreciază că acesta ar trebui să servească drept cadru orientat spre viitor pentru aprofundarea cooperării în domenii de interes reciproc;</w:t>
      </w:r>
    </w:p>
    <w:p w14:paraId="0521D3F1" w14:textId="77777777" w:rsidR="0028437D" w:rsidRPr="00236F36" w:rsidRDefault="0028437D" w:rsidP="0028437D">
      <w:pPr>
        <w:pStyle w:val="NormalHanging12a"/>
        <w:rPr>
          <w:bCs/>
          <w:iCs/>
        </w:rPr>
      </w:pPr>
      <w:r w:rsidRPr="00236F36">
        <w:t>24.</w:t>
      </w:r>
      <w:r w:rsidRPr="00236F36">
        <w:tab/>
        <w:t>ia act de evaluarea Comisiei potrivit căreia, în general, acordurile privind comerțul cu mărfuri stabilite în Acordul comercial și de cooperare au fost eficace și au funcționat fără probleme, deși au persistat anumite dificultăți la punerea în aplicare care necesită rectificări cât mai curând posibil;</w:t>
      </w:r>
    </w:p>
    <w:p w14:paraId="7DCC8237" w14:textId="77777777" w:rsidR="0028437D" w:rsidRPr="00236F36" w:rsidRDefault="0028437D" w:rsidP="0028437D">
      <w:pPr>
        <w:pStyle w:val="NormalHanging12a"/>
        <w:rPr>
          <w:szCs w:val="24"/>
        </w:rPr>
      </w:pPr>
      <w:r w:rsidRPr="00236F36">
        <w:t>25.</w:t>
      </w:r>
      <w:r w:rsidRPr="00236F36">
        <w:tab/>
        <w:t>reamintește că UE și Regatul Unit ar trebui să coopereze îndeaproape în domeniul vamal, inclusiv prin asigurarea unui schimb eficace de informații și de date, prin crearea unei baze de date comune privind neregulile și fraudele privind comerțul electronic și privind agenții economici non-UE și non-UK, în legătură cu bunurile intrate din afara spațiului UE și al Regatului Unit; reiterează importanța unui dialog constructiv și a unor metode eficace de cooperare între administrațiile vamale, cu scopul de a simplifica, digitaliza și accelera procesele de vămuire la intrare și ieșire, asigurând un număr suficient de lucrători vamali și proceduri vamale simplificate, inclusiv un acces mai larg la sistemele pentru comercianții de încredere și implementarea unor soluții digitale inteligente pentru a raționaliza procesele în vederea reducerii la minimum a costurilor administrative și financiare pentru toate părțile interesate, în special pentru IMM-uri, și pentru a asigura fluxul transfrontalier neîntrerupt de factori de producție agricolă critici, inclusiv medicamente de uz veterinar, semințe și furaje, în special pentru Irlanda și alte regiuni de frontieră care depind în mare măsură de livrările în timp util; îndeamnă Comisia să colaboreze activ cu Regatul Unit pentru a simplifica procedurile vamale prin dezvoltarea unor sisteme pentru comercianții de încredere și prin introducerea unor „culoare verzi” pentru mărfurile cu risc scăzut;</w:t>
      </w:r>
    </w:p>
    <w:p w14:paraId="29AC64A1" w14:textId="77777777" w:rsidR="0028437D" w:rsidRPr="00236F36" w:rsidRDefault="0028437D" w:rsidP="0028437D">
      <w:pPr>
        <w:pStyle w:val="NormalHanging12a"/>
        <w:rPr>
          <w:szCs w:val="24"/>
        </w:rPr>
      </w:pPr>
      <w:r w:rsidRPr="00236F36">
        <w:t>26.</w:t>
      </w:r>
      <w:r w:rsidRPr="00236F36">
        <w:tab/>
        <w:t>recunoaște evoluția colaborării dintre UE și Regatul Unit în domeniul comerțului electronic de la intrarea în vigoare a ACC; subliniază că, deși ACC include dispoziții importante pentru a facilita comerțul digital, procedurile vamale post-</w:t>
      </w:r>
      <w:proofErr w:type="spellStart"/>
      <w:r w:rsidRPr="00236F36">
        <w:t>Brexit</w:t>
      </w:r>
      <w:proofErr w:type="spellEnd"/>
      <w:r w:rsidRPr="00236F36">
        <w:t xml:space="preserve"> au creat sarcini suplimentare pentru operatorii din sectorul comerțului electronic, în special prin declarații vamale obligatorii, inspecții la import și cerințe complexe privind regulile de </w:t>
      </w:r>
      <w:r w:rsidRPr="00236F36">
        <w:lastRenderedPageBreak/>
        <w:t>origine; salută eforturile recente depuse de UE și Regatul Unit pentru a simplifica logistica comercială și a reduce restricțiile la export și subliniază că sunt necesare eforturi suplimentare pentru a îmbunătăți alinierea reglementărilor, a simplifica procedurile vamale și a asigura transferul fără probleme și în condiții de siguranță al datelor, pentru a debloca întregul potențial al comerțului electronic transfrontalier și a consolida comerțul digital;</w:t>
      </w:r>
    </w:p>
    <w:p w14:paraId="559D36A6" w14:textId="77777777" w:rsidR="0028437D" w:rsidRPr="00236F36" w:rsidRDefault="0028437D" w:rsidP="0028437D">
      <w:pPr>
        <w:pStyle w:val="NormalHanging12a"/>
        <w:rPr>
          <w:szCs w:val="24"/>
        </w:rPr>
      </w:pPr>
      <w:r w:rsidRPr="00236F36">
        <w:t>27.</w:t>
      </w:r>
      <w:r w:rsidRPr="00236F36">
        <w:tab/>
        <w:t xml:space="preserve">încurajează UE și Regatul Unit să exploreze posibilități de cooperare mai strânsă în ceea ce privește lanțurile de aprovizionare regionale; subliniază că astfel de măsuri ar permite ca lanțurile de aprovizionare să fie mai flexibile și mai </w:t>
      </w:r>
      <w:proofErr w:type="spellStart"/>
      <w:r w:rsidRPr="00236F36">
        <w:t>reziliente</w:t>
      </w:r>
      <w:proofErr w:type="spellEnd"/>
      <w:r w:rsidRPr="00236F36">
        <w:t xml:space="preserve"> și ar contribui la eliminarea barierelor tarifare și netarifare legate de cerințele complexe privind regulile de origine; </w:t>
      </w:r>
    </w:p>
    <w:p w14:paraId="0B46670F" w14:textId="77777777" w:rsidR="0028437D" w:rsidRPr="00236F36" w:rsidRDefault="0028437D" w:rsidP="0028437D">
      <w:pPr>
        <w:pStyle w:val="NormalHanging12a"/>
        <w:rPr>
          <w:szCs w:val="24"/>
        </w:rPr>
      </w:pPr>
      <w:r w:rsidRPr="00236F36">
        <w:t>28.</w:t>
      </w:r>
      <w:r w:rsidRPr="00236F36">
        <w:tab/>
        <w:t xml:space="preserve">subliniază că aplicarea noului model de importuri al Regatului Unit, a modelului de operare la frontieră a creat dificultăți ca urmare a modificărilor frecvente ale clasificării riscurilor fără o notificare adecvată, a interpretării inconsecvente a cerințelor de import, a timpului îndelungat de așteptare în efectuarea controalelor și a nerecunoașterii UE ca entitate sanitară și fitosanitară unică; se declară preocupat de faptul că, în reacția sa, Regatul Unit nu a tratat încă pe deplin problemele aferente; </w:t>
      </w:r>
    </w:p>
    <w:p w14:paraId="26EC5B61" w14:textId="77777777" w:rsidR="0028437D" w:rsidRPr="00236F36" w:rsidRDefault="0028437D" w:rsidP="0028437D">
      <w:pPr>
        <w:pStyle w:val="NormalHanging12a"/>
        <w:rPr>
          <w:szCs w:val="24"/>
        </w:rPr>
      </w:pPr>
      <w:r w:rsidRPr="00236F36">
        <w:t>29.</w:t>
      </w:r>
      <w:r w:rsidRPr="00236F36">
        <w:tab/>
        <w:t xml:space="preserve">salută angajamentul exprimat în cadrul </w:t>
      </w:r>
      <w:proofErr w:type="spellStart"/>
      <w:r w:rsidRPr="00236F36">
        <w:t>summitului</w:t>
      </w:r>
      <w:proofErr w:type="spellEnd"/>
      <w:r w:rsidRPr="00236F36">
        <w:t xml:space="preserve"> UE-Regatul Unit de a depune eforturi în vederea stabilirii unui spațiu SPS comun printr-un acord detaliat UE-Regatul Unit în domeniul SPS; recunoaște că barierele netarifare și divergențele în materie de reglementare reprezintă actualmente provocări pentru comerțul dintre UE și Regatul Unit, în special prin creșterea cerințelor de conformitate, a procedurilor de certificare suprapuse și a standardelor divergente privind produsele; constată că astfel de fricțiuni afectează mai multe sectoare, inclusiv sectorul agroalimentar, al produselor chimice, al autovehiculelor și al utilajelor, și pot crea sarcini semnificative pentru IMM-uri; încurajează ambele părți să utilizeze pe deplin și eficace mecanismele ACC pentru o cooperare în materie de reglementare și în domeniul vamal cu scopul de a aborda aceste aspecte, în vederea reducerii fricțiunilor comerciale înainte de revizuirea ACC din 2026;</w:t>
      </w:r>
    </w:p>
    <w:p w14:paraId="547A632A" w14:textId="77777777" w:rsidR="0028437D" w:rsidRPr="00236F36" w:rsidRDefault="0028437D" w:rsidP="0028437D">
      <w:pPr>
        <w:pStyle w:val="NormalHanging12a"/>
        <w:rPr>
          <w:szCs w:val="24"/>
        </w:rPr>
      </w:pPr>
      <w:r w:rsidRPr="00236F36">
        <w:t xml:space="preserve">30. </w:t>
      </w:r>
      <w:r w:rsidRPr="00236F36">
        <w:tab/>
        <w:t xml:space="preserve">salută planurile Regatului Unit de a legifera pentru recunoașterea pe termen nedefinit a marcajului CE în reglementările suplimentare vizând produsele, ceea ce ar reduce și mai mult problemele în materie de conformitate pentru producătorii din UE și ar facilita exportul de produse care necesită un astfel de marcaj din Regatul Unit către UE; îndeamnă Comisia să lanseze rapid negocieri cu Regatul Unit pentru a asigura o aliniere solidă a evaluărilor conformității produselor, îndeosebi în sectoare foarte integrate, pentru a elimina testarea redundantă, a reduce costurile întreprinderilor și a întări piața internă; încurajează ambele părți să adopte măsuri pragmatice pentru recunoașterea reciprocă a rezultatelor evaluării conformității în sectoarele produselor care sunt în mod evident cu risc scăzut, în vederea reducerii costurilor inutile de asigurare a conformității și a sarcinilor administrative, în special pentru IMM-uri, protejând și consolidând în continuare siguranța și protecția consumatorilor; încurajează Comisia să valorifice această evoluție căutând mecanisme sectoriale de recunoaștere reciprocă acolo unde există deja convergență în materie de reglementare, eliminând astfel duplicarea inutilă a procedurilor de certificare, după caz; </w:t>
      </w:r>
    </w:p>
    <w:p w14:paraId="763B34AC" w14:textId="1EFA37E6" w:rsidR="0028437D" w:rsidRPr="00236F36" w:rsidRDefault="0028437D" w:rsidP="0028437D">
      <w:pPr>
        <w:pStyle w:val="NormalHanging12a"/>
        <w:rPr>
          <w:szCs w:val="24"/>
        </w:rPr>
      </w:pPr>
      <w:r w:rsidRPr="00236F36">
        <w:t>31.</w:t>
      </w:r>
      <w:r w:rsidRPr="00236F36">
        <w:tab/>
        <w:t xml:space="preserve">constată că acordul privind instituirea unui spațiu SPS comun ar reduce cu mult fricțiunile comerciale și ar contribui la stabilitatea și previzibilitatea pentru întreprinderi, prin eliminarea marii majorități a cerințelor de certificare și control pentru circulația animalelor, a produselor de origine animală, a plantelor și a produselor vegetale între </w:t>
      </w:r>
      <w:r w:rsidRPr="00236F36">
        <w:lastRenderedPageBreak/>
        <w:t xml:space="preserve">Marea Britanie și UE, menținând, în același timp, standarde ridicate de protecție a sănătății și a consumatorilor, de siguranță alimentară și de bunăstare a animalelor; subliniază că aceste beneficii pentru fermieri, IMM-uri și consumatori în UE și Regatul Unit s-ar extinde și la circulația acestor mărfuri între Marea Britanie și Irlanda de Nord; ia act de faptul că viitorul acord SPS ar trebui să permită o aliniere dinamică a Regatului Unit, să facă obiectul unui mecanism de soluționare a litigiilor cu o comisie de arbitraj independentă și să accepte Curtea de Justiție a Uniunii Europene ca autoritate finală în chestiuni ce țin de dreptul UE; salută intenția de a </w:t>
      </w:r>
      <w:r w:rsidR="00DF6F52" w:rsidRPr="00236F36">
        <w:t>informa</w:t>
      </w:r>
      <w:r w:rsidRPr="00236F36">
        <w:t xml:space="preserve"> Regatul Unit încă din primele etape în procesul decizional al Uniunii Europene în domeniile vizate de viitorul acord SPS; îndeamnă Comisia să prezinte o foaie de parcurs pentru negocierile privind SPS cu Regatul Unit; invită, în plus, ambele părți să intensifice dialogul de reglementare în aspectele care nu țin de domeniul sanitar și fitosanitar (SPS) al reglementării produselor alimentare și să evite divergențele în domenii precum etichetarea și ambalarea; subliniază că orice acces al Regatului Unit la sistemele, bazele de date sau agențiile UE în cadrul programelor UE relevante pentru Acordul SPS trebuie să fie condiționat de recuperarea integrală a costurilor suportate din bugetul UE; subliniază că o astfel de participare trebuie să aducă beneficii clare UE și părților sale interesate, în conformitate cu principiul proporționalității bugetare; </w:t>
      </w:r>
    </w:p>
    <w:p w14:paraId="58609255" w14:textId="77777777" w:rsidR="0028437D" w:rsidRPr="00236F36" w:rsidRDefault="0028437D" w:rsidP="0028437D">
      <w:pPr>
        <w:pStyle w:val="NormalHanging12a"/>
        <w:rPr>
          <w:szCs w:val="24"/>
        </w:rPr>
      </w:pPr>
      <w:bookmarkStart w:id="18" w:name="_Hlk213251186"/>
      <w:r w:rsidRPr="00236F36">
        <w:t>32.</w:t>
      </w:r>
      <w:r w:rsidRPr="00236F36">
        <w:tab/>
        <w:t xml:space="preserve">subliniază din nou necesitatea strategică a unei cooperări întărite între UE și Regatul Unit pentru a menține și moderniza ordinea comercială internațională actuală, echitabilă și bazată pe norme și a aborda problemele economice mondiale comune; solicită, în acest sens, eforturi comune suplimentare în vederea unei reforme cuprinzătoare și incluzive a OMC, pentru a răspunde problemelor actuale și viitoare într-o lume profund interconectată și pentru a acționa împotriva oricărui nou pericol de diviziuni în ordinea politică și economică mondială, precum și împotriva măsurilor comerciale unilaterale și nejustificate și a tarifelor care au afectat recent atât UE, cât și Regatul Unit; solicită, prin urmare, ambelor părți să sprijine în continuare consumatorii care se confruntă cu presiuni legate de costul vieții; subliniază că, în acest context, cooperarea consolidată dintre UE și Regatul Unit este esențială pentru a crește reziliența lanțului de aprovizionare și pentru a reduce dependențele strategice; subliniază că ambele părți ar trebui să își intensifice eforturile comune pentru a reduce riscurile asociate lanțurilor de aprovizionare critice, în conformitate cu prioritățile UE privind securitatea economică; încurajează UE și Regatul Unit să consolideze autonomia Europei în sectorul mineralelor brute critice, dat fiind faptul că cooperarea în acest domeniu nu a făcut parte din concluziile </w:t>
      </w:r>
      <w:proofErr w:type="spellStart"/>
      <w:r w:rsidRPr="00236F36">
        <w:t>summitului</w:t>
      </w:r>
      <w:proofErr w:type="spellEnd"/>
      <w:r w:rsidRPr="00236F36">
        <w:t xml:space="preserve"> UE-Regatul Unit; încurajează lansarea unor dialoguri structurate și inițiative specifice pentru a promova diversificarea, a consolida încrederea reciprocă și a spori autonomia strategică, în vederea promovării creșterii durabile și a prosperității comune; solicită Comisiei să analizeze detaliile acordului anunțat la 8 mai 2025 dintre Regatul Unit și SUA( „Acordul de prosperitate economică”) pentru a se asigura că niciuna dintre dispozițiile sale nu subminează ACC sau orice potențial acord între UE și Regatul Unit; constată că, deși conținutul său trebuie încă să fie clarificat, Acordul de prosperitate economică acesta ar putea avea un impact asupra condițiilor de concurență echitabile stabilite între UE și Regatul Unit în contextul ACC, precum și asupra oricărei alinieri dinamice care decurge din concluziile </w:t>
      </w:r>
      <w:proofErr w:type="spellStart"/>
      <w:r w:rsidRPr="00236F36">
        <w:t>summitului</w:t>
      </w:r>
      <w:proofErr w:type="spellEnd"/>
      <w:r w:rsidRPr="00236F36">
        <w:t xml:space="preserve"> UE-Regatul Unit, cum ar fi cea privind un spațiu comun SPS; salută acordul privind comerțul fără taxe vamale cu produse siderurgice, recunoscând că reprezintă o evoluție pozitivă care oferă stabilitatea și previzibilitatea atât de necesare pentru sectoarele industriale esențiale; reamintește că ACC include angajamente specifice privind respectarea normelor comerciale internaționale, cooperarea în cadrul forurilor multilaterale și schimbul de informații privind măsurile de apărare comercială și evoluțiile comerțului </w:t>
      </w:r>
      <w:r w:rsidRPr="00236F36">
        <w:lastRenderedPageBreak/>
        <w:t xml:space="preserve">mondial; salută rezultatele </w:t>
      </w:r>
      <w:proofErr w:type="spellStart"/>
      <w:r w:rsidRPr="00236F36">
        <w:t>summitului</w:t>
      </w:r>
      <w:proofErr w:type="spellEnd"/>
      <w:r w:rsidRPr="00236F36">
        <w:t xml:space="preserve"> UE-Regatul Unit, în cadrul căruia ambele părți și-au reafirmat intenția de a consolida coordonarea privind reforma OMC, de a sprijini comerțul transparent și bazat pe norme și de a adopta abordări comune pentru litigiile comerciale stringente și subliniază că punerea în aplicare eficace a acestor angajamente este esențială pentru consolidarea parteneriatului UE-Regatul Unit ca motor al stabilității și previzibilității în guvernanța comercială mondială; salută anunțul recent al Guvernului Regatului Unit privind aderarea viitoare la procedura provizorie </w:t>
      </w:r>
      <w:proofErr w:type="spellStart"/>
      <w:r w:rsidRPr="00236F36">
        <w:t>multipartită</w:t>
      </w:r>
      <w:proofErr w:type="spellEnd"/>
      <w:r w:rsidRPr="00236F36">
        <w:t xml:space="preserve"> de arbitraj în apel a OMC, ceea ce va asigura funcționarea efectivă în continuare a sistemului de soluționare a litigiilor pe durata negocierii reformelor mai ample ale OMC; subliniază că, în actualul context comercial mondial volatil, poziția unică a Irlandei de Nord trebuie să fie luată în considerare la elaborarea politicii comerciale atât de către guvernul Regatului Unit, cât și de către Comisie; </w:t>
      </w:r>
      <w:bookmarkEnd w:id="18"/>
    </w:p>
    <w:p w14:paraId="0BDABDCB" w14:textId="77777777" w:rsidR="0028437D" w:rsidRPr="00236F36" w:rsidRDefault="0028437D" w:rsidP="0028437D">
      <w:pPr>
        <w:pStyle w:val="NormalHanging12a"/>
        <w:rPr>
          <w:bCs/>
          <w:iCs/>
        </w:rPr>
      </w:pPr>
      <w:r w:rsidRPr="00236F36">
        <w:t>33.</w:t>
      </w:r>
      <w:r w:rsidRPr="00236F36">
        <w:tab/>
        <w:t>salută prelungirea, până la 31 decembrie 2026, a regulilor de origine pentru vehiculele electrice și baterii, convenită la 21 decembrie 2023; subliniază că este important să se monitorizeze regulile de origine pentru a evita eludarea standardelor și normelor de către bunurile provenite din țări cu care Regatul Unit ar putea avea alte acorduri comerciale;</w:t>
      </w:r>
    </w:p>
    <w:p w14:paraId="61AFD256" w14:textId="77777777" w:rsidR="0028437D" w:rsidRPr="00236F36" w:rsidRDefault="0028437D" w:rsidP="0028437D">
      <w:pPr>
        <w:pStyle w:val="NormalHanging12a"/>
        <w:rPr>
          <w:b/>
          <w:i/>
        </w:rPr>
      </w:pPr>
      <w:r w:rsidRPr="00236F36">
        <w:rPr>
          <w:b/>
          <w:i/>
        </w:rPr>
        <w:t>Servicii, comerț digital și investiții</w:t>
      </w:r>
    </w:p>
    <w:p w14:paraId="312512EC" w14:textId="77777777" w:rsidR="0028437D" w:rsidRPr="00236F36" w:rsidRDefault="0028437D" w:rsidP="0028437D">
      <w:pPr>
        <w:pStyle w:val="NormalHanging12a"/>
        <w:rPr>
          <w:szCs w:val="24"/>
        </w:rPr>
      </w:pPr>
      <w:r w:rsidRPr="00236F36">
        <w:t>34.</w:t>
      </w:r>
      <w:r w:rsidRPr="00236F36">
        <w:tab/>
        <w:t xml:space="preserve">ia act de evaluarea Comisiei potrivită căreia punerea în aplicare a ACC în domeniile serviciilor și investițiilor, comerțului digital, proprietății intelectuale, achizițiilor publice și IMM-urilor a funcționat, în general, fără probleme majore, cu excepția aplicării sistemului de sponsorizare al Regatului Unit pentru vizele de muncă în cazul prestatorilor de servicii din UE, un obstacol care persistă și constată că exporturile Regatului Unit de servicii către UE au crescut cu 19 % în 2024 în comparație cu 2019, demonstrând reziliența și potențialul sectorului serviciilor; subliniază necesitatea de a aborda aceste obstacole din calea mobilității pe termen scurt pentru prestatorii de servicii din UE, inclusiv pentru cei din sectoarele cultural, științific și de consiliere agricolă și eventualele beneficii reciproce ale acordurilor consolidate și reciproce în materie de mobilitate pe termen scurt a întreprinderilor; solicită simplificarea procedurilor de acordare a vizelor în Regatul Unit pentru profesioniștii din UE și furnizorii de servicii contractuale, pentru a reduce sarcinile financiare și administrative; invită statele membre și Regatul Unit să reducă timpii de prelucrare și costurile pe care le implică solicitarea permiselor de muncă, atunci când este necesar; salută angajamentul asumat de Regatul Unit și de Comisie în cadrul </w:t>
      </w:r>
      <w:proofErr w:type="spellStart"/>
      <w:r w:rsidRPr="00236F36">
        <w:t>summitului</w:t>
      </w:r>
      <w:proofErr w:type="spellEnd"/>
      <w:r w:rsidRPr="00236F36">
        <w:t xml:space="preserve"> UE-Regatul Unit de a institui dialoguri specifice privind intrarea și șederea temporară a persoanelor fizice în scopuri profesionale, inclusiv sistemul de sponsorizare; invită ambele părți să analizeze opțiunile de facilitare a mobilității pe termen scurt pentru furnizorii de servicii și antreprenori, în special pentru IMM-uri și profesiile liberale, prin simplificarea proceselor de acordare a vizelor și recunoașterea reciprocă a calificărilor profesionale, cu respectarea deplină a autonomiei de reglementare respective; invită guvernul Regatului Unit să îi scutească pe furnizorii de servicii care intră sub incidența ACC de obligațiile aferente sistemului de sponsorizare; solicită o cooperare mai strânsă între UE și Regatul Unit în ceea ce privește comerțul cu servicii;</w:t>
      </w:r>
    </w:p>
    <w:p w14:paraId="7653ADDD" w14:textId="77777777" w:rsidR="0028437D" w:rsidRPr="00236F36" w:rsidRDefault="0028437D" w:rsidP="0028437D">
      <w:pPr>
        <w:pStyle w:val="NormalHanging12a"/>
        <w:rPr>
          <w:bCs/>
          <w:iCs/>
        </w:rPr>
      </w:pPr>
      <w:r w:rsidRPr="00236F36">
        <w:t>35.</w:t>
      </w:r>
      <w:r w:rsidRPr="00236F36">
        <w:tab/>
        <w:t xml:space="preserve">îndeamnă Regatul Unit, Comisia și statele membre să-și continue eforturile în direcția recunoașterii reciproce a calificărilor profesionale și solicită accelerarea negocierilor, alături de soluții care să faciliteze mobilitatea pe termen scurt și furnizarea transfrontalieră de servicii în întreaga UE și pe piețele Regatului Unit; subliniază obstacolele persistente cu care se confruntă resortisanții UE și ai Regatului Unit în ceea </w:t>
      </w:r>
      <w:r w:rsidRPr="00236F36">
        <w:lastRenderedPageBreak/>
        <w:t xml:space="preserve">ce privește accesul la profesiile reglementate; subliniază necesitatea unor proceduri de recunoaștere clare și simplificate și a implicării organismelor profesionale și a autorităților competente de ambele părți; ia act de faptul că, până în prezent, a fost primită o singură recomandare pentru un posibil acord de recunoaștere reciprocă în temeiul ACC, și anume în ceea ce privește profesia de arhitect; invită Comisia și Regatul Unit să accelereze punerea în aplicare a articolului 158 din ACC și să acorde prioritate și altor sectoare, cum ar fi asistența medicală, ingineria, serviciile juridice și financiare; subliniază importanța sprijinirii tinerilor în dezvoltarea de competențe adaptate exigențelor viitorului prin facilitarea oportunităților transfrontaliere de formare și dezvoltare profesională, inclusiv investiții specifice în alfabetizarea digitală, ecologică și financiară; solicită cooperarea dintre UE și Regatul Unit în materie de programe de mobilitate și solicită UE și Regatului Unit să negocieze un acord ambițios privind mobilitatea întreprinderilor, admițând că eficacitatea mecanismelor de recunoaștere reciprocă a calificărilor profesionale este legată în mod intrinsec de dispoziții simplificate privind intrarea și șederea temporară pe termen scurt; invită guvernul Regatului Unit să continue să ia toate măsurile necesare pentru a combate discriminarea împotriva cetățenilor statelor membre care locuiesc în Regatul Unit; </w:t>
      </w:r>
    </w:p>
    <w:p w14:paraId="0341F817" w14:textId="77777777" w:rsidR="0028437D" w:rsidRPr="00236F36" w:rsidRDefault="0028437D" w:rsidP="0028437D">
      <w:pPr>
        <w:pStyle w:val="NormalHanging12a"/>
        <w:rPr>
          <w:bCs/>
          <w:iCs/>
        </w:rPr>
      </w:pPr>
      <w:r w:rsidRPr="00236F36">
        <w:t>36.</w:t>
      </w:r>
      <w:r w:rsidRPr="00236F36">
        <w:tab/>
        <w:t xml:space="preserve">încurajează o cooperare strânsă între UE și Regatul Unit cu privire la diferite aspecte ale reglementării comerțului digital; apreciază, prin urmare, acordul administrativ privind supravegherea eforturilor de evaluare și atenuare a riscurilor de către furnizorii de platforme online mari, semnat de UE și Regatul Unit la 30 aprilie 2024; consideră că ar trebui promovată convergența și dialogul privind reglementările privind legislația digitală, în special în ceea ce privește platformele online; </w:t>
      </w:r>
    </w:p>
    <w:p w14:paraId="14D74720" w14:textId="77777777" w:rsidR="0028437D" w:rsidRPr="00236F36" w:rsidRDefault="0028437D" w:rsidP="0028437D">
      <w:pPr>
        <w:pStyle w:val="NormalHanging12a"/>
        <w:rPr>
          <w:b/>
          <w:i/>
        </w:rPr>
      </w:pPr>
      <w:r w:rsidRPr="00236F36">
        <w:rPr>
          <w:b/>
          <w:i/>
        </w:rPr>
        <w:t>Condiții de concurență loială și politica în domeniul concurenței</w:t>
      </w:r>
    </w:p>
    <w:p w14:paraId="21D05605" w14:textId="77777777" w:rsidR="0028437D" w:rsidRPr="00236F36" w:rsidRDefault="0028437D" w:rsidP="0028437D">
      <w:pPr>
        <w:pStyle w:val="NormalHanging12a"/>
        <w:rPr>
          <w:szCs w:val="24"/>
        </w:rPr>
      </w:pPr>
      <w:r w:rsidRPr="00236F36">
        <w:t>37.</w:t>
      </w:r>
      <w:r w:rsidRPr="00236F36">
        <w:tab/>
        <w:t>reamintește că Regatul Unit ar trebui să recunoască complicațiile care ar rezulta din orice divergență sistematică și inutilă în materie de reglementare, în special în domeniul protecției muncii și a drepturilor sociale, al mediului, al datelor cu caracter personal, al ajutoarelor de stat, al comerțului digital și al impozitării, care nu ar face decât să creeze probleme suplimentare în ceea ce privește angajamentele asumate prin ACC de a asigura condiții de concurență loială, precum și pentru întreprinderile din UE și Regatul Unit și pentru comerțul dintre UE și Regatul Unit;</w:t>
      </w:r>
    </w:p>
    <w:p w14:paraId="5080BB8E" w14:textId="77777777" w:rsidR="0028437D" w:rsidRPr="00236F36" w:rsidRDefault="0028437D" w:rsidP="0028437D">
      <w:pPr>
        <w:pStyle w:val="NormalHanging12a"/>
        <w:rPr>
          <w:szCs w:val="24"/>
        </w:rPr>
      </w:pPr>
      <w:r w:rsidRPr="00236F36">
        <w:t>38.</w:t>
      </w:r>
      <w:r w:rsidRPr="00236F36">
        <w:tab/>
        <w:t xml:space="preserve">salută finalizarea acordului de cooperare în materie de concurență între UE și Regatul Unit în temeiul ACC, care permite Comisiei, autorităților naționale de concurență din statele membre și Autorității pentru Concurență și Piețe din Regatul Unit să coopereze direct în cadrul investigațiilor privind concurența; ia act de faptul că acesta este primul acord de cooperare al UE în domeniul concurenței care permite autorităților naționale competente să coopereze direct cu o autoritate de concurență dintr-o țară non UE; solicită ratificarea sa rapidă pentru a consolida aplicarea și coordonarea transfrontalieră în cazurile de concurență, protejând, în același timp, confidențialitatea prin derogări adecvate;  </w:t>
      </w:r>
    </w:p>
    <w:p w14:paraId="75A82A33" w14:textId="77777777" w:rsidR="0028437D" w:rsidRPr="00236F36" w:rsidRDefault="0028437D" w:rsidP="0028437D">
      <w:pPr>
        <w:pStyle w:val="NormalHanging12a"/>
        <w:rPr>
          <w:szCs w:val="24"/>
        </w:rPr>
      </w:pPr>
      <w:r w:rsidRPr="00236F36">
        <w:t>39.</w:t>
      </w:r>
      <w:r w:rsidRPr="00236F36">
        <w:tab/>
        <w:t xml:space="preserve">salută eforturile depuse de UE și de Regatul Unit pentru a solicita cooperarea internațională în ceea ce privește gestionarea provocărilor și a riscurilor prezentate de inteligența artificială (IA) pentru a promova guvernanța globală a IA pe baza valorilor democratice, a standardelor comune și a garanțiilor solide; constată că UE a adoptat un cadru de reglementare cuprinzător bazat pe riscuri prin Regulamentul privind inteligența </w:t>
      </w:r>
      <w:r w:rsidRPr="00236F36">
        <w:lastRenderedPageBreak/>
        <w:t>artificială (IA)</w:t>
      </w:r>
      <w:r w:rsidRPr="00236F36">
        <w:rPr>
          <w:szCs w:val="24"/>
          <w:vertAlign w:val="superscript"/>
        </w:rPr>
        <w:footnoteReference w:id="29"/>
      </w:r>
      <w:r w:rsidRPr="00236F36">
        <w:t xml:space="preserve">, adoptat în 2024, în timp ce Regatul Unit a adoptat o abordare mai flexibilă în materie de reglementare, fără a introduce o lege orizontală privind IA; solicită o mai mare convergență a reglementărilor privind IA între Uniune și Regatul Unit, pentru a permite acestui sector dinamic să crească într-un mediu sigur; regretă, în acest sens, că Regatul Unit nu a semnat Declarația privind o inteligență artificială incluzivă și durabilă pentru oameni și planetă la </w:t>
      </w:r>
      <w:proofErr w:type="spellStart"/>
      <w:r w:rsidRPr="00236F36">
        <w:t>Summitul</w:t>
      </w:r>
      <w:proofErr w:type="spellEnd"/>
      <w:r w:rsidRPr="00236F36">
        <w:t xml:space="preserve"> privind acțiunea în domeniul IA de la Paris din 11 februarie 2025; subliniază importanța cooperării structurate dintre UE și Regatul Unit în ceea ce privește guvernanța IA, având în vedere angajamentul comun de a promova sisteme de IA sigure, transparente și responsabile și pentru a evita fragmentarea în materie de reglementare, pentru a participa la stabilirea de standarde și pentru a explora mecanisme de recunoaștere reciprocă pentru evaluarea conformității; regretă absența unui angajament specific față de cooperarea în domeniul IA în Înțelegerea comună privind o agendă reînnoită pentru relațiile dintre UE și Regatul Unit, în pofida importanței strategice a promovării alinierii transnaționale la dezvoltarea de încredere a IA și reamintește că articolul 39 din Regulamentul privind IA permite recunoașterea organismelor de evaluare a conformității stabilite în țări terțe în condiții specifice și sub rezerva unui acord între UE și țara non UE în cauză; subliniază riscul de a se accentua divergențele în materie de reglementare, în special între Regulamentul UE cu caracter obligatoriu privind inteligența artificială și abordarea sectorială a Regatului Unit, în pofida priorităților convergente privind clasificarea bazată pe riscuri, protecția drepturilor de autor și riscurile sistemice; ia act de memorandumul de înțelegere dintre Regatul Unit și SUA privind IA, care ar putea duce la divergențe în ceea ce privește standardele minime între UE și Regatul Unit, și invită Comisia să evalueze impactul acestui acord și să raporteze Parlamentului; insistă asupra necesității de a stabili o înțelegere comună a beneficiilor inteligenței artificiale și a provocărilor legate de aceasta; solicită consolidarea dialogului tehnic între autoritățile de reglementare pentru a sprijini interoperabilitatea în materie de reglementare și a reduce complexitatea cerințelor de conformitate pentru întreprinderi; ia act de discuțiile actuale din Regatul Unit privind modificările aduse legislației privind drepturile de autor; își exprimă preocuparea legată de faptul că astfel de planuri ar putea avea un impact negativ asupra artiștilor și creatorilor europeni, în special în ceea ce privește propunerea de a institui un sistem de neparticipare;</w:t>
      </w:r>
    </w:p>
    <w:p w14:paraId="4F67CAC8" w14:textId="152C49D8" w:rsidR="0028437D" w:rsidRPr="00236F36" w:rsidRDefault="0028437D" w:rsidP="0028437D">
      <w:pPr>
        <w:pStyle w:val="NormalHanging12a"/>
        <w:rPr>
          <w:szCs w:val="24"/>
        </w:rPr>
      </w:pPr>
      <w:r w:rsidRPr="00236F36">
        <w:t>40.</w:t>
      </w:r>
      <w:r w:rsidRPr="00236F36">
        <w:tab/>
        <w:t xml:space="preserve">ia act de faptul că articolele 103-107 și 109 din Regulamentul privind IA modifică legislația existentă a UE privind produsele care se aplică </w:t>
      </w:r>
      <w:r w:rsidR="004D2DBD" w:rsidRPr="00236F36">
        <w:t xml:space="preserve">Regatului Unit și </w:t>
      </w:r>
      <w:r w:rsidRPr="00236F36">
        <w:t xml:space="preserve">în </w:t>
      </w:r>
      <w:r w:rsidR="00DF6F52" w:rsidRPr="00236F36">
        <w:t xml:space="preserve">Regatul Unit în ceea ce privește </w:t>
      </w:r>
      <w:r w:rsidRPr="00236F36">
        <w:t xml:space="preserve">Irlanda de Nord în temeiul anexei 2 la Cadrul Windsor; ia act de </w:t>
      </w:r>
      <w:r w:rsidR="007F2CBA" w:rsidRPr="00236F36">
        <w:t>Decizia Consiliului din 14 aprilie 2025 de stabilire a poziției Uniunii în cadrul Comitetului mixt UE-</w:t>
      </w:r>
      <w:r w:rsidR="0036446E" w:rsidRPr="00236F36">
        <w:t>Regatul Unit</w:t>
      </w:r>
      <w:r w:rsidR="007F2CBA" w:rsidRPr="00236F36">
        <w:t xml:space="preserve">, în ceea ce privește adăugarea </w:t>
      </w:r>
      <w:r w:rsidRPr="00236F36">
        <w:t xml:space="preserve">Regulamentului privind IA în anexa 2 la Cadrul Windsor; recunoaște că o mai bună aliniere a reglementărilor în domenii precum siguranța produselor și supravegherea pieței poate contribui la claritatea juridică și continuitatea pieței; </w:t>
      </w:r>
      <w:bookmarkStart w:id="19" w:name="_Hlk210302061"/>
      <w:r w:rsidRPr="00236F36">
        <w:t>încurajează UE și Regatul Unit să își continue dialogul în Comitetul mixt, în scopul de a identifica abordări reciproc acceptabile care să susțină standarde ridicate de protecție a consumatorilor și coerența normativă</w:t>
      </w:r>
      <w:bookmarkEnd w:id="19"/>
      <w:r w:rsidRPr="00236F36">
        <w:t xml:space="preserve">; </w:t>
      </w:r>
    </w:p>
    <w:p w14:paraId="5BDB35FE" w14:textId="77777777" w:rsidR="0028437D" w:rsidRPr="00236F36" w:rsidRDefault="0028437D" w:rsidP="0028437D">
      <w:pPr>
        <w:pStyle w:val="NormalHanging12a"/>
        <w:rPr>
          <w:szCs w:val="24"/>
        </w:rPr>
      </w:pPr>
      <w:r w:rsidRPr="00236F36">
        <w:lastRenderedPageBreak/>
        <w:t>41.</w:t>
      </w:r>
      <w:r w:rsidRPr="00236F36">
        <w:tab/>
        <w:t>reamintește că ACC recunoaște importanța unor standarde ridicate de protecție a datelor și a confidențialității, permițând totodată fiecărei părți să își mențină propria autonomie în materie de reglementare; consideră că există riscuri asociate cu divergențele normative dintre Uniune și Regatul Unit; constată că regimul de protecție a datelor din Regatul Unit a rămas, în linii mari, aliniat la Regulamentul general privind protecția datelor al UE</w:t>
      </w:r>
      <w:r w:rsidRPr="00236F36">
        <w:rPr>
          <w:rStyle w:val="FootnoteReference"/>
          <w:szCs w:val="24"/>
        </w:rPr>
        <w:footnoteReference w:id="30"/>
      </w:r>
      <w:r w:rsidRPr="00236F36">
        <w:t xml:space="preserve"> (RGPD), ceea ce permite continuarea deciziei UE privind caracterul adecvat al nivelului de protecție, care facilitează fluxurile de date neîntrerupte, esențiale pentru serviciile transfrontaliere; ia act de reforma în curs a cadrului de protecție a datelor din Regatul Unit prin Legea privind utilizarea și accesul la date, care introduce o serie de modificări substanțiale ale dispozițiilor existente ale RGPD al Regatului Unit; reamintește cât este de important să se mențină standarde înalte de protecție a datelor pentru transferul și prelucrarea datelor personale între cele două părți, inclusiv pentru persoanele ale căror date sunt prelucrate în Regatul Unit, în special dacă datele provin din UE, și pledează pentru un schimb periodic de informații între Uniune și Regatul Unit; consideră demnă de apreciat cooperarea consolidată în chestiuni de reglementare în domeniul digital, ca, de pildă, acordul administrativ din 30 aprilie 2024 dintre Direcția Generală Rețele de Comunicare, Conținut și Tehnologie a Comisiei și Biroul de comunicații din Regatul Unit (</w:t>
      </w:r>
      <w:proofErr w:type="spellStart"/>
      <w:r w:rsidRPr="00236F36">
        <w:t>Ofcom</w:t>
      </w:r>
      <w:proofErr w:type="spellEnd"/>
      <w:r w:rsidRPr="00236F36">
        <w:t xml:space="preserve">), care se ocupă în mod prioritar de schimbul informații despre supravegherea eforturilor de evaluare și atenuare a riscurilor depuse de furnizorii de platforme online mari; solicită o consolidare a dialogului în cadrul Comitetului specializat în comerț al ACC privind serviciile, investițiile și comerțul digital, pentru a asigura condiții stabile pentru transferurile de date și securitate juridică pentru operatori; </w:t>
      </w:r>
    </w:p>
    <w:p w14:paraId="03B33B3A" w14:textId="77777777" w:rsidR="0028437D" w:rsidRPr="00236F36" w:rsidRDefault="0028437D" w:rsidP="0028437D">
      <w:pPr>
        <w:pStyle w:val="NormalHanging12a"/>
        <w:rPr>
          <w:szCs w:val="24"/>
        </w:rPr>
      </w:pPr>
      <w:r w:rsidRPr="00236F36">
        <w:t>42.</w:t>
      </w:r>
      <w:r w:rsidRPr="00236F36">
        <w:tab/>
        <w:t>reamintește că, pentru ca datele să poată circula liber și fără întreruperi între Uniune și Regatul Unit, Comisia trebuie să confirme prin decizii că există un nivel adecvat de protecție a datelor; ia act de concluzia Comisiei potrivit căreia cadrul juridic al Regatului Unit continuă să ofere garanții de protecție a datelor care sunt, în esență, echivalente cu cele oferite de UE; constată că concluzia Comisiei a venit în urma evaluării de către aceasta a legii din Regatul Unit privind datele (utilizare și acces); salută faptul că Comisia a propus prelungirea cu șase ani a actualei decizii privind caracterul adecvat al nivelului de protecție; consideră că această extindere ar trebui să ofere certitudine în materie de reglementare și să prevină costurile inutile de asigurare a conformității, să asigure stabilitatea fluxurilor transfrontaliere de date și a comerțului digital și să garanteze că drepturile fundamentale ale cetățenilor UE continuă să fie respectate în temeiul ACC; subliniază că orice acord permanent trebuie să rămână condiționat de alinierea continuă a Regatului Unit la standardele UE de protecție a datelor, în temeiul noului cadru juridic al Regatului Unit, și de menținerea unui nivel ridicat de protecție a datelor cu caracter personal, astfel cum se prevede în legislația UE; invită guvernul Regatului Unit să se asigure că niciun act legislativ din Regatului Unit, cum ar fi legea din 2025 privind datele (utilizare și acces), nu conduce la standarde mai scăzute de protecție a datelor decât cele din UE;</w:t>
      </w:r>
    </w:p>
    <w:p w14:paraId="0DF3CD68" w14:textId="77777777" w:rsidR="0028437D" w:rsidRPr="00236F36" w:rsidRDefault="0028437D" w:rsidP="0028437D">
      <w:pPr>
        <w:pStyle w:val="NormalHanging12a"/>
        <w:rPr>
          <w:szCs w:val="24"/>
        </w:rPr>
      </w:pPr>
      <w:r w:rsidRPr="00236F36">
        <w:t>43.</w:t>
      </w:r>
      <w:r w:rsidRPr="00236F36">
        <w:tab/>
        <w:t xml:space="preserve">ia act de Avizul 06/2025 al Comitetului european pentru protecția datelor care sprijină o prelungire tehnică și limitată în timp a deciziilor Regatului Unit privind caracterul adecvat al nivelului de protecție a datelor până la 27 decembrie 2025, exclusiv pentru a acorda Comisiei timpul necesar pentru a evalua implicațiile reformei, odată adoptată; </w:t>
      </w:r>
      <w:r w:rsidRPr="00236F36">
        <w:lastRenderedPageBreak/>
        <w:t xml:space="preserve">reamintește că în această perioadă Comisia trebuie să monitorizeze toate evoluțiile relevante din Regatul Unit și să se asigure că orice decizie viitoare privind caracterul adecvat al nivelului de protecție a datelor se bazează pe o evaluare cuprinzătoare și la zi a cadrului de protecție a datelor din Regatul Unit; </w:t>
      </w:r>
    </w:p>
    <w:p w14:paraId="5D1BBE22" w14:textId="77777777" w:rsidR="0028437D" w:rsidRPr="00236F36" w:rsidRDefault="0028437D" w:rsidP="0028437D">
      <w:pPr>
        <w:pStyle w:val="NormalHanging12a"/>
        <w:rPr>
          <w:szCs w:val="24"/>
        </w:rPr>
      </w:pPr>
      <w:r w:rsidRPr="00236F36">
        <w:t>44.</w:t>
      </w:r>
      <w:r w:rsidRPr="00236F36">
        <w:tab/>
        <w:t>subliniază că este important să se adopte și pe mai departe abordări similare față de reformele pieței în sectorul digital; îndeamnă Regatul Unit să evite politicile care se abat de la principiile fundamentale stabilite de Regulamentul privind piețele digitale</w:t>
      </w:r>
      <w:r w:rsidRPr="00236F36">
        <w:rPr>
          <w:rStyle w:val="FootnoteReference"/>
          <w:szCs w:val="24"/>
        </w:rPr>
        <w:footnoteReference w:id="31"/>
      </w:r>
      <w:r w:rsidRPr="00236F36">
        <w:t xml:space="preserve"> și de Regulamentul privind serviciile digitale</w:t>
      </w:r>
      <w:r w:rsidRPr="00236F36">
        <w:rPr>
          <w:szCs w:val="24"/>
          <w:vertAlign w:val="superscript"/>
        </w:rPr>
        <w:footnoteReference w:id="32"/>
      </w:r>
      <w:r w:rsidRPr="00236F36">
        <w:t xml:space="preserve">; </w:t>
      </w:r>
    </w:p>
    <w:p w14:paraId="0C5A16C4" w14:textId="77777777" w:rsidR="0028437D" w:rsidRPr="00236F36" w:rsidRDefault="0028437D" w:rsidP="0028437D">
      <w:pPr>
        <w:pStyle w:val="NormalHanging12a"/>
        <w:rPr>
          <w:szCs w:val="24"/>
        </w:rPr>
      </w:pPr>
      <w:r w:rsidRPr="00236F36">
        <w:t>45.</w:t>
      </w:r>
      <w:r w:rsidRPr="00236F36">
        <w:tab/>
        <w:t xml:space="preserve">reamintește interesul comun al Uniunii și al Regatului Unit în ceea ce privește conectivitatea digitală; recomandă ca ambele părți să instituie un cadru de coordonare a schimbului de informații pentru monitorizarea amenințărilor la adresa infrastructurii critice de conectivitate, inclusiv a cablurilor submarine și a sateliților; </w:t>
      </w:r>
    </w:p>
    <w:p w14:paraId="77280CB4" w14:textId="77777777" w:rsidR="0028437D" w:rsidRPr="00236F36" w:rsidRDefault="0028437D" w:rsidP="0028437D">
      <w:pPr>
        <w:pStyle w:val="NormalHanging12a"/>
        <w:rPr>
          <w:szCs w:val="24"/>
        </w:rPr>
      </w:pPr>
      <w:r w:rsidRPr="00236F36">
        <w:t>46.</w:t>
      </w:r>
      <w:r w:rsidRPr="00236F36">
        <w:tab/>
        <w:t xml:space="preserve">reiterează necesitatea ca Uniunea și Regatul Unit să își respecte angajamentul asumat în cadrul Acordului comercial și de cooperare de a coopera pentru a promova tarife transparente și rezonabile pentru serviciile internaționale de roaming, cu scopul de a reduce costurile pentru consumatorii din Uniune și din Regatul Unit; </w:t>
      </w:r>
    </w:p>
    <w:p w14:paraId="567C5BBC" w14:textId="77777777" w:rsidR="0028437D" w:rsidRPr="00236F36" w:rsidRDefault="0028437D" w:rsidP="0028437D">
      <w:pPr>
        <w:pStyle w:val="NormalHanging12a"/>
        <w:rPr>
          <w:szCs w:val="24"/>
        </w:rPr>
      </w:pPr>
      <w:r w:rsidRPr="00236F36">
        <w:t>47.</w:t>
      </w:r>
      <w:r w:rsidRPr="00236F36">
        <w:tab/>
        <w:t xml:space="preserve">reamintește că ACC impune ca parteneriatul economic dintre cele două părți să fie susținut de condiții corecte de concurență pentru o concurență deschisă și loială și ca schimburile comerciale și investițiile să se desfășoare într-o manieră favorabilă dezvoltării durabile, inclusiv dezvoltării economice și sociale și protecției mediului; reamintește că protecția drepturilor lucrătorilor este esențială în acest context, astfel cum se prevede, printre altele, la articolele 355, 386, 387, 399 și 524 din ACC; constată că, în temeiul articolului 355, ambele părți s-au angajat să mențină și să își îmbunătățească standardele respective în domeniile care intră sub incidența titlului XI; reamintește că protecția drepturilor lucrătorilor este esențială în acest context, astfel cum se prevede, printre altele, la articolele 355, 386, 387, 399 și 524 din ACC; constată că, în temeiul articolului 355, ambele părți s-au angajat să mențină și să își îmbunătățească standardele respective în domeniile care intră sub incidența titlului XI; </w:t>
      </w:r>
    </w:p>
    <w:p w14:paraId="7BD82F5C" w14:textId="77777777" w:rsidR="0028437D" w:rsidRPr="00236F36" w:rsidRDefault="0028437D" w:rsidP="0028437D">
      <w:pPr>
        <w:pStyle w:val="NormalHanging12a"/>
        <w:rPr>
          <w:szCs w:val="24"/>
        </w:rPr>
      </w:pPr>
      <w:r w:rsidRPr="00236F36">
        <w:t>48.</w:t>
      </w:r>
      <w:r w:rsidRPr="00236F36">
        <w:tab/>
        <w:t>salută propunerile din proiectul de lege al guvernului Regatului Unit din 2024-2025 privind drepturile în materie de ocupare a forței de muncă de a extinde drepturile de negociere colectivă, de a oferi ore garantate lucrătorilor și de a abroga Legea privind grevele (nivelurile minime de servicii) din 2023; salută, în acest sens, proiectul de lege privind drepturile de muncă intitulat „</w:t>
      </w:r>
      <w:proofErr w:type="spellStart"/>
      <w:r w:rsidRPr="00236F36">
        <w:t>Good</w:t>
      </w:r>
      <w:proofErr w:type="spellEnd"/>
      <w:r w:rsidRPr="00236F36">
        <w:t xml:space="preserve"> </w:t>
      </w:r>
      <w:proofErr w:type="spellStart"/>
      <w:r w:rsidRPr="00236F36">
        <w:t>jobs</w:t>
      </w:r>
      <w:proofErr w:type="spellEnd"/>
      <w:r w:rsidRPr="00236F36">
        <w:t xml:space="preserve">”, introdus de administrația descentralizată din Irlanda de Nord, care respectă pe deplin standardele UE; </w:t>
      </w:r>
    </w:p>
    <w:p w14:paraId="2F9DC420" w14:textId="5F199CB7" w:rsidR="0028437D" w:rsidRPr="00236F36" w:rsidRDefault="0028437D" w:rsidP="0028437D">
      <w:pPr>
        <w:pStyle w:val="NormalHanging12a"/>
        <w:rPr>
          <w:szCs w:val="24"/>
        </w:rPr>
      </w:pPr>
      <w:r w:rsidRPr="00236F36">
        <w:t>49.</w:t>
      </w:r>
      <w:r w:rsidRPr="00236F36">
        <w:tab/>
        <w:t xml:space="preserve">ia act de faptul că, în ceea ce privește Legea britanică din 2023 privind dreptul UE menținut în dreptul intern (revocare și reformă), în răspunsul lor oficial adresat Comisiei și în cadrul unei serii de reuniuni tehnice, autoritățile britanice au informat Comisia că </w:t>
      </w:r>
      <w:r w:rsidRPr="00236F36">
        <w:lastRenderedPageBreak/>
        <w:t xml:space="preserve">obiectivul actului nu este de a reduce nivelurile de protecție, printre altele, în domeniul muncii în temeiul ACC; invită Comisia să monitorizeze îndeaproape actul pentru a asigura conformitatea, având în vedere competența amplă acordată autorităților Regatului Unit de a modifica dreptul Uniunii menținut în dreptul intern și rolul instanțelor naționale în interpretarea acestuia; </w:t>
      </w:r>
    </w:p>
    <w:p w14:paraId="5279C216" w14:textId="77777777" w:rsidR="0028437D" w:rsidRPr="00236F36" w:rsidRDefault="0028437D" w:rsidP="0028437D">
      <w:pPr>
        <w:pStyle w:val="NormalHanging12a"/>
        <w:rPr>
          <w:szCs w:val="24"/>
        </w:rPr>
      </w:pPr>
      <w:r w:rsidRPr="00236F36">
        <w:t>50.</w:t>
      </w:r>
      <w:r w:rsidRPr="00236F36">
        <w:tab/>
        <w:t>ia act de faptul că, în octombrie 2024, guvernul Regatului Unit și-a anunțat intenția de a înființa o nouă Autoritate privind munca echitabilă în subordinea Ministerului pentru afaceri și comerț, care să înlocuiască organismele publice existente din domeniul protecției muncii;</w:t>
      </w:r>
    </w:p>
    <w:p w14:paraId="2417A441" w14:textId="77777777" w:rsidR="0028437D" w:rsidRPr="00236F36" w:rsidRDefault="0028437D" w:rsidP="0028437D">
      <w:pPr>
        <w:pStyle w:val="NormalHanging12a"/>
        <w:rPr>
          <w:szCs w:val="24"/>
        </w:rPr>
      </w:pPr>
      <w:r w:rsidRPr="00236F36">
        <w:t>51.</w:t>
      </w:r>
      <w:r w:rsidRPr="00236F36">
        <w:tab/>
        <w:t xml:space="preserve">invită Comisia și APP să monitorizeze îndeaproape situația pentru a se asigura că nu există regresii ale nivelului de protecție al standardelor de muncă și alte evoluții ale drepturilor lucrătorilor în Regatul Unit și să își continue eforturile împreună cu guvernul Regatului Unit pentru a asigura respectarea deplină a ACC; invită Comisia să utilizeze toate mijloacele disponibile pentru a aborda orice preocupări care ar putea necesita aplicarea titlului XI capitolul 6 din ACC, inclusiv prin dialog în cadrul APP și al comisiilor specializate, prin consultarea cu GCI al UE și, dacă este necesar, prin mecanismele de soluționare a litigiilor prevăzute la articolul 389; </w:t>
      </w:r>
    </w:p>
    <w:p w14:paraId="3A05186C" w14:textId="77777777" w:rsidR="0028437D" w:rsidRPr="00236F36" w:rsidRDefault="0028437D" w:rsidP="0028437D">
      <w:pPr>
        <w:pStyle w:val="NormalHanging12a"/>
        <w:rPr>
          <w:szCs w:val="24"/>
        </w:rPr>
      </w:pPr>
      <w:r w:rsidRPr="00236F36">
        <w:t>52.</w:t>
      </w:r>
      <w:r w:rsidRPr="00236F36">
        <w:tab/>
        <w:t xml:space="preserve">invită UE și Regatul Unit să exploreze modalități de continuare a cooperării și a schimbului de bune practici în domeniul ocupării forței de muncă și al protecției sociale; recunoaște potențialul colaborării reciproce pentru a îmbunătăți punerea în aplicare și asigurarea respectării politicilor de ocupare a forței de muncă, asigurând o concurență loială, o creștere durabilă pentru întreprinderi și condiții de muncă echitabile pentru lucrătorii din UE și pentru cei din Regatul Unit; reamintește că partenerii sociali au un rol real în monitorizarea și în punerea în aplicare a ACC, inclusiv prin dreptul de a depune plângeri oficiale; </w:t>
      </w:r>
    </w:p>
    <w:p w14:paraId="7086B3A9" w14:textId="77777777" w:rsidR="0028437D" w:rsidRPr="00236F36" w:rsidRDefault="0028437D" w:rsidP="0028437D">
      <w:pPr>
        <w:pStyle w:val="NormalHanging12a"/>
        <w:rPr>
          <w:szCs w:val="24"/>
        </w:rPr>
      </w:pPr>
      <w:r w:rsidRPr="00236F36">
        <w:t>53.</w:t>
      </w:r>
      <w:r w:rsidRPr="00236F36">
        <w:tab/>
        <w:t xml:space="preserve">salută cooperarea continuă dintre UE și Regatul Unit în cadrul Organizației Internaționale a Muncii, în special în ceea ce privește dezvoltarea unui nou instrument menit să reglementeze munca pe platforme online; </w:t>
      </w:r>
    </w:p>
    <w:p w14:paraId="7AA73EB8" w14:textId="77777777" w:rsidR="0028437D" w:rsidRPr="00236F36" w:rsidRDefault="0028437D" w:rsidP="0028437D">
      <w:pPr>
        <w:pStyle w:val="NormalHanging12a"/>
        <w:rPr>
          <w:bCs/>
          <w:iCs/>
        </w:rPr>
      </w:pPr>
      <w:r w:rsidRPr="00236F36">
        <w:t>54.</w:t>
      </w:r>
      <w:r w:rsidRPr="00236F36">
        <w:tab/>
        <w:t>salută punerea în aplicare în paralel a Regulamentului privind piețele digitale și a Legii Regatului Unit privind piețele digitale, concurența și consumatorii, ca un pas către promovarea unor piețe digitale echitabile și deschise concurenței; ia act de obiectivele comune în materie de reglementare și subliniază necesitatea de a evita fragmentarea printr-o cooperare consolidată în cadrul Acordului de cooperare în domeniul concurenței; sprijină elaborarea unui memorandum de înțelegere pentru a facilita dialogul în materie de reglementare, schimbul de informații și coordonarea privind practicile de aplicare a legii, în special în ceea ce privește platformele cu funcție de control de acces; subliniază că este important să se alinieze abordările în materie de concurență pe piețele digitale pentru a sprijini securitatea juridică transfrontalieră pentru întreprinderi și protecția consumatorilor;</w:t>
      </w:r>
    </w:p>
    <w:p w14:paraId="7D1E216F" w14:textId="77777777" w:rsidR="0028437D" w:rsidRPr="00236F36" w:rsidRDefault="0028437D" w:rsidP="0028437D">
      <w:pPr>
        <w:pStyle w:val="NormalHanging12a"/>
        <w:rPr>
          <w:szCs w:val="24"/>
        </w:rPr>
      </w:pPr>
      <w:r w:rsidRPr="00236F36">
        <w:t>55.</w:t>
      </w:r>
      <w:r w:rsidRPr="00236F36">
        <w:tab/>
        <w:t xml:space="preserve">invită Comisia să continue să monitorizeze îndeaproape divergențele în materie de reglementare din Regatul Unit care ar putea prezenta un risc de nerespectare a ACC, în special în domenii importante pentru asigurarea unor condițiile de concurență echitabile, cum ar fi controlul subvențiilor, IA, impozitarea, standardele sociale și de muncă, normele de mediu și cele privind schimbările climatice, și să abordeze cazurile identificate de divergențe, care pot duce la standarde sociale, de muncă și de protecție a mediului mai scăzute, atât pentru cetățenii și consumatorii din UE, cât și pentru cei din </w:t>
      </w:r>
      <w:r w:rsidRPr="00236F36">
        <w:lastRenderedPageBreak/>
        <w:t xml:space="preserve">Regatul Unit; recomandă crearea unui observator al diferențelor de reglementare dintre UE și Regatul Unit, care să monitorizeze și să raporteze viitoarele modificări legislative în domeniul siguranței transporturilor, al standardelor de mediu și al drepturilor pasagerilor; subliniază importanța unui dialog </w:t>
      </w:r>
      <w:proofErr w:type="spellStart"/>
      <w:r w:rsidRPr="00236F36">
        <w:t>proactiv</w:t>
      </w:r>
      <w:proofErr w:type="spellEnd"/>
      <w:r w:rsidRPr="00236F36">
        <w:t xml:space="preserve"> în materie de reglementare pentru a evita divergențele inutile și fragmentarea pieței; invită Comisia să ofere Parlamentului acces la datele obținute prin publicarea rapoartelor anuale; subliniază dificultatea deosebită pe care divergențele în materie de reglementare o reprezintă pentru Irlanda de Nord, având în vedere caracterul unic al accesului său dublu atât la piața UE, cât și la cea a Regatului Unit în temeiul Cadrului Windsor; subliniază că este nevoie de mecanisme specifice de alertă timpurie și de evaluări ale impactului axate pe Irlanda de Nord pentru a se asigura că divergențele nu subminează securitatea juridică, continuitatea activității economice sau procesul de pace și pentru a reduce la minimum impactul acestora și a nu lăsa neconcordanțele să devină un obstacol în calea comerțului; solicită o cooperare sporită cu părțile interesate de la nivel local și cu organismele din nord/sud înființate în temeiul Acordului din Vinerea Mare;</w:t>
      </w:r>
    </w:p>
    <w:p w14:paraId="07F5A4A0" w14:textId="77777777" w:rsidR="0028437D" w:rsidRPr="00236F36" w:rsidRDefault="0028437D" w:rsidP="0028437D">
      <w:pPr>
        <w:pStyle w:val="NormalHanging12a"/>
        <w:rPr>
          <w:b/>
          <w:i/>
        </w:rPr>
      </w:pPr>
      <w:bookmarkStart w:id="20" w:name="_Hlk194523670"/>
      <w:r w:rsidRPr="00236F36">
        <w:rPr>
          <w:b/>
          <w:i/>
        </w:rPr>
        <w:t>Servicii financiare</w:t>
      </w:r>
    </w:p>
    <w:p w14:paraId="75B946FE" w14:textId="77777777" w:rsidR="0028437D" w:rsidRPr="00236F36" w:rsidRDefault="0028437D" w:rsidP="0028437D">
      <w:pPr>
        <w:pStyle w:val="NormalHanging12a"/>
        <w:rPr>
          <w:szCs w:val="24"/>
        </w:rPr>
      </w:pPr>
      <w:r w:rsidRPr="00236F36">
        <w:t>56.</w:t>
      </w:r>
      <w:r w:rsidRPr="00236F36">
        <w:tab/>
        <w:t xml:space="preserve">recunoaște necesitatea unui nivel ridicat de cooperare și a unui dialog orientat spre viitor între UE și Regatul Unit în domeniul serviciilor financiare; observă că Forumul comun de reglementare financiară UE-Regatul Unit a avut doar trei reuniuni de la înființarea sa; </w:t>
      </w:r>
    </w:p>
    <w:p w14:paraId="5FE5794E" w14:textId="77777777" w:rsidR="0028437D" w:rsidRPr="00236F36" w:rsidRDefault="0028437D" w:rsidP="0028437D">
      <w:pPr>
        <w:pStyle w:val="NormalHanging12a"/>
        <w:rPr>
          <w:szCs w:val="24"/>
        </w:rPr>
      </w:pPr>
      <w:r w:rsidRPr="00236F36">
        <w:t>57.</w:t>
      </w:r>
      <w:r w:rsidRPr="00236F36">
        <w:tab/>
        <w:t xml:space="preserve">încurajează un dialog orientat spre viitor în cadrul Forumului comun de reglementare financiară UE-Regatul Unit, care să promoveze un grad ridicat de aliniere a regimurilor de reglementare respective și să contribuie la identificarea și abordarea chestiunilor comune în ceea ce privește stabilitatea financiară, protecția investitorilor, combaterea spălării banilor și prevenirea finanțării terorismului, pentru a facilita investițiile transfrontaliere și pentru a stimula inovarea pe piețele financiare și cooperarea în forurile internaționale și în punerea în aplicare a standardelor internaționale; ia act de faptul că aceasta poate include schimbul de informații privind evoluțiile în materie de reglementare, schimburile de opinii cu privire la politicile, normele și procesele respective în ceea ce privește regimurile de recunoaștere egală a reglementărilor, cum ar fi echivalența, și poate acoperi, de asemenea, analizele de risc și impactul economic potențial al măsurilor propuse, precum și subiecte legate de convergența tehnică voluntară, care fac fluxurile comerciale mai stabile și mai eficiente; ia act de potențialul Forumului de a promova o abordare coerentă acolo unde este posibil și de a oferi un cadru pentru soluționarea litigiilor și invită Comisia să îl consolideze și să valorifice această cooperare; invită Comisia să informeze Parlamentul pe deplin și în timp util cu privire la pregătirile pentru reuniunile semestriale și la rezultatele acestora; </w:t>
      </w:r>
    </w:p>
    <w:p w14:paraId="016B8912" w14:textId="77777777" w:rsidR="0028437D" w:rsidRPr="00236F36" w:rsidRDefault="0028437D" w:rsidP="0028437D">
      <w:pPr>
        <w:pStyle w:val="NormalHanging12a"/>
        <w:rPr>
          <w:szCs w:val="24"/>
        </w:rPr>
      </w:pPr>
      <w:r w:rsidRPr="00236F36">
        <w:t>58.</w:t>
      </w:r>
      <w:r w:rsidRPr="00236F36">
        <w:tab/>
        <w:t xml:space="preserve">consideră că eficiența și competitivitatea serviciilor de pe piața financiară post-tranzacționare sunt vitale pentru a asigura buna funcționare a uniunii economiilor și a investițiilor și salută consensul tot mai mare dintre Regatul Unit și UE cu privire la această chestiune; salută acordul politic provizoriu de a scurta perioada de decontare pentru tranzacțiile cu valori mobiliare la o zi după tranzacționare; </w:t>
      </w:r>
    </w:p>
    <w:p w14:paraId="157621F4" w14:textId="77777777" w:rsidR="0028437D" w:rsidRPr="00236F36" w:rsidRDefault="0028437D" w:rsidP="0028437D">
      <w:pPr>
        <w:pStyle w:val="NormalHanging12a"/>
        <w:rPr>
          <w:szCs w:val="24"/>
        </w:rPr>
      </w:pPr>
      <w:r w:rsidRPr="00236F36">
        <w:t>59.</w:t>
      </w:r>
      <w:r w:rsidRPr="00236F36">
        <w:tab/>
        <w:t xml:space="preserve">subliniază că, în urma retragerii Regatului Unit din UE, participanții pe piața din Regatul Unit nu mai au acces automat la piața unică a serviciilor financiare; subliniază că UE a acordat doar o decizie de echivalență limitată în timp pentru un </w:t>
      </w:r>
      <w:proofErr w:type="spellStart"/>
      <w:r w:rsidRPr="00236F36">
        <w:t>subsector</w:t>
      </w:r>
      <w:proofErr w:type="spellEnd"/>
      <w:r w:rsidRPr="00236F36">
        <w:t xml:space="preserve"> specific al serviciilor financiare – </w:t>
      </w:r>
      <w:proofErr w:type="spellStart"/>
      <w:r w:rsidRPr="00236F36">
        <w:t>contrapărțile</w:t>
      </w:r>
      <w:proofErr w:type="spellEnd"/>
      <w:r w:rsidRPr="00236F36">
        <w:t xml:space="preserve"> centrale – în timp ce cadrul de echivalență al UE în domeniul serviciilor financiare permite accesul pe piața UE al </w:t>
      </w:r>
      <w:r w:rsidRPr="00236F36">
        <w:lastRenderedPageBreak/>
        <w:t xml:space="preserve">întreprinderilor din țări terțe, cu condiția ca cadrul lor de reglementare și de supraveghere să fie considerat echivalent cu standardele UE; reamintește că UE poate oricând retrage unilateral orice decizie de echivalență dacă nu mai sunt îndeplinite condițiile de acordare a echivalenței; recunoaște necesitatea de a garanta că întreprinderile mici și mijlocii de ambele părți beneficiază de o cooperare financiară consolidată între UE și Regatul Unit; subliniază importanța facilitării accesului transfrontalier la finanțare; încurajează Comisia să discute și alte decizii de echivalență pentru a oferi întreprinderilor din Regatul Unit și din UE beneficiile unui acces mai larg pe piață; </w:t>
      </w:r>
    </w:p>
    <w:p w14:paraId="700139C6" w14:textId="77777777" w:rsidR="0028437D" w:rsidRPr="00236F36" w:rsidRDefault="0028437D" w:rsidP="0028437D">
      <w:pPr>
        <w:pStyle w:val="NormalHanging12a"/>
        <w:rPr>
          <w:szCs w:val="24"/>
        </w:rPr>
      </w:pPr>
      <w:r w:rsidRPr="00236F36">
        <w:t>60.</w:t>
      </w:r>
      <w:r w:rsidRPr="00236F36">
        <w:tab/>
        <w:t xml:space="preserve">salută includerea schimburilor de opinii referitoare la deciziile privind echivalența în domeniul de competență al Forumului ACC privind cooperarea în materie de reglementare; solicită discutarea și examinarea periodică a acestor aspecte, în special în ceea ce privește serviciile financiare și de investiții, în interesul intensificării schimburilor comerciale și a cooperării; invită Comisia să evalueze și să ia decizii de echivalență într-un mod strategic și condiționat, asigurându-se că orice acces pe piață acordat companiilor de servicii financiare din Regatul Unit este pe deplin aliniat la standardele UE; consideră că evaluarea echivalenței ar trebui să fie mai mult decât o abordare sectorială strictă și să adopte mai degrabă o perspectivă mai amplă, orientată spre viitor, pentru a lua în considerare cadrul general de reglementare și de supraveghere al țării terțe, inclusiv angajamentele sale privind concurența loială, combaterea spălării banilor, cooperarea fiscală, protecția investitorilor și stabilitatea financiară, pentru a proteja stabilitatea financiară a Uniunii, a menține integritatea pieței unice și a preveni arbitrajul de reglementare; </w:t>
      </w:r>
    </w:p>
    <w:p w14:paraId="7A1245BE" w14:textId="77777777" w:rsidR="0028437D" w:rsidRPr="00236F36" w:rsidRDefault="0028437D" w:rsidP="0028437D">
      <w:pPr>
        <w:pStyle w:val="NormalHanging12a"/>
        <w:rPr>
          <w:szCs w:val="24"/>
        </w:rPr>
      </w:pPr>
      <w:r w:rsidRPr="00236F36">
        <w:t>61.</w:t>
      </w:r>
      <w:r w:rsidRPr="00236F36">
        <w:tab/>
        <w:t xml:space="preserve">reamintește că deciziile privind echivalența ar putea aduce beneficii întreprinderilor din UE în ceea ce privește accesul mai mare la piața Regatului Unit, inclusiv în ceea ce privește serviciile bancare, serviciile de plată, serviciile de investiții și asigurările, și subliniază că o relație financiară deschisă și bine structurată între UE și Regatul Unit trebuie să contribuie la promovarea unui mediu de finanțare mai competitiv pentru IMM-uri; </w:t>
      </w:r>
    </w:p>
    <w:p w14:paraId="2A0A8655" w14:textId="77777777" w:rsidR="0028437D" w:rsidRPr="00236F36" w:rsidRDefault="0028437D" w:rsidP="0028437D">
      <w:pPr>
        <w:pStyle w:val="NormalHanging12a"/>
        <w:rPr>
          <w:szCs w:val="24"/>
        </w:rPr>
      </w:pPr>
      <w:r w:rsidRPr="00236F36">
        <w:t>62.</w:t>
      </w:r>
      <w:r w:rsidRPr="00236F36">
        <w:tab/>
        <w:t xml:space="preserve">ia act, în același timp, de dorința declarată a Regatului Unit de a prezenta divergențe în materie de reglementare față de UE într-o serie de domenii; își exprimă îngrijorarea cu privire la faptul că astfel de divergențe ar putea submina condițiile de concurență echitabile cu UE; solicită monitorizarea atentă a acestor evoluții și a impactului lor potențial asupra piețelor UE, inclusiv prin utilizarea strategică a deciziilor de echivalență; </w:t>
      </w:r>
    </w:p>
    <w:p w14:paraId="70D02B8A" w14:textId="77777777" w:rsidR="0028437D" w:rsidRPr="00236F36" w:rsidRDefault="0028437D" w:rsidP="0028437D">
      <w:pPr>
        <w:pStyle w:val="NormalHanging12a"/>
        <w:rPr>
          <w:szCs w:val="24"/>
        </w:rPr>
      </w:pPr>
      <w:r w:rsidRPr="00236F36">
        <w:t>63.</w:t>
      </w:r>
      <w:r w:rsidRPr="00236F36">
        <w:tab/>
        <w:t xml:space="preserve">recunoaște că, deși unele </w:t>
      </w:r>
      <w:proofErr w:type="spellStart"/>
      <w:r w:rsidRPr="00236F36">
        <w:t>criptoactive</w:t>
      </w:r>
      <w:proofErr w:type="spellEnd"/>
      <w:r w:rsidRPr="00236F36">
        <w:t xml:space="preserve"> au în primul rând un caracter speculativ, utilizarea lor în sectorul financiar este în creștere și solicită o abordare coordonată a reglementării și supravegherii acestor active pentru a aborda în mod eficace riscurile legate de protecția consumatorilor, integritatea pieței și spălarea banilor, precum și preocupările legate de impactul asupra mediului; ia act cu îngrijorare de faptul că emitenților de </w:t>
      </w:r>
      <w:proofErr w:type="spellStart"/>
      <w:r w:rsidRPr="00236F36">
        <w:t>criptomonede</w:t>
      </w:r>
      <w:proofErr w:type="spellEnd"/>
      <w:r w:rsidRPr="00236F36">
        <w:t xml:space="preserve"> stabile li se va permite să își desfășoare activitatea în Regatul Unit în temeiul unei derogări de la cadrul de reglementare și de supraveghere al Regatului Unit și subliniază că, dacă Regatul Unit ar continua cooperarea bilaterală cu Statele Unite pe baza unui model de reglementare permisiv, eforturile UE de asigurare a coerenței în materie de reglementare, a supravegherii solide, a rezilienței financiare în toate jurisdicțiile și a stabilității financiare mondiale ar fi subminate; invită, prin urmare, Regatul Unit să adopte o legislație similară cu Regulamentul (UE) 2023/1114 privind </w:t>
      </w:r>
      <w:r w:rsidRPr="00236F36">
        <w:lastRenderedPageBreak/>
        <w:t xml:space="preserve">piețele </w:t>
      </w:r>
      <w:proofErr w:type="spellStart"/>
      <w:r w:rsidRPr="00236F36">
        <w:t>criptoactivelor</w:t>
      </w:r>
      <w:proofErr w:type="spellEnd"/>
      <w:r w:rsidRPr="00236F36">
        <w:rPr>
          <w:rStyle w:val="FootnoteReference"/>
          <w:szCs w:val="24"/>
        </w:rPr>
        <w:footnoteReference w:id="33"/>
      </w:r>
      <w:r w:rsidRPr="00236F36">
        <w:t xml:space="preserve">; avertizează cu privire la riscurile sistemice pe care le poate crea un cadru de supraveghere mai puțin strict și recomandă să nu se abată de la recomandările Consiliului pentru Stabilitate Financiară privind reglementarea </w:t>
      </w:r>
      <w:proofErr w:type="spellStart"/>
      <w:r w:rsidRPr="00236F36">
        <w:t>criptoactivelor</w:t>
      </w:r>
      <w:proofErr w:type="spellEnd"/>
      <w:r w:rsidRPr="00236F36">
        <w:t xml:space="preserve">, care ar putea submina stabilitatea financiară mondială; consideră că UE și Regatul Unit ar trebui să colaboreze în cadrul comunității internaționale pentru a ajunge la o înțelegere comună a beneficiilor și riscurilor IA aplicate serviciilor financiare; </w:t>
      </w:r>
    </w:p>
    <w:p w14:paraId="7D2343F7" w14:textId="77777777" w:rsidR="0028437D" w:rsidRPr="00236F36" w:rsidRDefault="0028437D" w:rsidP="0028437D">
      <w:pPr>
        <w:pStyle w:val="NormalHanging12a"/>
        <w:rPr>
          <w:szCs w:val="24"/>
        </w:rPr>
      </w:pPr>
      <w:r w:rsidRPr="00236F36">
        <w:t>64.</w:t>
      </w:r>
      <w:r w:rsidRPr="00236F36">
        <w:tab/>
        <w:t xml:space="preserve">sprijină și salută dezvoltarea rapidă a monedei euro digitale, care completează, fără a înlocui, numerarul; subliniază nivelul ridicat de dependență a UE de entități străine în sectorul plăților; recunoaște necesitatea urgentă ca UE să își asigure autonomia față de prestatorii străini de servicii de plată, ca o chestiune de suveranitate digitală și financiară; </w:t>
      </w:r>
    </w:p>
    <w:p w14:paraId="4CF35E3B" w14:textId="77777777" w:rsidR="0028437D" w:rsidRPr="00236F36" w:rsidRDefault="0028437D" w:rsidP="0028437D">
      <w:pPr>
        <w:pStyle w:val="NormalHanging12a"/>
        <w:rPr>
          <w:szCs w:val="24"/>
        </w:rPr>
      </w:pPr>
      <w:r w:rsidRPr="00236F36">
        <w:t>65.</w:t>
      </w:r>
      <w:r w:rsidRPr="00236F36">
        <w:tab/>
        <w:t xml:space="preserve">consideră că posibila introducere a monedelor digitale emise de băncile centrale atât în UE, cât și în Regatul Unit poate avea impact economic asupra relației dintre cele două părți și asupra autonomiei strategice; </w:t>
      </w:r>
    </w:p>
    <w:p w14:paraId="2F72CEE2" w14:textId="77777777" w:rsidR="0028437D" w:rsidRPr="00236F36" w:rsidRDefault="0028437D" w:rsidP="0028437D">
      <w:pPr>
        <w:pStyle w:val="NormalHanging12a"/>
        <w:rPr>
          <w:szCs w:val="24"/>
        </w:rPr>
      </w:pPr>
      <w:r w:rsidRPr="00236F36">
        <w:t>66.</w:t>
      </w:r>
      <w:r w:rsidRPr="00236F36">
        <w:tab/>
        <w:t xml:space="preserve">sprijină ferm cooperarea continuă dintre UE și Regatul Unit în ceea ce privește combaterea spălării banilor și a finanțării terorismului la nivel internațional, combaterea regimurilor fiscale dăunătoare și punerea în aplicare a sancțiunilor; salută adoptarea de către UE a pachetului legislativ privind combaterea spălării banilor și angajamentul continuu al Regatului Unit de a combate spălarea banilor și alte infracțiuni financiare, în special în teritoriile sale de peste mări și în teritoriile dependente ale Coroanei Britanice; </w:t>
      </w:r>
    </w:p>
    <w:p w14:paraId="62777896" w14:textId="77777777" w:rsidR="0028437D" w:rsidRPr="00236F36" w:rsidRDefault="0028437D" w:rsidP="0028437D">
      <w:pPr>
        <w:pStyle w:val="NormalHanging12a"/>
        <w:rPr>
          <w:szCs w:val="24"/>
        </w:rPr>
      </w:pPr>
      <w:r w:rsidRPr="00236F36">
        <w:t>67.</w:t>
      </w:r>
      <w:r w:rsidRPr="00236F36">
        <w:tab/>
        <w:t xml:space="preserve">își exprimă îngrijorarea cu privire la înființarea de către Regatul Unit a unor noi porturi libere, ca noduri naționale pentru promovarea comerțului mondial și a investițiilor, oferind facilități fiscale extinse, regimuri de </w:t>
      </w:r>
      <w:proofErr w:type="spellStart"/>
      <w:r w:rsidRPr="00236F36">
        <w:t>dereglementare</w:t>
      </w:r>
      <w:proofErr w:type="spellEnd"/>
      <w:r w:rsidRPr="00236F36">
        <w:t xml:space="preserve"> și subvenții publice; </w:t>
      </w:r>
    </w:p>
    <w:p w14:paraId="1C59ED15" w14:textId="77777777" w:rsidR="0028437D" w:rsidRPr="00236F36" w:rsidRDefault="0028437D" w:rsidP="0028437D">
      <w:pPr>
        <w:pStyle w:val="NormalHanging12a"/>
        <w:rPr>
          <w:szCs w:val="24"/>
        </w:rPr>
      </w:pPr>
      <w:r w:rsidRPr="00236F36">
        <w:t>68.</w:t>
      </w:r>
      <w:r w:rsidRPr="00236F36">
        <w:tab/>
        <w:t xml:space="preserve">reafirmă angajamentul ambelor părți față de Cadrul incluziv al Organizației pentru Cooperare și Dezvoltare Economică (OCDE)/G20 privind o soluție bazată pe doi piloni; regretă ordinul executiv emis de președintele SUA la 20 ianuarie 2025, prin care se declară că Acordul fiscal global al OCDE nu se aplică în Statele Unite; invită ambele părți să colaboreze în mod constructiv în cadrul forurilor internaționale pentru a proteja cooperarea fiscală multilaterală, pentru a promova punerea în aplicare la nivel mondial a standardelor minime de impozitare din cadrul pilonului doi și pentru a asigura coerența cu inițiativele în continuă evoluție ale Organizației Națiunilor Unite; </w:t>
      </w:r>
    </w:p>
    <w:p w14:paraId="40E90942" w14:textId="77777777" w:rsidR="0028437D" w:rsidRPr="00236F36" w:rsidRDefault="0028437D" w:rsidP="0028437D">
      <w:pPr>
        <w:pStyle w:val="NormalHanging12a"/>
        <w:rPr>
          <w:szCs w:val="24"/>
        </w:rPr>
      </w:pPr>
      <w:r w:rsidRPr="00236F36">
        <w:t>69.</w:t>
      </w:r>
      <w:r w:rsidRPr="00236F36">
        <w:tab/>
        <w:t xml:space="preserve">recunoaște angajamentul luat prin ACC de a se promova cooperarea cu privire la principalele provocări globale, respectând în același timp competențele respective în domeniul impozitării directe; salută, prin urmare, primul dialog UE-Regatul Unit privind combaterea regimurilor fiscale dăunătoare, care a avut loc la 10 octombrie 2024, ca forum de discuții privind elaborarea și punerea în aplicare a standardelor internaționale pentru combaterea regimurilor fiscale dăunătoare; subliniază că este important să se mențină dinamica coordonării dintre UE și Regatul Unit în ceea ce privește reforma fiscală internațională; </w:t>
      </w:r>
    </w:p>
    <w:p w14:paraId="4714FF85" w14:textId="77777777" w:rsidR="0028437D" w:rsidRPr="00236F36" w:rsidRDefault="0028437D" w:rsidP="0028437D">
      <w:pPr>
        <w:pStyle w:val="NormalHanging12a"/>
        <w:rPr>
          <w:szCs w:val="24"/>
        </w:rPr>
      </w:pPr>
      <w:r w:rsidRPr="00236F36">
        <w:lastRenderedPageBreak/>
        <w:t>70.</w:t>
      </w:r>
      <w:r w:rsidRPr="00236F36">
        <w:tab/>
        <w:t xml:space="preserve">sprijină continuarea cooperării dintre UE și Regatul Unit în ceea ce privește combaterea spălării banilor, a finanțării terorismului, a practicilor fiscale dăunătoare și a fraudei; subliniază necesitatea de a monitoriza îndeaproape divergențele de reglementare din Regatul Unit pentru a preveni arbitrajul de reglementare și riscurile financiare pentru UE și pentru a asigura condiții de concurență echitabile; încurajează ambele părți, cu respectarea deplină a suveranității fiscale naționale, să coopereze </w:t>
      </w:r>
      <w:proofErr w:type="spellStart"/>
      <w:r w:rsidRPr="00236F36">
        <w:t>proactiv</w:t>
      </w:r>
      <w:proofErr w:type="spellEnd"/>
      <w:r w:rsidRPr="00236F36">
        <w:t xml:space="preserve"> – prin intermediul forurilor bilaterale și multilaterale relevante – pentru a promova sisteme fiscale echitabile și sustenabile; </w:t>
      </w:r>
    </w:p>
    <w:p w14:paraId="0B9B634B" w14:textId="77777777" w:rsidR="0028437D" w:rsidRPr="00236F36" w:rsidRDefault="0028437D" w:rsidP="0028437D">
      <w:pPr>
        <w:pStyle w:val="NormalHanging12a"/>
        <w:rPr>
          <w:szCs w:val="24"/>
        </w:rPr>
      </w:pPr>
      <w:r w:rsidRPr="00236F36">
        <w:t>71.</w:t>
      </w:r>
      <w:r w:rsidRPr="00236F36">
        <w:tab/>
        <w:t xml:space="preserve">salută punerea deplină în aplicare, în 2024, a Protocolului privind cooperarea administrativă și combaterea fraudei în domeniul taxei pe valoarea adăugată și privind asistența reciprocă în materie de recuperare a creanțelor legate de impozite și taxe vamale (Protocolul privind TVA); propune ca UE și Regatul Unit să efectueze o revizuire anuală comună a punerii în aplicare și a eficacității Protocolului privind TVA, să ofere un forum de discuții cu privire la tendințele emergente în materie de fraudă în domeniul TVA și la provocările legate de recuperarea transfrontalieră a TVA și să evalueze necesitatea unor măsuri comune suplimentare pentru a aborda aceste aspecte; </w:t>
      </w:r>
    </w:p>
    <w:p w14:paraId="633CDCC8" w14:textId="77777777" w:rsidR="0028437D" w:rsidRPr="00236F36" w:rsidRDefault="0028437D" w:rsidP="0028437D">
      <w:pPr>
        <w:pStyle w:val="NormalHanging12a"/>
        <w:rPr>
          <w:szCs w:val="24"/>
        </w:rPr>
      </w:pPr>
      <w:r w:rsidRPr="00236F36">
        <w:t>72.</w:t>
      </w:r>
      <w:r w:rsidRPr="00236F36">
        <w:tab/>
        <w:t>subliniază că participanții la piața UE se bazează în mare măsură pe case de compensare cu sediul în Regatul Unit, peste 90 % din instrumentele financiare derivate pe rata dobânzii în euro fiind prelucrate la case de compensare cu sediul în orașul Londra; consideră că această concentrare masivă ar putea prezenta un risc strategic pentru stabilitatea financiară a UE; consideră că ar trebui găsit un echilibru adecvat între reducerea substanțială a dependenței excesive de casele de compensare cu sediul în Regatul Unit, pe de o parte, și asigurarea clarității pentru participanții la piața financiară din UE, pe de altă parte; ia act de actualizările regulamentului privind infrastructura pieței europene</w:t>
      </w:r>
      <w:r w:rsidRPr="00236F36">
        <w:rPr>
          <w:rStyle w:val="FootnoteReference"/>
          <w:szCs w:val="24"/>
        </w:rPr>
        <w:footnoteReference w:id="34"/>
      </w:r>
      <w:r w:rsidRPr="00236F36">
        <w:t xml:space="preserve">, astfel cum a fost adoptate în decembrie 2024, care vizează abordarea acestei dependențe excesive prin introducerea unei cerințe de cont activ; </w:t>
      </w:r>
    </w:p>
    <w:p w14:paraId="30EEC8C3" w14:textId="77777777" w:rsidR="0028437D" w:rsidRPr="00236F36" w:rsidRDefault="0028437D" w:rsidP="0028437D">
      <w:pPr>
        <w:pStyle w:val="NormalHanging12a"/>
        <w:rPr>
          <w:szCs w:val="24"/>
        </w:rPr>
      </w:pPr>
      <w:r w:rsidRPr="00236F36">
        <w:t>73.</w:t>
      </w:r>
      <w:r w:rsidRPr="00236F36">
        <w:tab/>
        <w:t xml:space="preserve">își exprimă totuși îngrijorarea cu privire la faptul că decizia Comisiei de a prelungi echivalența pentru </w:t>
      </w:r>
      <w:proofErr w:type="spellStart"/>
      <w:r w:rsidRPr="00236F36">
        <w:t>contrapărțile</w:t>
      </w:r>
      <w:proofErr w:type="spellEnd"/>
      <w:r w:rsidRPr="00236F36">
        <w:t xml:space="preserve"> centrale din Regatul Unit pentru o perioadă suplimentară de trei ani, până la 30 iunie 2028, riscă să întârzie implementarea cerinței de cont activ; </w:t>
      </w:r>
    </w:p>
    <w:p w14:paraId="5398AE17" w14:textId="77777777" w:rsidR="0028437D" w:rsidRPr="00236F36" w:rsidRDefault="0028437D" w:rsidP="0028437D">
      <w:pPr>
        <w:pStyle w:val="NormalHanging12a"/>
        <w:rPr>
          <w:szCs w:val="24"/>
        </w:rPr>
      </w:pPr>
      <w:r w:rsidRPr="00236F36">
        <w:t>74.</w:t>
      </w:r>
      <w:r w:rsidRPr="00236F36">
        <w:tab/>
        <w:t xml:space="preserve">invită Comisia ca, între timp, să ofere o soluție permanentă și stabilă pentru a reduce dependența excesivă de </w:t>
      </w:r>
      <w:proofErr w:type="spellStart"/>
      <w:r w:rsidRPr="00236F36">
        <w:t>contrapărțile</w:t>
      </w:r>
      <w:proofErr w:type="spellEnd"/>
      <w:r w:rsidRPr="00236F36">
        <w:t xml:space="preserve"> centrale din Regatul Unit, în conformitate cu obiectivul strategic al UE de reducere a expunerilor excesive față de </w:t>
      </w:r>
      <w:proofErr w:type="spellStart"/>
      <w:r w:rsidRPr="00236F36">
        <w:t>contrapărțile</w:t>
      </w:r>
      <w:proofErr w:type="spellEnd"/>
      <w:r w:rsidRPr="00236F36">
        <w:t xml:space="preserve"> centrale din țări terțe de importanță sistemică substanțială; reamintește că Parlamentul a subliniat în mod constant necesitatea de a transfera activitățile de compensare în UE și că echivalența prelungită într-un context de divergență în materie de reglementare subminează stabilitatea financiară, slăbește autonomia pieței UE și transmite semnale contradictorii participanților la piață; </w:t>
      </w:r>
    </w:p>
    <w:p w14:paraId="235B8C9D" w14:textId="77777777" w:rsidR="0028437D" w:rsidRPr="00236F36" w:rsidRDefault="0028437D" w:rsidP="0028437D">
      <w:pPr>
        <w:pStyle w:val="NormalHanging12a"/>
        <w:rPr>
          <w:szCs w:val="24"/>
        </w:rPr>
      </w:pPr>
      <w:r w:rsidRPr="00236F36">
        <w:t>75.</w:t>
      </w:r>
      <w:r w:rsidRPr="00236F36">
        <w:tab/>
        <w:t xml:space="preserve">ia act de faptul că, ca urmare a retragerii Regatului Unit din UE, furnizorii de servicii din Regatul Unit în domeniul serviciilor financiare nu mai beneficiază de principiul „țării de origine” sau de procedura de „pașaport” pentru accesul direct la piața unică a UE, în timp ce economia globală integrată necesită o cooperare strânsă între autorități, </w:t>
      </w:r>
      <w:r w:rsidRPr="00236F36">
        <w:lastRenderedPageBreak/>
        <w:t xml:space="preserve">inclusiv în domeniul serviciilor financiare și al plăților; constată, de asemenea, că, deși ACC se bazează pe dispoziții care asigură condiții de concurență echitabile, acest lucru nu este suficient, în special în ceea ce privește normele privind subvențiile, și solicită controale solide și transparente ale ajutoarelor de stat, cu o aplicare eficace la nivel național și cu un mecanism obligatoriu de soluționare a litigiilor, care să poată contribui la prevenirea denaturării concurenței și să asigure condiții comerciale echitabile; </w:t>
      </w:r>
    </w:p>
    <w:p w14:paraId="0A2E17DD" w14:textId="77777777" w:rsidR="0028437D" w:rsidRPr="00236F36" w:rsidRDefault="0028437D" w:rsidP="0028437D">
      <w:pPr>
        <w:pStyle w:val="NormalHanging12a"/>
        <w:rPr>
          <w:szCs w:val="24"/>
        </w:rPr>
      </w:pPr>
      <w:r w:rsidRPr="00236F36">
        <w:t>76.</w:t>
      </w:r>
      <w:r w:rsidRPr="00236F36">
        <w:tab/>
        <w:t xml:space="preserve">ia act de viitoarea strategie a Regatului Unit privind creșterea și competitivitatea serviciilor financiare, care va debloca investiții în întreaga economie; solicită UE și Regatului Unit să-și alinieze îndeaproape strategiile de competitivitate pentru sectorul serviciilor financiare; </w:t>
      </w:r>
    </w:p>
    <w:p w14:paraId="25562EF0" w14:textId="77777777" w:rsidR="0028437D" w:rsidRPr="00236F36" w:rsidRDefault="0028437D" w:rsidP="0028437D">
      <w:pPr>
        <w:pStyle w:val="NormalHanging12a"/>
        <w:rPr>
          <w:szCs w:val="24"/>
        </w:rPr>
      </w:pPr>
      <w:r w:rsidRPr="00236F36">
        <w:t>77.</w:t>
      </w:r>
      <w:r w:rsidRPr="00236F36">
        <w:tab/>
        <w:t xml:space="preserve">își exprimă îngrijorarea cu privire la planurile autorității de reglementare a sistemelor de plăți din regatul Unit de a introduce un plafon al prețurilor la comisioanele interbancare transfrontaliere pentru plățile fără card efectuate de consumatori între Regatul Unit și Spațiul Economic European (SEE), care să se aplice în special pentru băncile, furnizorii de carduri și alți furnizori de servicii de plată din UE; subliniază că două din cele trei niveluri alternative de plafoane la prețuri sunt în mod semnificativ mai mici decât plafonul echivalent al prețurilor stabilit pentru băncile din Regatul Unit, ceea ce ridică semne de întrebare cu privire la respectarea principiului nediscriminării în temeiul ACC; subliniază, prin urmare, că este important să se asigure că toate măsurile de reglementare respectă principiul nediscriminării; solicită autorității de reglementare a sistemelor de plăți să garanteze că lucrările începute cu privire la comisioanele interbancare continuă, pentru a evita orice regres în materie de reglementare și a asigura un mediu echitabil pentru furnizorii europeni; </w:t>
      </w:r>
    </w:p>
    <w:p w14:paraId="765362C2" w14:textId="77777777" w:rsidR="0028437D" w:rsidRPr="00236F36" w:rsidRDefault="0028437D" w:rsidP="0028437D">
      <w:pPr>
        <w:pStyle w:val="NormalHanging12a"/>
        <w:rPr>
          <w:i/>
        </w:rPr>
      </w:pPr>
      <w:r w:rsidRPr="00236F36">
        <w:t>78.</w:t>
      </w:r>
      <w:r w:rsidRPr="00236F36">
        <w:tab/>
        <w:t xml:space="preserve">recunoaște, dincolo de cadrul obligatoriu din punct de vedere juridic al ACC, importanța unei cooperări mai strânse în domeniul serviciilor financiare pentru a aborda provocările comune și a explora modalități de colaborare mai strânsă și continuă, în special prin implicarea la cel mai înalt nivel, astfel încât să se poată valorifica beneficiile sistemelor financiare interconectate la nivel mondial, în contextul creării unei uniuni a economiilor și a investițiilor și al existenței centrului prosper pentru serviciile financiare reprezentat de orașul Londra; </w:t>
      </w:r>
    </w:p>
    <w:p w14:paraId="7800A7CE" w14:textId="77777777" w:rsidR="0028437D" w:rsidRPr="00236F36" w:rsidRDefault="0028437D" w:rsidP="0028437D">
      <w:pPr>
        <w:pStyle w:val="NormalHanging12a"/>
        <w:rPr>
          <w:bCs/>
          <w:iCs/>
        </w:rPr>
      </w:pPr>
      <w:r w:rsidRPr="00236F36">
        <w:t>79.</w:t>
      </w:r>
      <w:r w:rsidRPr="00236F36">
        <w:tab/>
        <w:t xml:space="preserve">subliniază că tensiunile transatlantice sporite fac ca îmbunătățirea relațiilor economice dintre UE și Regatul Unit să fie mai importantă ca niciodată; invită Comisia și guvernul Regatului Unit să coopereze îndeaproape în cadrul forurilor internaționale din domeniul serviciilor financiare pentru a valorifica perspectiva europeană; recunoaște necesitatea de a garanta că întreprinderile mici și mijlocii de ambele părți beneficiază de o cooperare financiară consolidată între UE și Regatul Unit; subliniază că standardele convenite în cadrul forurilor internaționale, cum ar fi Organizația Internațională a Comisiilor de Valori Mobiliare, Consiliul pentru Stabilitate Financiară, Grupul de Acțiune Financiară Internațională sau Comitetul de la Basel pentru supraveghere bancară, ar trebui să rămână baza pentru cooperarea dintre UE și Regatul Unit și că abaterile trebuie să fie justificate în mod corespunzător; </w:t>
      </w:r>
    </w:p>
    <w:p w14:paraId="4C328970" w14:textId="77777777" w:rsidR="0028437D" w:rsidRPr="00236F36" w:rsidRDefault="0028437D" w:rsidP="0028437D">
      <w:pPr>
        <w:pStyle w:val="NormalHanging12a"/>
        <w:rPr>
          <w:bCs/>
          <w:iCs/>
        </w:rPr>
      </w:pPr>
      <w:r w:rsidRPr="00236F36">
        <w:t>80.</w:t>
      </w:r>
      <w:r w:rsidRPr="00236F36">
        <w:tab/>
        <w:t xml:space="preserve">își exprimă îngrijorarea cu privire la decizia Regatului Unit de a amâna până la 1 ianuarie 2027 punerea în aplicare a cadrului Basel III pentru bănci; invită Comisia și statele membre să asigure punerea în aplicare a standardelor Basel III adoptate de </w:t>
      </w:r>
      <w:proofErr w:type="spellStart"/>
      <w:r w:rsidRPr="00236F36">
        <w:t>colegiuitori</w:t>
      </w:r>
      <w:proofErr w:type="spellEnd"/>
      <w:r w:rsidRPr="00236F36">
        <w:t xml:space="preserve"> și invită Comisia să monitorizeze în continuare punerea în aplicare a standardelor Basel III convenite la nivel internațional în alte jurisdicții importante din țări terțe; </w:t>
      </w:r>
    </w:p>
    <w:p w14:paraId="49CF746A" w14:textId="77777777" w:rsidR="0028437D" w:rsidRPr="00236F36" w:rsidRDefault="0028437D" w:rsidP="0028437D">
      <w:pPr>
        <w:pStyle w:val="NormalHanging12a"/>
        <w:rPr>
          <w:bCs/>
          <w:iCs/>
        </w:rPr>
      </w:pPr>
      <w:r w:rsidRPr="00236F36">
        <w:lastRenderedPageBreak/>
        <w:t>81.</w:t>
      </w:r>
      <w:r w:rsidRPr="00236F36">
        <w:tab/>
        <w:t xml:space="preserve">ia act de creșterea substanțială a intermediarilor financiari nebancari în UE și în Regatul Unit, precum și de vulnerabilitățile majore identificate de Comitetul european pentru risc sistemic (CERS) în acest sector, în special în ceea ce privește efectele de levier și neconcordanțele de lichiditate; împărtășește preocupările cu privire la reziliența intermediarilor financiari nebancari, în special în condiții de criză a pieței, astfel cum au fost exprimate în acest sens de CERS și de Comitetul privind politica financiară al Regatului Unit, și solicită o monitorizare și o reglementare sporită a acestor entități; </w:t>
      </w:r>
    </w:p>
    <w:p w14:paraId="36B1E179" w14:textId="77777777" w:rsidR="0028437D" w:rsidRPr="00236F36" w:rsidRDefault="0028437D" w:rsidP="0028437D">
      <w:pPr>
        <w:pStyle w:val="NormalHanging12a"/>
        <w:rPr>
          <w:bCs/>
          <w:iCs/>
        </w:rPr>
      </w:pPr>
      <w:r w:rsidRPr="00236F36">
        <w:t>82.</w:t>
      </w:r>
      <w:r w:rsidRPr="00236F36">
        <w:tab/>
        <w:t xml:space="preserve">reiterează, în acest sens, importanța punerii în aplicare la timp a recomandărilor Consiliului pentru Stabilitate Financiară pentru a spori reziliența fondurilor de piață monetară (FPM), în special prin eliminarea caracteristicilor care pot stimula retragerile masive de depozite (panica bancară); invită, prin urmare, Comisia să prezinte rapid o propunere revizuită privind FPM, în conformitate cu recomandările Consiliului pentru Stabilitate Financiară; </w:t>
      </w:r>
    </w:p>
    <w:p w14:paraId="6123A610" w14:textId="77777777" w:rsidR="0028437D" w:rsidRPr="00236F36" w:rsidRDefault="0028437D" w:rsidP="0028437D">
      <w:pPr>
        <w:pStyle w:val="NormalHanging12a"/>
        <w:rPr>
          <w:bCs/>
          <w:iCs/>
        </w:rPr>
      </w:pPr>
      <w:r w:rsidRPr="00236F36">
        <w:t>83.</w:t>
      </w:r>
      <w:r w:rsidRPr="00236F36">
        <w:tab/>
        <w:t xml:space="preserve">ia act de planurile anunțate de autoritățile britanice de a introduce un regim de reglementare mai puțin strict pentru unele fonduri de investiții alternative; subliniază că simplificarea nu ar trebui să disimuleze o agendă de </w:t>
      </w:r>
      <w:proofErr w:type="spellStart"/>
      <w:r w:rsidRPr="00236F36">
        <w:t>dereglementare</w:t>
      </w:r>
      <w:proofErr w:type="spellEnd"/>
      <w:r w:rsidRPr="00236F36">
        <w:t>; sprijină măsurile de simplificare, cu condiția ca obiectivele de politică să rămână neafectate; invită, prin urmare, autoritățile britanice să coopereze îndeaproape cu UE pentru a se asigura că această reformă planificată nu anulează conținutul Directivei 2011/61/UE privind administratorii fondurilor de investiții alternative</w:t>
      </w:r>
      <w:r w:rsidRPr="00236F36">
        <w:rPr>
          <w:bCs/>
          <w:iCs/>
          <w:vertAlign w:val="superscript"/>
        </w:rPr>
        <w:footnoteReference w:id="35"/>
      </w:r>
      <w:r w:rsidRPr="00236F36">
        <w:t xml:space="preserve">, în special în ceea ce privește normele de delegare; </w:t>
      </w:r>
    </w:p>
    <w:p w14:paraId="2FA69C1D" w14:textId="77777777" w:rsidR="0028437D" w:rsidRPr="00236F36" w:rsidRDefault="0028437D" w:rsidP="0028437D">
      <w:pPr>
        <w:pStyle w:val="NormalHanging12a"/>
        <w:rPr>
          <w:b/>
        </w:rPr>
      </w:pPr>
      <w:r w:rsidRPr="00236F36">
        <w:rPr>
          <w:b/>
          <w:i/>
        </w:rPr>
        <w:t>Proprietatea intelectuală, achizițiile publice și IMM-urile</w:t>
      </w:r>
    </w:p>
    <w:p w14:paraId="25BFD862" w14:textId="77777777" w:rsidR="0028437D" w:rsidRPr="00236F36" w:rsidRDefault="0028437D" w:rsidP="0028437D">
      <w:pPr>
        <w:pStyle w:val="NormalHanging12a"/>
      </w:pPr>
      <w:r w:rsidRPr="00236F36">
        <w:t>84.</w:t>
      </w:r>
      <w:r w:rsidRPr="00236F36">
        <w:tab/>
        <w:t>subliniază că extinderea gamei de sectoare vizate de capitolul privind achizițiile publice din Acordul comercial și de cooperare ar fi un pas important către întărirea condițiilor de concurență loială; salută Legea din 2023 privind achizițiile publice din Regatul Unit, în special beneficiile pe care le oferă printr-o mai mare standardizare și raționalizare a proceselor de achiziții publice și subliniază necesitatea de a asigura un acces echitabil la achizițiile publice; invită guvernul Regatului Unit și Comisia să îmbunătățească accesul pe piață al IMM-urilor prin reducerea sarcinii birocratice și, astfel, să creeze oportunități economice și să ofere stimulente pentru a profita de acestea; evidențiază, în acest sens, importanța reducerii barierelor din calea comerțului transfrontalier pentru IMM-uri și a sprijinirii concurenței loiale și a oportunităților economice în cooperarea transfrontalieră;</w:t>
      </w:r>
    </w:p>
    <w:bookmarkEnd w:id="20"/>
    <w:p w14:paraId="4BDCE4E4" w14:textId="749DF7FE" w:rsidR="0028437D" w:rsidRPr="00236F36" w:rsidRDefault="0028437D" w:rsidP="0028437D">
      <w:pPr>
        <w:pStyle w:val="NormalHanging12a"/>
      </w:pPr>
      <w:r w:rsidRPr="00236F36">
        <w:t>85.</w:t>
      </w:r>
      <w:r w:rsidRPr="00236F36">
        <w:tab/>
        <w:t xml:space="preserve">invită Comisia să pună în aplicare pe deplin capitolul privind IMM-urile din ACC prin instituirea rapidă a </w:t>
      </w:r>
      <w:r w:rsidR="00453D02" w:rsidRPr="00236F36">
        <w:t>punctel</w:t>
      </w:r>
      <w:r w:rsidR="00924ED7" w:rsidRPr="00236F36">
        <w:t>or</w:t>
      </w:r>
      <w:r w:rsidR="00453D02" w:rsidRPr="00236F36">
        <w:t xml:space="preserve"> de contact</w:t>
      </w:r>
      <w:r w:rsidRPr="00236F36">
        <w:t xml:space="preserve"> pentru IMM-uri, astfel cum se prevede în acord, asigurând participarea activă a organizațiilor ce reprezintă IMM-urile; consideră că Comitetul pentru IMM-uri ar trebui să aibă sarcina de a identifica barierele din calea comerțului, inclusiv a investițiilor, care afectează în mod specific IMM-urile, și de a propune soluții specifice pentru a reduce costurile de asigurare a conformității și sarcinile de reglementare, inclusiv prin schimbul de bune practici privind schemele de sprijin pentru IMM-uri și înregistrarea digitală a întreprinderilor; subliniază că este nevoie de o flexibilitate sporită în ceea ce privește mobilitatea întreprinderilor prin </w:t>
      </w:r>
      <w:r w:rsidRPr="00236F36">
        <w:lastRenderedPageBreak/>
        <w:t xml:space="preserve">extinderea listei activităților permise în temeiul regimului de călătorii fără viză pe termen scurt și prin reducerea costurilor și a complexității proceselor de acordare a vizelor pentru IMM-uri; </w:t>
      </w:r>
    </w:p>
    <w:p w14:paraId="7445EEFE" w14:textId="77777777" w:rsidR="0028437D" w:rsidRPr="00236F36" w:rsidRDefault="0028437D" w:rsidP="0028437D">
      <w:pPr>
        <w:pStyle w:val="NormalHanging12a"/>
      </w:pPr>
      <w:r w:rsidRPr="00236F36">
        <w:t>86.</w:t>
      </w:r>
      <w:r w:rsidRPr="00236F36">
        <w:tab/>
        <w:t xml:space="preserve">solicită, de asemenea, ca criteriile de sustenabilitate să fie luate în considerare în procedurile de achiziții publice pentru sectoare specifice, acolo unde este cazul și proporțional; subliniază că ar trebui adoptate măsuri de promovare a participării IMM-urilor, cum ar fi simplificarea procedurilor, reducerea birocrației și asigurarea publicării transparente a anunțurilor și a criteriilor; ia act de faptul că UE și Regatul Unit ar trebui să asigure accesul reciproc și nediscriminatoriu la piețele lor respective de achiziții publice; </w:t>
      </w:r>
    </w:p>
    <w:p w14:paraId="39EE8341" w14:textId="77777777" w:rsidR="0028437D" w:rsidRPr="00236F36" w:rsidRDefault="0028437D" w:rsidP="0028437D">
      <w:pPr>
        <w:pStyle w:val="NormalHanging12a"/>
        <w:rPr>
          <w:b/>
          <w:i/>
        </w:rPr>
      </w:pPr>
      <w:r w:rsidRPr="00236F36">
        <w:rPr>
          <w:b/>
          <w:i/>
        </w:rPr>
        <w:t xml:space="preserve">Mediul </w:t>
      </w:r>
    </w:p>
    <w:p w14:paraId="0E2E2D8E" w14:textId="77777777" w:rsidR="0028437D" w:rsidRPr="00236F36" w:rsidRDefault="0028437D" w:rsidP="0028437D">
      <w:pPr>
        <w:pStyle w:val="NormalHanging12a"/>
        <w:rPr>
          <w:szCs w:val="24"/>
        </w:rPr>
      </w:pPr>
      <w:r w:rsidRPr="00236F36">
        <w:t>87.</w:t>
      </w:r>
      <w:r w:rsidRPr="00236F36">
        <w:tab/>
        <w:t>subliniază riscul tot mai mare de divergențe normative între UE și Regatul Unit în politica de mediu, ceea ce ar putea să provoace perturbări economice și să submineze obiectivele de mediu; recunoaște că UE și Regatul Unit au provocări geopolitice și ambiții ecologice comune; încurajează părțile să continue cooperarea strategică și alinierea în domeniile mediului, conservării naturii și biodiversității;</w:t>
      </w:r>
    </w:p>
    <w:p w14:paraId="1C966B5E" w14:textId="77777777" w:rsidR="0028437D" w:rsidRPr="00236F36" w:rsidRDefault="0028437D" w:rsidP="0028437D">
      <w:pPr>
        <w:pStyle w:val="NormalHanging12a"/>
        <w:rPr>
          <w:iCs/>
        </w:rPr>
      </w:pPr>
      <w:r w:rsidRPr="00236F36">
        <w:t>88.</w:t>
      </w:r>
      <w:r w:rsidRPr="00236F36">
        <w:tab/>
        <w:t xml:space="preserve">subliniază că insula Irlanda este o singură entitate ecologică; reamintește că politicile britanice de mediu influențează mediul în toată insula Irlandei și, implicit, și realizarea obiectivelor UE de protecție a mediului; subliniază că trebuie intensificată cooperarea în domeniul mediului prin instituțiile înființate în temeiul Acordului din Vinerea Mare; </w:t>
      </w:r>
    </w:p>
    <w:p w14:paraId="51A1B343" w14:textId="77777777" w:rsidR="0028437D" w:rsidRPr="00236F36" w:rsidRDefault="0028437D" w:rsidP="0028437D">
      <w:pPr>
        <w:pStyle w:val="NormalHanging12a"/>
        <w:rPr>
          <w:iCs/>
        </w:rPr>
      </w:pPr>
      <w:r w:rsidRPr="00236F36">
        <w:t>89.</w:t>
      </w:r>
      <w:r w:rsidRPr="00236F36">
        <w:tab/>
        <w:t>reiterează apelurile anterioare la o colaborare bilaterală mai strânsă în domeniul reglementării substanțelor chimice</w:t>
      </w:r>
      <w:r w:rsidRPr="00236F36">
        <w:rPr>
          <w:rStyle w:val="FootnoteReference"/>
          <w:iCs/>
        </w:rPr>
        <w:footnoteReference w:id="36"/>
      </w:r>
      <w:r w:rsidRPr="00236F36">
        <w:t>; recomandă să se ceară contribuții din partea guvernului Regatului Unit și a administrațiilor descentralizate de resort, la viitoarea revizuire a Regulamentului REACH</w:t>
      </w:r>
      <w:r w:rsidRPr="00236F36">
        <w:rPr>
          <w:rStyle w:val="FootnoteReference"/>
          <w:iCs/>
        </w:rPr>
        <w:footnoteReference w:id="37"/>
      </w:r>
      <w:r w:rsidRPr="00236F36">
        <w:t xml:space="preserve">, pentru a promova cooperarea și convergența normativă, astfel încât să se faciliteze un comerț transfrontalier sigur și în condiții de previzibilitate juridică cu substanțe chimice, păstrând, în același timp, un nivel ridicat de protecție a mediului; </w:t>
      </w:r>
    </w:p>
    <w:p w14:paraId="4367016F" w14:textId="77777777" w:rsidR="0028437D" w:rsidRPr="00236F36" w:rsidRDefault="0028437D" w:rsidP="0028437D">
      <w:pPr>
        <w:pStyle w:val="NormalHanging12a"/>
        <w:rPr>
          <w:iCs/>
        </w:rPr>
      </w:pPr>
      <w:r w:rsidRPr="00236F36">
        <w:t>90.</w:t>
      </w:r>
      <w:r w:rsidRPr="00236F36">
        <w:tab/>
        <w:t xml:space="preserve">salută recunoașterea de către Regatul Unit a marcajului CE pentru cerințele de proiectare ecologică privind produsele cu impact energetic și restricțiile privind substanțele periculoase din echipamentele electrice și electronice; se bucură că acest </w:t>
      </w:r>
      <w:r w:rsidRPr="00236F36">
        <w:lastRenderedPageBreak/>
        <w:t xml:space="preserve">lucru facilitează continuarea comerțului dintre Regatul Unit și UE, reducând totodată sarcinile de conformitate pentru producători; </w:t>
      </w:r>
    </w:p>
    <w:p w14:paraId="61AECEF9" w14:textId="77777777" w:rsidR="0028437D" w:rsidRPr="00236F36" w:rsidRDefault="0028437D" w:rsidP="0028437D">
      <w:pPr>
        <w:pStyle w:val="NormalHanging12a"/>
        <w:rPr>
          <w:iCs/>
        </w:rPr>
      </w:pPr>
      <w:r w:rsidRPr="00236F36">
        <w:t>91.</w:t>
      </w:r>
      <w:r w:rsidRPr="00236F36">
        <w:tab/>
        <w:t xml:space="preserve">cere să se dea un rol mai însemnat părților interesate din economie și societatea civilă în procesele de implementare, monitorizare și consiliere legate de angajamentele în materie de comerț și dezvoltare durabilă, asumate în temeiul ACC UE-Regatul Unit, în conformitate cu declarația comună a grupurilor consultative din UE și Regatul Unit; </w:t>
      </w:r>
    </w:p>
    <w:p w14:paraId="0A470386" w14:textId="77777777" w:rsidR="0028437D" w:rsidRPr="00236F36" w:rsidRDefault="0028437D" w:rsidP="0028437D">
      <w:pPr>
        <w:pStyle w:val="NormalHanging12a"/>
        <w:rPr>
          <w:iCs/>
        </w:rPr>
      </w:pPr>
      <w:r w:rsidRPr="00236F36">
        <w:t>92.</w:t>
      </w:r>
      <w:r w:rsidRPr="00236F36">
        <w:tab/>
        <w:t xml:space="preserve">reamintește că UE și Regatul Unit s-au angajat, în temeiul ACC, să mențină niveluri ridicate de protecție a mediului în domeniul prevenirii generării de deșeuri, gestionării deșeurilor și economiei circulare; subliniază că părțile trebuie să se facă progrese pe partea de planificare și coordonare, pentru a-și adapta infrastructurile de gestionare a deșeurilor și a asigura capacitate suficientă de reciclare, reparare, </w:t>
      </w:r>
      <w:proofErr w:type="spellStart"/>
      <w:r w:rsidRPr="00236F36">
        <w:t>refabricare</w:t>
      </w:r>
      <w:proofErr w:type="spellEnd"/>
      <w:r w:rsidRPr="00236F36">
        <w:t xml:space="preserve"> și tratare a deșeurilor în conformitate cu ierarhia deșeurilor, dar și pentru a promova soluții de reducere și tratare a fluxurilor de deșeuri reziduale; </w:t>
      </w:r>
    </w:p>
    <w:p w14:paraId="615ECFB8" w14:textId="77777777" w:rsidR="0028437D" w:rsidRPr="00236F36" w:rsidRDefault="0028437D" w:rsidP="0028437D">
      <w:pPr>
        <w:pStyle w:val="NormalHanging12a"/>
        <w:rPr>
          <w:iCs/>
        </w:rPr>
      </w:pPr>
      <w:r w:rsidRPr="00236F36">
        <w:t>93.</w:t>
      </w:r>
      <w:r w:rsidRPr="00236F36">
        <w:tab/>
        <w:t>subliniază că UE și Regatul Unit trebuie să își coordoneze bine acțiunile vizând posibilitatea de a include sectorul deșeurilor în EU ETS, pentru a asigura alinierea reglementărilor, a preveni relocarea emisiilor de CO</w:t>
      </w:r>
      <w:r w:rsidRPr="00236F36">
        <w:rPr>
          <w:vertAlign w:val="subscript"/>
        </w:rPr>
        <w:t>2</w:t>
      </w:r>
      <w:r w:rsidRPr="00236F36">
        <w:t xml:space="preserve"> și a menține o concurență loială de o parte și de alta a frontierelor; </w:t>
      </w:r>
    </w:p>
    <w:p w14:paraId="0D53ADD9" w14:textId="77777777" w:rsidR="0028437D" w:rsidRPr="00236F36" w:rsidRDefault="0028437D" w:rsidP="0028437D">
      <w:pPr>
        <w:pStyle w:val="NormalHanging12a"/>
        <w:rPr>
          <w:iCs/>
        </w:rPr>
      </w:pPr>
      <w:r w:rsidRPr="00236F36">
        <w:t>94.</w:t>
      </w:r>
      <w:r w:rsidRPr="00236F36">
        <w:tab/>
        <w:t xml:space="preserve">recunoaște că activitățile industriale </w:t>
      </w:r>
      <w:proofErr w:type="spellStart"/>
      <w:r w:rsidRPr="00236F36">
        <w:t>offshore</w:t>
      </w:r>
      <w:proofErr w:type="spellEnd"/>
      <w:r w:rsidRPr="00236F36">
        <w:t xml:space="preserve"> și proiectele de anvergură în domeniul energiei durabile, ca, de pildă, parcurile eoliene </w:t>
      </w:r>
      <w:proofErr w:type="spellStart"/>
      <w:r w:rsidRPr="00236F36">
        <w:t>offshore</w:t>
      </w:r>
      <w:proofErr w:type="spellEnd"/>
      <w:r w:rsidRPr="00236F36">
        <w:t xml:space="preserve">, pot intra în conflict cu obiectivele de conservare a siturilor Natura 2000 și a zonelor marine protejate, putând avea totodată efecte adverse asupra fundului mării și a zonelor de pescuit; subliniază că trebuie acționat cu grijă pentru a găsi un echilibru între obiectivele de mediu, pescuitul sustenabil și producția de energie din surse regenerabile; </w:t>
      </w:r>
    </w:p>
    <w:p w14:paraId="5E4115CD" w14:textId="77777777" w:rsidR="0028437D" w:rsidRPr="00236F36" w:rsidRDefault="0028437D" w:rsidP="0028437D">
      <w:pPr>
        <w:pStyle w:val="NormalHanging12a"/>
        <w:rPr>
          <w:i/>
        </w:rPr>
      </w:pPr>
      <w:r w:rsidRPr="00236F36">
        <w:t>95.</w:t>
      </w:r>
      <w:r w:rsidRPr="00236F36">
        <w:tab/>
        <w:t>constată că în Regatul Unit schemele legate de biodiversitate și climă sunt introduse treptat astfel încât să înlocuiască sprijinul direct pentru fermieri; propune ca UE și Regatul Unit să facă schimb de idei privind practicile agricole sustenabile care promovează biodiversitatea și atenuarea schimbărilor climatice, asigurând securitatea alimentară și stabilitatea lanțului de aprovizionare;</w:t>
      </w:r>
      <w:r w:rsidRPr="00236F36">
        <w:rPr>
          <w:i/>
        </w:rPr>
        <w:t xml:space="preserve"> </w:t>
      </w:r>
    </w:p>
    <w:p w14:paraId="01EE4D9E" w14:textId="77777777" w:rsidR="0028437D" w:rsidRPr="00236F36" w:rsidRDefault="0028437D" w:rsidP="0028437D">
      <w:pPr>
        <w:pStyle w:val="NormalHanging12a"/>
        <w:rPr>
          <w:i/>
          <w:iCs/>
        </w:rPr>
      </w:pPr>
      <w:r w:rsidRPr="00236F36">
        <w:rPr>
          <w:b/>
          <w:i/>
        </w:rPr>
        <w:t xml:space="preserve">Clima </w:t>
      </w:r>
    </w:p>
    <w:p w14:paraId="2E244858" w14:textId="77777777" w:rsidR="0028437D" w:rsidRPr="00236F36" w:rsidRDefault="0028437D" w:rsidP="0028437D">
      <w:pPr>
        <w:pStyle w:val="NormalHanging12a"/>
      </w:pPr>
      <w:r w:rsidRPr="00236F36">
        <w:t>96.</w:t>
      </w:r>
      <w:r w:rsidRPr="00236F36">
        <w:tab/>
        <w:t xml:space="preserve">întrucât UE și Regatul Unit au obiective la fel de îndrăznețe în domeniul atenuării schimbărilor climatice; solicită o mai bună aliniere a politicilor climatice pentru a asigura coerența și pentru a evita măsurile contradictorii sau suprapuse, care riscă să submineze eficacitatea acțiunilor climatice; încurajează schimbul de bune practici privind adaptarea la schimbările climatice și preîntâmpinarea lor, în special în raport cu impactul creșterii temperaturilor asupra sănătății grupurilor vulnerabile, precum comunitățile cu venituri mici; </w:t>
      </w:r>
    </w:p>
    <w:p w14:paraId="40F81650" w14:textId="77777777" w:rsidR="0028437D" w:rsidRPr="00236F36" w:rsidRDefault="0028437D" w:rsidP="0028437D">
      <w:pPr>
        <w:pStyle w:val="NormalHanging12a"/>
      </w:pPr>
      <w:r w:rsidRPr="00236F36">
        <w:t>97.</w:t>
      </w:r>
      <w:r w:rsidRPr="00236F36">
        <w:tab/>
        <w:t xml:space="preserve">ia act de obiectivul comun fixat în înțelegerea comună din 19 mai 2025 de a încheia un acord oficial privind piața carbonului între UE și Regatul Unit, care să conecteze sistemele ETS din UE și Regatul Unit; îndeamnă ambele părți să ajungă rapid la o concluzie pentru a evita dublarea costurilor emisiilor de dioxid de carbon pentru întreprinderi; reiterează poziția comună a Comisiei și a Regatului Unit că un asemenea acord trebuie aliniat clar și consecvent la normele și principiile Cadrului Windsor; </w:t>
      </w:r>
    </w:p>
    <w:p w14:paraId="087CCA57" w14:textId="77777777" w:rsidR="0028437D" w:rsidRPr="00236F36" w:rsidRDefault="0028437D" w:rsidP="0028437D">
      <w:pPr>
        <w:pStyle w:val="NormalHanging12a"/>
      </w:pPr>
      <w:r w:rsidRPr="00236F36">
        <w:lastRenderedPageBreak/>
        <w:t>98.</w:t>
      </w:r>
      <w:r w:rsidRPr="00236F36">
        <w:tab/>
        <w:t xml:space="preserve">constată că, dacă sistemele ETS ale UE și Regatului Unit nu se aliniază la timp, din ianuarie 2026 la exporturile Regatului Unit către UE se va aplica mecanismul de ajustare la frontieră în funcție de carbon (CBAM); reamintește angajamentul UE și al Regatului Unit de a crea condiții pentru ca mărfurile originare din jurisdicțiile lor respective să beneficieze reciproc de scutiri de la sistemele lor CBAM respective; subliniază că aceste scutiri ar trebui să fie operaționale de îndată ce va fi juridic posibil pentru a evita perturbarea comerțului; </w:t>
      </w:r>
    </w:p>
    <w:p w14:paraId="366B25D3" w14:textId="77777777" w:rsidR="0028437D" w:rsidRPr="00236F36" w:rsidRDefault="0028437D" w:rsidP="0028437D">
      <w:pPr>
        <w:pStyle w:val="NormalHanging12a"/>
      </w:pPr>
      <w:r w:rsidRPr="00236F36">
        <w:t>99.</w:t>
      </w:r>
      <w:r w:rsidRPr="00236F36">
        <w:tab/>
        <w:t xml:space="preserve">subliniază că trebuie amplificat parteneriatul bilateral dintre UE și Regatul Unit pentru a intensifica cooperarea în domenii precum dezvoltarea energiei din surse regenerabile, securitatea energetică și reziliența lanțului de aprovizionare; pledează pentru un dialog mai intens între UE și Regatul Unit și o cercetare comună privind energia neutră din punctul de vedere al emisiilor de dioxid de carbon pentru a aborda provocările comune și a stimula inovarea pentru reducerea emisiilor de dioxid de carbon; </w:t>
      </w:r>
    </w:p>
    <w:p w14:paraId="4796EEA9" w14:textId="77777777" w:rsidR="0028437D" w:rsidRPr="00236F36" w:rsidRDefault="0028437D" w:rsidP="0028437D">
      <w:pPr>
        <w:pStyle w:val="NormalHanging12a"/>
      </w:pPr>
      <w:r w:rsidRPr="00236F36">
        <w:t>100.</w:t>
      </w:r>
      <w:r w:rsidRPr="00236F36">
        <w:tab/>
        <w:t xml:space="preserve">ia act de intenția UE și a Regatului Unit de a continua schimburile tehnice de reglementare privind noile tehnologii energetice, inclusiv captarea, utilizarea și stocarea dioxidului de carbon, hidrogenul și biometanul, astfel cum s-a subliniat în înțelegerea comună din 19 mai 2025; încurajează cooperarea dintre UE și Regatul Unit pentru a îmbunătăți accesul IMM-urilor la tehnologii verzi și la o infrastructură </w:t>
      </w:r>
      <w:proofErr w:type="spellStart"/>
      <w:r w:rsidRPr="00236F36">
        <w:t>rezilientă</w:t>
      </w:r>
      <w:proofErr w:type="spellEnd"/>
      <w:r w:rsidRPr="00236F36">
        <w:t xml:space="preserve"> la schimbările climatice, având grijă ca întreprinderile mici să poată contribui efectiv la tranziția către tehnologii verzi și să poată beneficia de pe urma sa;</w:t>
      </w:r>
    </w:p>
    <w:p w14:paraId="044EAF87" w14:textId="77777777" w:rsidR="0028437D" w:rsidRPr="00236F36" w:rsidRDefault="0028437D" w:rsidP="0028437D">
      <w:pPr>
        <w:pStyle w:val="NormalHanging12a"/>
        <w:rPr>
          <w:b/>
          <w:i/>
        </w:rPr>
      </w:pPr>
      <w:r w:rsidRPr="00236F36">
        <w:rPr>
          <w:b/>
          <w:i/>
        </w:rPr>
        <w:t>Siguranță alimentară</w:t>
      </w:r>
    </w:p>
    <w:p w14:paraId="59B07142" w14:textId="77777777" w:rsidR="0028437D" w:rsidRPr="00236F36" w:rsidRDefault="0028437D" w:rsidP="0028437D">
      <w:pPr>
        <w:pStyle w:val="NormalHanging12a"/>
        <w:rPr>
          <w:i/>
        </w:rPr>
      </w:pPr>
      <w:bookmarkStart w:id="21" w:name="_Hlk213251237"/>
      <w:r w:rsidRPr="00236F36">
        <w:t>101.</w:t>
      </w:r>
      <w:r w:rsidRPr="00236F36">
        <w:tab/>
        <w:t xml:space="preserve">salută intenția de a acționa în vederea unui acord cuprinzător în domeniul sanitar și fitosanitar între UE și Regatul Unit și subliniază că un astfel de acord trebuie să mențină niveluri ridicate de siguranță alimentară, bunăstare a animalelor și protecție a consumatorilor și a mediului; subliniază că nivelurile maxime de reziduuri de pesticide trebuie stabilite de o manieră coordonată pentru a proteja sănătatea umană și a facilita comerțul cu produse agroalimentare; subliniază cât este de important să se încheie un acord veterinar pentru a asigura sănătatea animalelor, a preveni focarele de boli zoonotice și a combate rezistența la </w:t>
      </w:r>
      <w:proofErr w:type="spellStart"/>
      <w:r w:rsidRPr="00236F36">
        <w:t>antimicrobiene</w:t>
      </w:r>
      <w:proofErr w:type="spellEnd"/>
      <w:r w:rsidRPr="00236F36">
        <w:t>, mai ales dacă avem în vedere focarele recente de acest tip și restricțiile comerciale aferente;</w:t>
      </w:r>
    </w:p>
    <w:bookmarkEnd w:id="21"/>
    <w:p w14:paraId="60F5D90D" w14:textId="77777777" w:rsidR="0028437D" w:rsidRPr="00236F36" w:rsidRDefault="0028437D" w:rsidP="0028437D">
      <w:pPr>
        <w:pStyle w:val="NormalHanging12a"/>
        <w:rPr>
          <w:bCs/>
          <w:iCs/>
        </w:rPr>
      </w:pPr>
      <w:r w:rsidRPr="00236F36">
        <w:t>102.</w:t>
      </w:r>
      <w:r w:rsidRPr="00236F36">
        <w:tab/>
        <w:t xml:space="preserve">remarcă faptul că la substanțele </w:t>
      </w:r>
      <w:proofErr w:type="spellStart"/>
      <w:r w:rsidRPr="00236F36">
        <w:t>perfluoroalchilate</w:t>
      </w:r>
      <w:proofErr w:type="spellEnd"/>
      <w:r w:rsidRPr="00236F36">
        <w:t xml:space="preserve"> și </w:t>
      </w:r>
      <w:proofErr w:type="spellStart"/>
      <w:r w:rsidRPr="00236F36">
        <w:t>polifluoroalchilate</w:t>
      </w:r>
      <w:proofErr w:type="spellEnd"/>
      <w:r w:rsidRPr="00236F36">
        <w:t xml:space="preserve"> (PFAS) UE și Regatul Unit au praguri și restricții divergente; face un apel la Autoritatea Europeană pentru Siguranța Alimentară (EFSA), la Agenția Europeană pentru Produse Chimice (ECHA) și la autoritățile competente din Regatul Unit să coopereze mai strâns pentru a monitoriza substanțele PFAS și a evalua riscurile aferente; recomandă să se poarte un dialog științific mai intens între UE și Regatul Unit privind limitele acestor substanțe în alimente și furaje, pentru a proteja sănătatea publică, menținând totodată standarde înalte de siguranță alimentară; </w:t>
      </w:r>
    </w:p>
    <w:p w14:paraId="5294AD06" w14:textId="77777777" w:rsidR="0028437D" w:rsidRPr="00236F36" w:rsidRDefault="0028437D" w:rsidP="0028437D">
      <w:pPr>
        <w:pStyle w:val="NormalHanging12a"/>
        <w:rPr>
          <w:bCs/>
          <w:iCs/>
        </w:rPr>
      </w:pPr>
      <w:r w:rsidRPr="00236F36">
        <w:t>103.</w:t>
      </w:r>
      <w:r w:rsidRPr="00236F36">
        <w:tab/>
        <w:t xml:space="preserve">ia act de Legea privind tehnologia genetică (reproducerea de precizie), care a intrat în vigoare în Anglia la 23 martie 2023 și care revizuiește normele privind diseminarea, comercializarea și evaluarea riscurilor plantelor și animalelor dezvoltate prin editare genetică și reproducere de precizie; se arată îngrijorat de incertitudinea care planează asupra divergențelor de reglementare aferente statutului juridic și circulației acestor produse între Irlanda de Nord și UE; subliniază că produsele etichetate incorect nu trebuie lăsate să pătrundă în lanțul alimentar al UE; </w:t>
      </w:r>
    </w:p>
    <w:p w14:paraId="2CBEAF33" w14:textId="77777777" w:rsidR="0028437D" w:rsidRPr="00236F36" w:rsidRDefault="0028437D" w:rsidP="0028437D">
      <w:pPr>
        <w:pStyle w:val="NormalHanging12a"/>
        <w:rPr>
          <w:b/>
          <w:i/>
        </w:rPr>
      </w:pPr>
      <w:r w:rsidRPr="00236F36">
        <w:rPr>
          <w:b/>
          <w:i/>
        </w:rPr>
        <w:lastRenderedPageBreak/>
        <w:t>Sănătatea publică</w:t>
      </w:r>
    </w:p>
    <w:p w14:paraId="2A540036" w14:textId="77777777" w:rsidR="0028437D" w:rsidRPr="00236F36" w:rsidRDefault="0028437D" w:rsidP="0028437D">
      <w:pPr>
        <w:pStyle w:val="NormalHanging12a"/>
        <w:rPr>
          <w:i/>
          <w:iCs/>
        </w:rPr>
      </w:pPr>
      <w:r w:rsidRPr="00236F36">
        <w:rPr>
          <w:i/>
        </w:rPr>
        <w:t xml:space="preserve">Diferențele de reglementare </w:t>
      </w:r>
    </w:p>
    <w:p w14:paraId="7398D26F" w14:textId="77777777" w:rsidR="0028437D" w:rsidRPr="00236F36" w:rsidRDefault="0028437D" w:rsidP="0028437D">
      <w:pPr>
        <w:pStyle w:val="NormalHanging12a"/>
        <w:rPr>
          <w:i/>
        </w:rPr>
      </w:pPr>
      <w:r w:rsidRPr="00236F36">
        <w:t>104.</w:t>
      </w:r>
      <w:r w:rsidRPr="00236F36">
        <w:tab/>
        <w:t>reamintește că retragerea Regatului Unit din UE a marcat o schimbare fundamentală în cadrul de reglementare comun, care anterior susținea cooperarea în domeniul sănătății publice, al produselor farmaceutice și al cercetării medicale; își exprimă, de asemenea, îngrijorarea cu privire la incertitudinea creată de Legea Regatului Unit privind dreptul Uniunii menținut în dreptul intern (revocare și reformă), care abrogă supremația dreptului UE și poate duce la interpretări diferite ale reglementărilor în materie de sănătate;</w:t>
      </w:r>
    </w:p>
    <w:p w14:paraId="48CDDCB7" w14:textId="77777777" w:rsidR="0028437D" w:rsidRPr="00236F36" w:rsidRDefault="0028437D" w:rsidP="0028437D">
      <w:pPr>
        <w:pStyle w:val="NormalHanging12a"/>
        <w:rPr>
          <w:bCs/>
          <w:iCs/>
        </w:rPr>
      </w:pPr>
      <w:r w:rsidRPr="00236F36">
        <w:t>105.</w:t>
      </w:r>
      <w:r w:rsidRPr="00236F36">
        <w:tab/>
        <w:t xml:space="preserve">reamintește că Agenția de Reglementare a Medicamentelor și a Produselor Medicale (MHRA) din Regatul Unit autorizează în prezent în mod independent medicamente în Regatul Unit, ceea ce ar putea duce la diferențe privind termenele de autorizare, criteriile de aprobare și supravegherea ulterioară introducerii pe piață; subliniază că este necesar să se monitorizeze impactul acestor diferențe asupra accesului pacienților și a siguranței la nivel transfrontalier și solicită o monitorizare structurată la nivelul UE pentru a evalua aceste diferențe și a răspunde la ele; </w:t>
      </w:r>
    </w:p>
    <w:p w14:paraId="1C994401" w14:textId="77777777" w:rsidR="0028437D" w:rsidRPr="00236F36" w:rsidRDefault="0028437D" w:rsidP="0028437D">
      <w:pPr>
        <w:pStyle w:val="NormalHanging12a"/>
        <w:rPr>
          <w:bCs/>
          <w:iCs/>
        </w:rPr>
      </w:pPr>
      <w:r w:rsidRPr="00236F36">
        <w:t>106.</w:t>
      </w:r>
      <w:r w:rsidRPr="00236F36">
        <w:tab/>
        <w:t xml:space="preserve"> consideră binevenit acordul referitor la schimbul reciproc de informații între Agenția Uniunii Europene privind Drogurile și autoritățile Regatului Unit în ceea ce privește riscurile și amenințările legate de droguri; solicită, în acest sens, ca posibilul acord operațional dintre agenția UE și autoritățile competente din Regatul Unit să se finalizeze în cel mai scurt timp posibil;   </w:t>
      </w:r>
    </w:p>
    <w:p w14:paraId="3ED2A6F1" w14:textId="77777777" w:rsidR="0028437D" w:rsidRPr="00236F36" w:rsidRDefault="0028437D" w:rsidP="0028437D">
      <w:pPr>
        <w:pStyle w:val="NormalHanging12a"/>
        <w:rPr>
          <w:bCs/>
          <w:iCs/>
        </w:rPr>
      </w:pPr>
      <w:r w:rsidRPr="00236F36">
        <w:t>107.</w:t>
      </w:r>
      <w:r w:rsidRPr="00236F36">
        <w:tab/>
        <w:t xml:space="preserve">regretă că Regatul Unit și UE au adoptat abordări diferite în ceea ce privește reglementarea IA în domeniul sănătății, dat fiind că diferențele de abordare ar putea submina interoperabilitatea și cooperarea transfrontalieră în domeniul serviciilor medicale digitale; solicită inițierea unui dialog structurat cu scopul de a analiza convergența standardelor și a mecanismelor de conformitate pentru dispozitivele medicale digitale și diagnosticarea bazată pe IA; </w:t>
      </w:r>
    </w:p>
    <w:p w14:paraId="325B3774" w14:textId="77777777" w:rsidR="0028437D" w:rsidRPr="00236F36" w:rsidRDefault="0028437D" w:rsidP="0028437D">
      <w:pPr>
        <w:pStyle w:val="NormalHanging12a"/>
        <w:rPr>
          <w:b/>
          <w:bCs/>
          <w:i/>
          <w:iCs/>
        </w:rPr>
      </w:pPr>
      <w:r w:rsidRPr="00236F36">
        <w:rPr>
          <w:b/>
          <w:i/>
        </w:rPr>
        <w:t xml:space="preserve">Cooperarea în domeniul sănătății </w:t>
      </w:r>
    </w:p>
    <w:p w14:paraId="706B370D" w14:textId="77777777" w:rsidR="0028437D" w:rsidRPr="00236F36" w:rsidRDefault="0028437D" w:rsidP="0028437D">
      <w:pPr>
        <w:pStyle w:val="NormalHanging12a"/>
        <w:rPr>
          <w:bCs/>
          <w:iCs/>
        </w:rPr>
      </w:pPr>
      <w:r w:rsidRPr="00236F36">
        <w:t>108.</w:t>
      </w:r>
      <w:r w:rsidRPr="00236F36">
        <w:tab/>
        <w:t xml:space="preserve">subliniază că este necesar să se îmbunătățească cooperarea pentru a proteja toate dimensiunile sănătății publice și a facilita accesul pacienților la asistență medicală atunci când acest lucru este justificat din punct de vedere clinic; recomandă ca această cooperare să acorde prioritate tratamentelor pentru bolile rare și pediatrice și tratamentelor complexe, în cazul în care sunt disponibile cunoștințe de specialitate în oricare dintre părți; recunoaște, în acest sens, că rețelele europene de referință au avut succes și pot evolua în continuare și solicită să se creeze un cadru de cooperare cu rețelele de referință respective din Regatul Unit; solicită intensificarea cooperării dintre UE și Regatul Unit în materie de reglementare și cercetare în domeniul sănătății publice; sprijină această cooperare prin participarea Regatului Unit la clusterul „Sănătate” din cadrul programului Orizont Europa și posibila participare viitoare la inițiativele legate de HERA; </w:t>
      </w:r>
    </w:p>
    <w:p w14:paraId="5C2BECBA" w14:textId="77777777" w:rsidR="0028437D" w:rsidRPr="00236F36" w:rsidRDefault="0028437D" w:rsidP="0028437D">
      <w:pPr>
        <w:pStyle w:val="NormalHanging12a"/>
        <w:rPr>
          <w:bCs/>
          <w:iCs/>
        </w:rPr>
      </w:pPr>
      <w:r w:rsidRPr="00236F36">
        <w:t>109.</w:t>
      </w:r>
      <w:r w:rsidRPr="00236F36">
        <w:tab/>
        <w:t xml:space="preserve">constată că diferențele de reglementare legate de </w:t>
      </w:r>
      <w:proofErr w:type="spellStart"/>
      <w:r w:rsidRPr="00236F36">
        <w:t>Brexit</w:t>
      </w:r>
      <w:proofErr w:type="spellEnd"/>
      <w:r w:rsidRPr="00236F36">
        <w:t xml:space="preserve"> și creșterea costurilor de import au afectat în mod considerabil accesul pacienților britanici la tratamente oncologice salvatoare de vieți; subliniază că costul importului de noi medicamente împotriva cancerului a crescut de aproape patru ori după </w:t>
      </w:r>
      <w:proofErr w:type="spellStart"/>
      <w:r w:rsidRPr="00236F36">
        <w:t>Brexit</w:t>
      </w:r>
      <w:proofErr w:type="spellEnd"/>
      <w:r w:rsidRPr="00236F36">
        <w:t xml:space="preserve">; evidențiază că aceste obstacole au </w:t>
      </w:r>
      <w:r w:rsidRPr="00236F36">
        <w:lastRenderedPageBreak/>
        <w:t xml:space="preserve">condus la întârzieri și refuzuri ale tratamentelor critice, afectând negativ rezultatele pacienților, inclusiv pe cele ale copiilor cu cancere recidivante; recomandă Regatului Unit să acționeze în fața acestor provocări pentru a garanta accesul echitabil la medicamente esențiale; </w:t>
      </w:r>
    </w:p>
    <w:p w14:paraId="1C2570EB" w14:textId="77777777" w:rsidR="0028437D" w:rsidRPr="00236F36" w:rsidRDefault="0028437D" w:rsidP="0028437D">
      <w:pPr>
        <w:pStyle w:val="NormalHanging12a"/>
        <w:rPr>
          <w:bCs/>
          <w:iCs/>
        </w:rPr>
      </w:pPr>
      <w:r w:rsidRPr="00236F36">
        <w:t>110.</w:t>
      </w:r>
      <w:r w:rsidRPr="00236F36">
        <w:tab/>
        <w:t xml:space="preserve">subliniază că este important să se faciliteze mobilitatea, formarea și recunoașterea reciprocă a calificărilor și a rezidențiatului profesioniștilor din domeniul sănătății între UE și Regatul Unit, cu scopul de a soluționa deficitul de forță de muncă și de a promova schimbul de bune practici și de cunoștințe de specialitate; subliniază oportunitatea strategică de a consolida cooperarea dintre UE și Regatul Unit pentru a atrage și a păstra talente de talie mondială și a promova excelența științifică; salută inițiativele UE menite să transforme Europa într-un centru mondial de cercetare, inclusiv sprijinul acordat pentru a </w:t>
      </w:r>
      <w:proofErr w:type="spellStart"/>
      <w:r w:rsidRPr="00236F36">
        <w:t>reloca</w:t>
      </w:r>
      <w:proofErr w:type="spellEnd"/>
      <w:r w:rsidRPr="00236F36">
        <w:t xml:space="preserve"> cercetătorii și a îmbunătăți perspectivele de carieră; încurajează dezvoltarea unor programe comune UE-Regatul Unit și a unor sisteme de mobilitate pentru a sprijini profesioniștii din domeniul sănătății și cercetătorii, garantând că Europa continuă să fie lider în domeniul inovării medicale și al libertății științifice; </w:t>
      </w:r>
    </w:p>
    <w:p w14:paraId="63699693" w14:textId="77777777" w:rsidR="0028437D" w:rsidRPr="00236F36" w:rsidRDefault="0028437D" w:rsidP="0028437D">
      <w:pPr>
        <w:pStyle w:val="NormalHanging12a"/>
        <w:rPr>
          <w:bCs/>
          <w:iCs/>
        </w:rPr>
      </w:pPr>
      <w:r w:rsidRPr="00236F36">
        <w:t>111.</w:t>
      </w:r>
      <w:r w:rsidRPr="00236F36">
        <w:tab/>
        <w:t>ia act de faptul că, deși ACC UE - Regatul Unit include un protocol privind coordonarea sistemelor de securitate socială, care a păstrat mecanisme pentru asistența medicală reciprocă, cum ar fi cardul european de asigurări sociale de sănătate, încheierea participării Regatului Unit la Directiva privind asistența medicală transfrontalieră</w:t>
      </w:r>
      <w:r w:rsidRPr="00236F36">
        <w:rPr>
          <w:rStyle w:val="FootnoteReference"/>
          <w:bCs/>
          <w:iCs/>
        </w:rPr>
        <w:footnoteReference w:id="38"/>
      </w:r>
      <w:r w:rsidRPr="00236F36">
        <w:t xml:space="preserve"> nu a fost urmată de un acord comparabil; observă că acest lucru a avut un impact inegal, în special în Irlanda de Nord, unde peste 1 000 pacienți pe an beneficiaseră anterior de rambursarea asistenței medicale în UE în temeiul directivei; </w:t>
      </w:r>
    </w:p>
    <w:p w14:paraId="64C26FE0" w14:textId="77777777" w:rsidR="0028437D" w:rsidRPr="00236F36" w:rsidRDefault="0028437D" w:rsidP="0028437D">
      <w:pPr>
        <w:pStyle w:val="NormalHanging12a"/>
        <w:rPr>
          <w:bCs/>
          <w:iCs/>
        </w:rPr>
      </w:pPr>
      <w:r w:rsidRPr="00236F36">
        <w:t>112.</w:t>
      </w:r>
      <w:r w:rsidRPr="00236F36">
        <w:tab/>
        <w:t xml:space="preserve">recomandă înființarea unui grup de lucru specific UE-Regatul Unit privind produsele farmaceutice și dispozitivele medicale, pentru a înlesni un dialog constant, a remedia diferențele în materie de reglementare și a promova alinierea în domenii precum studiile clinice, farmacovigilența, certificarea dispozitivelor medicale și comerțul ilicit cu produse legate de asistența medicală; </w:t>
      </w:r>
    </w:p>
    <w:p w14:paraId="124AC27D" w14:textId="77777777" w:rsidR="0028437D" w:rsidRPr="00236F36" w:rsidRDefault="0028437D" w:rsidP="0028437D">
      <w:pPr>
        <w:pStyle w:val="NormalHanging12a"/>
        <w:rPr>
          <w:bCs/>
          <w:iCs/>
        </w:rPr>
      </w:pPr>
      <w:r w:rsidRPr="00236F36">
        <w:t>113.</w:t>
      </w:r>
      <w:r w:rsidRPr="00236F36">
        <w:tab/>
        <w:t xml:space="preserve">recunoaște dispozițiile limitate din cadrul ACC privind cooperarea în materie de securitate sanitară și regretă că Regatul Unit nu mai participă la Comitetul pentru securitate sanitară al UE sau la Centrul European de Prevenire și Control al Bolilor (ECDC); avertizează că acest lucru limitează capacitățile de alertă timpurie și de coordonare a răspunsurilor la amenințările transfrontaliere la adresa sănătății, cum ar fi pandemiile și rezistența la </w:t>
      </w:r>
      <w:proofErr w:type="spellStart"/>
      <w:r w:rsidRPr="00236F36">
        <w:t>antimicrobiene</w:t>
      </w:r>
      <w:proofErr w:type="spellEnd"/>
      <w:r w:rsidRPr="00236F36">
        <w:t xml:space="preserve">; recomandă instituirea unui dialog oficial și periodic între autoritățile de sănătate publică și instituțiile de sănătate publică din UE și din Regatul Unit cu scopul de a consolida încrederea și capacitatea de pregătire pentru situații de urgență, răspunsul la pandemii și supravegherea epidemiologică transfrontalieră; </w:t>
      </w:r>
    </w:p>
    <w:p w14:paraId="5913EE48" w14:textId="77777777" w:rsidR="0028437D" w:rsidRPr="00236F36" w:rsidRDefault="0028437D" w:rsidP="0028437D">
      <w:pPr>
        <w:pStyle w:val="NormalHanging12a"/>
        <w:rPr>
          <w:bCs/>
          <w:iCs/>
        </w:rPr>
      </w:pPr>
      <w:r w:rsidRPr="00236F36">
        <w:t>114.</w:t>
      </w:r>
      <w:r w:rsidRPr="00236F36">
        <w:tab/>
        <w:t xml:space="preserve">salută adoptarea recentă a unei înțelegeri comune privind o agendă reînnoită pentru cooperarea dintre UE și Regatul Unit, prin care Comisia Europeană și Regatul Unit vor examina posibilitatea de a facilita schimbul și cooperarea în materie de securitate sanitară, inclusiv în materie de detectare, pregătire și răspuns în cazul amenințărilor emergente la adresa sănătății, pentru a preveni și a atenua viitoarele pandemii și crize </w:t>
      </w:r>
      <w:r w:rsidRPr="00236F36">
        <w:lastRenderedPageBreak/>
        <w:t xml:space="preserve">sanitare, inclusiv în cadrul dispozițiilor privind securitatea sanitară din ACC, pentru a maximiza cooperarea în materie de securitate sanitară; </w:t>
      </w:r>
    </w:p>
    <w:p w14:paraId="6CA914D3" w14:textId="77777777" w:rsidR="0028437D" w:rsidRPr="00236F36" w:rsidRDefault="0028437D" w:rsidP="0028437D">
      <w:pPr>
        <w:pStyle w:val="NormalHanging12a"/>
        <w:rPr>
          <w:bCs/>
          <w:iCs/>
        </w:rPr>
      </w:pPr>
      <w:r w:rsidRPr="00236F36">
        <w:t>115.</w:t>
      </w:r>
      <w:r w:rsidRPr="00236F36">
        <w:tab/>
        <w:t xml:space="preserve">îndeamnă Comisia ca, în acord cu dispozițiile din ACC, să suspende cooperarea în cazurile în care standardele de reglementare ale Regatului Unit privind calitatea, farmacovigilența sau fabricarea medicamentelor nu mai sunt considerate echivalente cu standardele UE, astfel cum se subliniază în Directiva 2001/83/CE; </w:t>
      </w:r>
    </w:p>
    <w:p w14:paraId="2D90C63C" w14:textId="77777777" w:rsidR="0028437D" w:rsidRPr="00236F36" w:rsidRDefault="0028437D" w:rsidP="0028437D">
      <w:pPr>
        <w:pStyle w:val="NormalHanging12a"/>
        <w:rPr>
          <w:bCs/>
          <w:iCs/>
        </w:rPr>
      </w:pPr>
      <w:r w:rsidRPr="00236F36">
        <w:t>116.</w:t>
      </w:r>
      <w:r w:rsidRPr="00236F36">
        <w:tab/>
        <w:t xml:space="preserve">subliniază situația nesoluționată a contractului de închiriere pentru fostul sediu al Agenției Europene pentru Medicamente, în urma mutării sale la Amsterdam, și solicită ca această problemă să fie discutată cu Regatul Unit; </w:t>
      </w:r>
    </w:p>
    <w:p w14:paraId="2611AEB6" w14:textId="77777777" w:rsidR="0028437D" w:rsidRPr="00236F36" w:rsidRDefault="0028437D" w:rsidP="0028437D">
      <w:pPr>
        <w:pStyle w:val="NormalHanging12a"/>
        <w:rPr>
          <w:i/>
          <w:iCs/>
        </w:rPr>
      </w:pPr>
      <w:r w:rsidRPr="00236F36">
        <w:rPr>
          <w:i/>
        </w:rPr>
        <w:t>Lanțurile de aprovizionare</w:t>
      </w:r>
    </w:p>
    <w:p w14:paraId="0F683777" w14:textId="77777777" w:rsidR="0028437D" w:rsidRPr="00236F36" w:rsidRDefault="0028437D" w:rsidP="0028437D">
      <w:pPr>
        <w:pStyle w:val="NormalHanging12a"/>
      </w:pPr>
      <w:r w:rsidRPr="00236F36">
        <w:t>117.</w:t>
      </w:r>
      <w:r w:rsidRPr="00236F36">
        <w:tab/>
        <w:t xml:space="preserve">subliniază complexitatea tot mai mare a lanțurilor de aprovizionare transfrontaliere pentru medicamente după </w:t>
      </w:r>
      <w:proofErr w:type="spellStart"/>
      <w:r w:rsidRPr="00236F36">
        <w:t>Brexit</w:t>
      </w:r>
      <w:proofErr w:type="spellEnd"/>
      <w:r w:rsidRPr="00236F36">
        <w:t xml:space="preserve">, în special pentru produsele care anterior circulau liber între UE și Regatul Unit; regretă că controalele vamale și procesele de reglementare au cauzat întârzieri, deficite și creșterea costurilor, afectând disponibilitatea medicamentelor în Regatul Unit, în special în Irlanda de Nord și în statele membre mai mici care s-au bazat de-a lungul timpului pe lanțurile de aprovizionare cu sediul în Regatul Unit, printre care Malta, Cipru și Irlanda; </w:t>
      </w:r>
    </w:p>
    <w:p w14:paraId="2C247E50" w14:textId="77777777" w:rsidR="0028437D" w:rsidRPr="00236F36" w:rsidRDefault="0028437D" w:rsidP="0028437D">
      <w:pPr>
        <w:pStyle w:val="NormalHanging12a"/>
      </w:pPr>
      <w:r w:rsidRPr="00236F36">
        <w:t>118.</w:t>
      </w:r>
      <w:r w:rsidRPr="00236F36">
        <w:tab/>
        <w:t>subliniază că posibila prelungire a derogărilor de la anumite obligații privind anumite medicamente de uz uman puse la dispoziție în Regatul Unit în ceea ce privește Irlanda de Nord, precum și în Cipru, Irlanda și Malta, stabilite în temeiul Directivei (UE) 2022/642</w:t>
      </w:r>
      <w:r w:rsidRPr="00236F36">
        <w:rPr>
          <w:rStyle w:val="FootnoteReference"/>
        </w:rPr>
        <w:footnoteReference w:id="39"/>
      </w:r>
      <w:r w:rsidRPr="00236F36">
        <w:t xml:space="preserve"> de modificare a Directivelor 2001/20/CE și 2001/83/CE trebuie să se bazeze pe dovezi privind necesitatea permanentă și riscul de a dăuna pacienților în statele membre afectate și nu să fie motivată de comoditatea administrativă; </w:t>
      </w:r>
    </w:p>
    <w:p w14:paraId="0F0E91BE" w14:textId="77777777" w:rsidR="0028437D" w:rsidRPr="00236F36" w:rsidRDefault="0028437D" w:rsidP="0028437D">
      <w:pPr>
        <w:pStyle w:val="NormalHanging12a"/>
      </w:pPr>
      <w:r w:rsidRPr="00236F36">
        <w:t>119.</w:t>
      </w:r>
      <w:r w:rsidRPr="00236F36">
        <w:tab/>
        <w:t xml:space="preserve">îndeamnă UE și Regatul Unit să analizeze mecanisme de cooperare, cum ar fi un acord de recunoaștere reciprocă privind bunele practici de fabricație pe baza unor standarde echivalente, cu scopul de a asigura accesul continuu în special la medicamentele critice, de a combate deficitele și de a elimina barierele legate de testarea loturilor, schimbul de date de farmacovigilență și logistica aprovizionării, pentru a reduce la minimum perturbările în îngrijirea pacienților și a garanta siguranța acestora; </w:t>
      </w:r>
    </w:p>
    <w:p w14:paraId="3CF9CEDC" w14:textId="77777777" w:rsidR="0028437D" w:rsidRPr="00236F36" w:rsidRDefault="0028437D" w:rsidP="0028437D">
      <w:pPr>
        <w:pStyle w:val="NormalHanging12a"/>
      </w:pPr>
      <w:r w:rsidRPr="00236F36">
        <w:rPr>
          <w:i/>
        </w:rPr>
        <w:t>Cooperarea internațională și dezvoltarea</w:t>
      </w:r>
    </w:p>
    <w:p w14:paraId="5681A789" w14:textId="77777777" w:rsidR="0028437D" w:rsidRPr="00236F36" w:rsidRDefault="0028437D" w:rsidP="0028437D">
      <w:pPr>
        <w:pStyle w:val="NormalHanging12a"/>
        <w:rPr>
          <w:bCs/>
          <w:iCs/>
        </w:rPr>
      </w:pPr>
      <w:r w:rsidRPr="00236F36">
        <w:t>120.</w:t>
      </w:r>
      <w:r w:rsidRPr="00236F36">
        <w:tab/>
        <w:t xml:space="preserve">subliniază că este imperativ ca ambele părți să își consolideze în comun angajamentul și cooperarea în ceea ce privește guvernanța globală în domeniul sănătății și programele internaționale de dezvoltare, inclusiv în cadrul Organizației Mondiale a Sănătății, printre alte foruri; subliniază importanța unei acțiuni coordonate în acest sens pentru a permite un răspuns internațional mai puternic, mai echitabil și mai eficace la urgențele sanitare transfrontaliere; </w:t>
      </w:r>
    </w:p>
    <w:p w14:paraId="470515E6" w14:textId="77777777" w:rsidR="0028437D" w:rsidRPr="00236F36" w:rsidRDefault="0028437D" w:rsidP="0028437D">
      <w:pPr>
        <w:pStyle w:val="NormalHanging12a"/>
        <w:rPr>
          <w:b/>
          <w:i/>
        </w:rPr>
      </w:pPr>
      <w:r w:rsidRPr="00236F36">
        <w:rPr>
          <w:b/>
          <w:i/>
        </w:rPr>
        <w:t>Protecția consumatorilor</w:t>
      </w:r>
    </w:p>
    <w:p w14:paraId="2925FE4F" w14:textId="77777777" w:rsidR="0028437D" w:rsidRPr="00236F36" w:rsidRDefault="0028437D" w:rsidP="0028437D">
      <w:pPr>
        <w:pStyle w:val="NormalHanging12a"/>
        <w:rPr>
          <w:i/>
        </w:rPr>
      </w:pPr>
      <w:r w:rsidRPr="00236F36">
        <w:t>121.</w:t>
      </w:r>
      <w:r w:rsidRPr="00236F36">
        <w:tab/>
        <w:t xml:space="preserve">subliniază că consumatorii din UE și din Regatul Unit se confruntă cu mai multe riscuri care decurg din produse nesigure și ilicite, precum și din tehnici de vânzare manipulatoare online; evidențiază, în acest sens, problemele generate de comerțul electronic la care sunt expuși consumatorii; consideră că o cooperare mai strânsă și </w:t>
      </w:r>
      <w:r w:rsidRPr="00236F36">
        <w:lastRenderedPageBreak/>
        <w:t xml:space="preserve">schimbul de informații importante între organismele de aplicare a legii în materie de protecție a consumatorilor din UE și din Regatul Unit sunt vitale pentru abordarea acestor dificultăți; </w:t>
      </w:r>
    </w:p>
    <w:p w14:paraId="3199E9CD" w14:textId="77777777" w:rsidR="0028437D" w:rsidRPr="00236F36" w:rsidRDefault="0028437D" w:rsidP="0028437D">
      <w:pPr>
        <w:pStyle w:val="NormalHanging12a"/>
        <w:rPr>
          <w:bCs/>
          <w:iCs/>
        </w:rPr>
      </w:pPr>
      <w:r w:rsidRPr="00236F36">
        <w:t>122.</w:t>
      </w:r>
      <w:r w:rsidRPr="00236F36">
        <w:tab/>
        <w:t xml:space="preserve">subliniază că cooperarea dintre UE și Regatul Unit trebuie să mențină un nivel ridicat de protecție a consumatorilor, cu un accent deosebit pe siguranța produselor, comerțul electronic și serviciile digitale transfrontaliere; solicită o colaborare consolidată pentru a combate prezența produselor nesigure și a practicilor comerciale neloiale; subliniază necesitatea unei convergențe în materie de reglementare în ceea ce privește siguranța produselor și drepturile consumatorilor în domeniul digital, pentru a asigura un nivel ridicat și consecvent de protecție a acestora, întărind astfel încrederea consumatorilor în comerțul transfrontalier; solicită ca cooperarea dintre UE și Regatul Unit să angajeze cele două părți în dialog și în schimb de informații în domenii de interes comun, incluzând siguranța produselor, drepturile consumatorilor digitali și practicile comerciale neloiale; subliniază că UE și Regatul Unit trebuie să coopereze pentru a preveni divergențele în materie de reglementare care ar afecta negativ încrederea consumatorilor sau comerțul transfrontalier; </w:t>
      </w:r>
    </w:p>
    <w:p w14:paraId="78AB33C9" w14:textId="77777777" w:rsidR="0028437D" w:rsidRPr="00236F36" w:rsidRDefault="0028437D" w:rsidP="0028437D">
      <w:pPr>
        <w:pStyle w:val="NormalHanging12a"/>
        <w:rPr>
          <w:bCs/>
          <w:iCs/>
        </w:rPr>
      </w:pPr>
      <w:r w:rsidRPr="00236F36">
        <w:t>123.</w:t>
      </w:r>
      <w:r w:rsidRPr="00236F36">
        <w:tab/>
        <w:t>regretă că ACC nu include un acord de cooperare legat de asigurarea respectării legislației în materie de protecție a consumatorilor și invită Comisia să analizeze posibilitatea de a institui un acord între Rețeaua UE de cooperare pentru protecția consumatorilor și Autoritatea pentru Concurență și Piețe din Regatul Unit; subliniază că un astfel de acord ar permite autorităților să intervină mai eficient prin schimbul de informații legate de investigații și prin explorarea unor acțiuni comune; subliniază că o astfel de cooperare ar trebui luată în considerare în temeiul Regulamentului privind cooperarea în materie de protecție a consumatorului</w:t>
      </w:r>
      <w:r w:rsidRPr="00236F36">
        <w:rPr>
          <w:rStyle w:val="FootnoteReference"/>
          <w:bCs/>
          <w:iCs/>
        </w:rPr>
        <w:footnoteReference w:id="40"/>
      </w:r>
      <w:r w:rsidRPr="00236F36">
        <w:t>, deoarece acest lucru permite cooperarea cu țările terțe pentru a proteja interesele consumatorilor; salută acordul de a relua discuțiile privind schimbul periodic de informații între sistemul „</w:t>
      </w:r>
      <w:proofErr w:type="spellStart"/>
      <w:r w:rsidRPr="00236F36">
        <w:t>Safety</w:t>
      </w:r>
      <w:proofErr w:type="spellEnd"/>
      <w:r w:rsidRPr="00236F36">
        <w:t xml:space="preserve"> Gate” al UE și baza de date a Regatului Unit privind supravegherea pieței și siguranța produselor, în conformitate cu articolul 96 alineatul (4) din ACC; </w:t>
      </w:r>
    </w:p>
    <w:p w14:paraId="5AEEAFD0" w14:textId="77777777" w:rsidR="0028437D" w:rsidRPr="00236F36" w:rsidRDefault="0028437D" w:rsidP="0028437D">
      <w:pPr>
        <w:pStyle w:val="NormalHanging12a"/>
        <w:rPr>
          <w:bCs/>
          <w:iCs/>
        </w:rPr>
      </w:pPr>
      <w:r w:rsidRPr="00236F36">
        <w:t>124.</w:t>
      </w:r>
      <w:r w:rsidRPr="00236F36">
        <w:tab/>
        <w:t xml:space="preserve">invită UE să înlesnească aderarea Regatului Unit la Convenția de la Lugano pentru a permite recunoașterea reciprocă și executarea hotărârilor judecătorești între Regatul Unit și statele membre; </w:t>
      </w:r>
    </w:p>
    <w:p w14:paraId="11DB99E7" w14:textId="6B3FC3AE" w:rsidR="0028437D" w:rsidRPr="00236F36" w:rsidRDefault="0028437D" w:rsidP="0028437D">
      <w:pPr>
        <w:pStyle w:val="NormalHanging12a"/>
        <w:rPr>
          <w:bCs/>
          <w:iCs/>
        </w:rPr>
      </w:pPr>
      <w:r w:rsidRPr="00236F36">
        <w:t>125.</w:t>
      </w:r>
      <w:r w:rsidR="00453D02" w:rsidRPr="00236F36">
        <w:tab/>
      </w:r>
      <w:r w:rsidRPr="00236F36">
        <w:t xml:space="preserve">salută acordul administrativ semnat la 30 aprilie 2024 între Comisia Europeană și </w:t>
      </w:r>
      <w:proofErr w:type="spellStart"/>
      <w:r w:rsidRPr="00236F36">
        <w:t>Ofcom</w:t>
      </w:r>
      <w:proofErr w:type="spellEnd"/>
      <w:r w:rsidRPr="00236F36">
        <w:t xml:space="preserve">, autoritatea de reglementare din Regatul Unit pentru serviciile de radiodifuziune, telecomunicații și poștale, care vizează supravegherea modului în care marile platforme online evaluează și gestionează riscurile, inclusiv protecția minorilor, proiectarea adaptată vârstei și transparența platformelor; își exprimă speranța că acest lucru marchează începutul unei cooperări mai strânse în abordarea acestor provocări și a altor provocări comune; </w:t>
      </w:r>
    </w:p>
    <w:p w14:paraId="30ABF681" w14:textId="77777777" w:rsidR="0028437D" w:rsidRPr="00236F36" w:rsidRDefault="0028437D" w:rsidP="0028437D">
      <w:pPr>
        <w:pStyle w:val="NormalHanging12a"/>
        <w:rPr>
          <w:b/>
          <w:i/>
        </w:rPr>
      </w:pPr>
      <w:r w:rsidRPr="00236F36">
        <w:rPr>
          <w:b/>
          <w:i/>
        </w:rPr>
        <w:t>Energie</w:t>
      </w:r>
    </w:p>
    <w:p w14:paraId="501C868F" w14:textId="77777777" w:rsidR="0028437D" w:rsidRPr="00236F36" w:rsidRDefault="0028437D" w:rsidP="0028437D">
      <w:pPr>
        <w:pStyle w:val="NormalHanging12a"/>
        <w:rPr>
          <w:i/>
        </w:rPr>
      </w:pPr>
      <w:r w:rsidRPr="00236F36">
        <w:lastRenderedPageBreak/>
        <w:t>126.</w:t>
      </w:r>
      <w:r w:rsidRPr="00236F36">
        <w:tab/>
        <w:t>subliniază, în contextul războiului de agresiune al Rusiei împotriva Ucrainei și al volatilității piețelor mondiale de energie, că este important să se consolideze cooperarea în domeniul energiei și al securității aprovizionării între UE și Regatul Unit; încurajează UE și Regatul Unit să colaboreze pentru a pune capăt dependenței de energia din Rusia prin oprirea cât mai curând posibil a importurilor tuturor combustibililor fosili din Rusia, inclusiv a petrolului, a gazelor, a gazului natural lichefiat (GNL), a combustibililor nucleari, precum și a altor materiale nucleare; reține că atât Uniunea, cât și Regatul Unit continuă să facă pași către îndeplinirea obiectivului lor comun de a tăia orice legătură energetică cu Rusia; salută înființarea noului Grup de lucru UE-Regatul Unit privind securitatea aprovizionării în temeiul Acordului comercial și de cooperare, recomandată de Consiliul de parteneriat la 17 martie 2024 și pusă ulterior în practică de Comisia de specialitate privind energia; speră ca noul Grup de lucru UE-Regatul Unit privind securitatea aprovizionării să se poată reuni periodic și să poată dezvolta soluții concrete și acțiuni comune în acest domeniu esențial al cooperării bilaterale;</w:t>
      </w:r>
    </w:p>
    <w:p w14:paraId="7162F1AA" w14:textId="77777777" w:rsidR="0028437D" w:rsidRPr="00236F36" w:rsidRDefault="0028437D" w:rsidP="0028437D">
      <w:pPr>
        <w:pStyle w:val="NormalHanging12a"/>
        <w:rPr>
          <w:bCs/>
          <w:iCs/>
        </w:rPr>
      </w:pPr>
      <w:r w:rsidRPr="00236F36">
        <w:t>127.</w:t>
      </w:r>
      <w:r w:rsidRPr="00236F36">
        <w:tab/>
        <w:t xml:space="preserve">subliniază cât de important este să se integreze piețele energetice din Uniune și din Regatul Unit, pentru a putea astfel îmbunătăți securitatea aprovizionării, stimula producția de energie curată și reduce costurile energiei pentru ambele părți; consideră că nivelurile ridicate ale capacității fizice de interconectare trebuie completate de piețe angro de energie mai integrate, care să poată facilita securitatea energetică și comerțul cu energie între UE și Regatul Unit; constată că, în pofida unei cooperări mai strânse între autoritățile de reglementare și operatorii de transport și de sistem, s-au înregistrat puține progrese în elaborarea de noi acorduri de tranzacționare a energiei electrice prevăzute la articolul 312 din ACC; reamintește că Regatul Unit nu mai dispune de instrumentele pieței unice a UE de cuplare a piețelor pentru tranzacționarea energiei electrice, cum ar fi cuplarea unică a piețelor UE pentru ziua următoare, ceea ce duce la tranzacționări ineficiente prin linii de interconexiune care cresc costurile angro și, în cele din urmă, se traduc în facturi mai mari pentru consumatori, și împiedică investițiile în liniile de interconexiune hibride; </w:t>
      </w:r>
    </w:p>
    <w:p w14:paraId="7BDDFF2A" w14:textId="4A3A39A8" w:rsidR="0028437D" w:rsidRPr="00236F36" w:rsidRDefault="0028437D" w:rsidP="0028437D">
      <w:pPr>
        <w:pStyle w:val="NormalHanging12a"/>
        <w:rPr>
          <w:bCs/>
          <w:iCs/>
        </w:rPr>
      </w:pPr>
      <w:r w:rsidRPr="00236F36">
        <w:t>128.</w:t>
      </w:r>
      <w:r w:rsidRPr="00236F36">
        <w:tab/>
        <w:t>salută recentul angajament și acord politic dintre UE și Regatul Unit menit să extindă cooperarea în domeniul energiei dintre UE și Regatul Unit pe o bază permanentă și să exploreze parametrii pentru participarea potențială a Regatului Unit la piața internă a energiei electrice, inclusiv alinierea dinamică și contribuțiile la costurile asociate acestui domeniu de politică, astfel cum se prevede în Înțelegerea comună UE-Regatul Unit; solicită negocieri imediate privind alinierea pieței și încheierea la timp a acestora și subliniază necesitatea unor progrese rapide și decisive; subliniază că o astfel de participare ar reduce prețurile energiei și ar aduce beneficii consumatorilor și întreprinderilor; subliniază că un astfel de acord ar trebui să fie încheiat înainte de</w:t>
      </w:r>
      <w:r w:rsidR="0003785D" w:rsidRPr="00236F36">
        <w:t xml:space="preserve"> expirarea</w:t>
      </w:r>
      <w:r w:rsidRPr="00236F36">
        <w:t xml:space="preserve"> acorduril</w:t>
      </w:r>
      <w:r w:rsidR="0003785D" w:rsidRPr="00236F36">
        <w:t>or</w:t>
      </w:r>
      <w:r w:rsidRPr="00236F36">
        <w:t xml:space="preserve"> actuale; subliniază că, în special având în vedere contextul geopolitic în schimbare și incertitudinile asociate cu comerțul mondial, domeniile de interes reciproc clar sunt cooperarea în domeniul energiei curate în mările septentrionale, conectarea sistemelor respective de comercializare a certificatelor de emisii ale UE și Regatului Unit pentru a evita fricțiunile din cadrul mecanismelor lor respective de ajustare a carbonului la frontieră, îmbunătățirea acordurilor de comercializare a energiei electrice și o coordonare mai strânsă a planificării infrastructurii, sporind astfel securitatea energetică și competitivitatea industrială în întreaga </w:t>
      </w:r>
      <w:proofErr w:type="spellStart"/>
      <w:r w:rsidRPr="00236F36">
        <w:t>Europă</w:t>
      </w:r>
      <w:proofErr w:type="spellEnd"/>
      <w:r w:rsidRPr="00236F36">
        <w:t xml:space="preserve">; solicită ambelor părți să coopereze îndeaproape pentru a se asigura că se poate institui în timp util un cadru viabil, astfel încât să se limiteze insecuritatea juridică; solicită eforturi comune concrete din partea UE și a Regatului Unit pentru o cooperare mai strânsă în domeniul energiei nucleare, o sursă de energie electrică cu emisii scăzute de carbon și abordabilă ca preț, care este vitală pentru atingerea </w:t>
      </w:r>
      <w:r w:rsidRPr="00236F36">
        <w:lastRenderedPageBreak/>
        <w:t xml:space="preserve">neutralității climatice și pentru menținerea competitivității industriilor europene; reamintește că cooperarea structurată dintre UE și Regatul Unit în domenii precum interconexiunile de energie electrică și infrastructura de energie din surse regenerabile </w:t>
      </w:r>
      <w:proofErr w:type="spellStart"/>
      <w:r w:rsidRPr="00236F36">
        <w:t>offshore</w:t>
      </w:r>
      <w:proofErr w:type="spellEnd"/>
      <w:r w:rsidRPr="00236F36">
        <w:t xml:space="preserve"> se poate intersecta cu programe de finanțare ale UE, inclusiv cu inițiativele regionale și energetice; subliniază că orice participare a Regatului Unit la astfel de cadre presupune o gestionare adecvată, respectarea normelor UE și contribuții financiare adecvate care să reflecte investițiile UE; invită Comisia să furnizeze Parlamentului informații complete cu privire la orice contribuție financiară care urmează să fie furnizată de Regatul Unit în aceste domenii; </w:t>
      </w:r>
    </w:p>
    <w:p w14:paraId="0E92EA91" w14:textId="77777777" w:rsidR="0028437D" w:rsidRPr="00236F36" w:rsidRDefault="0028437D" w:rsidP="0028437D">
      <w:pPr>
        <w:pStyle w:val="NormalHanging12a"/>
        <w:rPr>
          <w:bCs/>
          <w:iCs/>
        </w:rPr>
      </w:pPr>
      <w:r w:rsidRPr="00236F36">
        <w:t>129.</w:t>
      </w:r>
      <w:r w:rsidRPr="00236F36">
        <w:tab/>
        <w:t xml:space="preserve">salută poziția comună a Comisiei și a Regatului Unit, astfel cum a fost exprimată în cadrul recentului summit UE-Regatul Unit, potrivit căreia conectarea piețelor carbonului ar contribui la abordarea preocupărilor legate de comerț și de condițiile de concurență echitabile, în conformitate cu articolul 392 alineatul (6) din ACC, și ar scuti firmele cu sediul în Regatul Unit de la mecanismul de ajustare a carbonului la frontieră (CBAM), ar reduce fricțiunile comerciale și ar promova alinierea la stabilirea prețului carbonului, consolidând astfel obiectivele comune de decarbonizare și contribuind la atingerea obiectivelor de neutralitate climatică; </w:t>
      </w:r>
    </w:p>
    <w:p w14:paraId="353D7D57" w14:textId="77777777" w:rsidR="0028437D" w:rsidRPr="00236F36" w:rsidRDefault="0028437D" w:rsidP="0028437D">
      <w:pPr>
        <w:pStyle w:val="NormalHanging12a"/>
        <w:rPr>
          <w:bCs/>
          <w:iCs/>
        </w:rPr>
      </w:pPr>
      <w:r w:rsidRPr="00236F36">
        <w:t>130.</w:t>
      </w:r>
      <w:r w:rsidRPr="00236F36">
        <w:tab/>
        <w:t xml:space="preserve">recunoaște că sunt în funcțiune diferite CBAM în Uniune și în Regatul Unit, situație care ar putea antrena costuri nedorite în plus pentru comerțul transfrontalier viitor cu energie electrică din surse regenerabile, cu un impact negativ asupra industriilor și gospodăriilor și cu riscuri deosebite pentru integritatea pieței unice a energiei electrice din insula Irlanda; consideră că soluția cea mai eficientă și mai simplă ar fi ca Regatul Unit să se conecteze direct la schema UE de comercializare a certificatelor de emisii (ETS), astfel cum s-a propus în Înțelegerea comună; susține că o legătură totală cu ETS ar trebui să evite costurile nedorite și să elimine barierele politice inutile din calea cooperării, în special în mările septentrionale; solicită, cu toate acestea, măsuri provizorii, dacă este necesar, pentru a se asigura că CBAM ale Uniunii și ale Regatului Unit nu impun nicio sarcină suplimentară asupra comerțului transfrontalier cu energie electrică începând din 2026, când negocierile privind participarea pe piața energiei electrice și legătura dintre ETS ar putea fi încă în curs; subliniază că orice participare a Regatului Unit la mecanismele sau sistemele legate de ETS a UE trebuie să fie însoțită de o contribuție financiară echitabilă și proporțională, care să acopere costurile administrative și legate de programe ale UE; insistă asupra faptului că interesele financiare și climatice ale UE trebuie protejate pe deplin în orice acorduri viitoare; </w:t>
      </w:r>
    </w:p>
    <w:p w14:paraId="12FE4315" w14:textId="77777777" w:rsidR="0028437D" w:rsidRPr="00236F36" w:rsidRDefault="0028437D" w:rsidP="0028437D">
      <w:pPr>
        <w:pStyle w:val="NormalHanging12a"/>
        <w:rPr>
          <w:bCs/>
          <w:iCs/>
        </w:rPr>
      </w:pPr>
      <w:r w:rsidRPr="00236F36">
        <w:t>131.</w:t>
      </w:r>
      <w:r w:rsidRPr="00236F36">
        <w:tab/>
        <w:t xml:space="preserve">subliniază că este important să se stabilească norme comune pentru energia din surse regenerabile </w:t>
      </w:r>
      <w:proofErr w:type="spellStart"/>
      <w:r w:rsidRPr="00236F36">
        <w:t>offshore</w:t>
      </w:r>
      <w:proofErr w:type="spellEnd"/>
      <w:r w:rsidRPr="00236F36">
        <w:t xml:space="preserve"> și infrastructura de conducte în regiunea Mării Nordului, cu scopul de a facilita acordurile comerciale între UE și Regatul Unit; solicită continuarea colaborării dintre UE și Regatul Unit în cadrul eforturilor internaționale în domeniul energiei în contextul conferințelor ONU privind schimbările climatice; </w:t>
      </w:r>
    </w:p>
    <w:p w14:paraId="3F603341" w14:textId="77777777" w:rsidR="0028437D" w:rsidRPr="00236F36" w:rsidRDefault="0028437D" w:rsidP="0028437D">
      <w:pPr>
        <w:pStyle w:val="NormalHanging12a"/>
        <w:rPr>
          <w:bCs/>
          <w:iCs/>
        </w:rPr>
      </w:pPr>
      <w:r w:rsidRPr="00236F36">
        <w:t>132.</w:t>
      </w:r>
      <w:r w:rsidRPr="00236F36">
        <w:tab/>
        <w:t>ia act de reafirmarea angajamentului internațional comun de a realiza Agenda 2030 a Organizației Națiunilor Unite și obiectivele de dezvoltare durabilă, precum și Acordul de la Paris; reiterează necesitatea ca UE și Regatul Unit să colaboreze în continuare în cadrul conferințelor internaționale privind clima, inclusiv al viitoarei COP30, pentru a valorifica progresele înregistrate și a conduce noi acțiuni la nivel mondial pentru promovarea energiei din surse regenerabile, a eficienței energetice și a reducerii emisiilor de metan din sectorul energetic;</w:t>
      </w:r>
    </w:p>
    <w:p w14:paraId="689B080C" w14:textId="77777777" w:rsidR="0028437D" w:rsidRPr="00236F36" w:rsidRDefault="0028437D" w:rsidP="0028437D">
      <w:pPr>
        <w:spacing w:after="240"/>
        <w:ind w:left="540" w:hanging="540"/>
      </w:pPr>
      <w:r w:rsidRPr="00236F36">
        <w:t>133.</w:t>
      </w:r>
      <w:r w:rsidRPr="00236F36">
        <w:tab/>
        <w:t xml:space="preserve">consideră îmbucurător că ambele părți au ambiții comparabile în ceea ce privește </w:t>
      </w:r>
      <w:r w:rsidRPr="00236F36">
        <w:lastRenderedPageBreak/>
        <w:t xml:space="preserve">eficiența energetică și promovarea surselor regenerabile de energie pentru 2030, cu un țel final comun de a atinge neutralitatea climatică până în 2050; felicită Regatul Unit pentru că a reușit să elimine treptat producția de energie electrică pe bază de cărbune la 1 octombrie 2024, Regatul Unit fiind prima națiune G7 și țară industrializată avansată care a atins acest obiectiv; subliniază cât este de importantă clauza privind menținerea nivelului de protecție a mediului din Acordul comercial și de cooperare, de la care niciuna dintre părți nu se poate abate fără a pune în pericol acordul în ansamblu; </w:t>
      </w:r>
    </w:p>
    <w:p w14:paraId="1E90A07C" w14:textId="36C2BF05" w:rsidR="0028437D" w:rsidRPr="00236F36" w:rsidRDefault="0028437D" w:rsidP="0028437D">
      <w:pPr>
        <w:spacing w:after="240"/>
        <w:ind w:left="540" w:hanging="540"/>
      </w:pPr>
      <w:r w:rsidRPr="00236F36">
        <w:t>134.</w:t>
      </w:r>
      <w:r w:rsidRPr="00236F36">
        <w:tab/>
        <w:t>salută disponibilitatea ambelor părți de a avea în vedere o cooperare tehnologică și normativă mai strânsă în domeniul tehnologiilor curate, cum ar fi captarea</w:t>
      </w:r>
      <w:r w:rsidR="0003785D" w:rsidRPr="00236F36">
        <w:t>, utilizarea</w:t>
      </w:r>
      <w:r w:rsidRPr="00236F36">
        <w:t xml:space="preserve"> și stocarea dioxidului de carbon, precum și al energiei din surse regenerabile, fiind cuprinse aici energia eoliană </w:t>
      </w:r>
      <w:proofErr w:type="spellStart"/>
      <w:r w:rsidRPr="00236F36">
        <w:t>offshore</w:t>
      </w:r>
      <w:proofErr w:type="spellEnd"/>
      <w:r w:rsidRPr="00236F36">
        <w:t xml:space="preserve">, hidrogenul, biometanul și biocombustibilii sustenabili; constată, cu toate acestea, că decizia Regatului Unit de a părăsi piața unică a UE pune probleme inevitabile de format și limitează sfera cooperării bilaterale în domeniul energiei; invită ambele părți să găsească noi modalități prin care să amelioreze calitatea și profunzimea cooperării lor bilaterale în sectorul tehnologiilor din domeniul energiei din surse regenerabile; </w:t>
      </w:r>
    </w:p>
    <w:p w14:paraId="2D696CA5" w14:textId="77777777" w:rsidR="0028437D" w:rsidRPr="00236F36" w:rsidRDefault="0028437D" w:rsidP="0028437D">
      <w:pPr>
        <w:spacing w:after="240"/>
        <w:ind w:left="540" w:hanging="540"/>
      </w:pPr>
      <w:r w:rsidRPr="00236F36">
        <w:t>135.</w:t>
      </w:r>
      <w:r w:rsidRPr="00236F36">
        <w:tab/>
        <w:t xml:space="preserve">subliniază importanța planificării coordonate și a convergenței procedurilor de autorizare dintre Uniune și Regatul Unit pentru a asigura dezvoltarea surselor regenerabile de energie și, în special, a energiei eoliene </w:t>
      </w:r>
      <w:proofErr w:type="spellStart"/>
      <w:r w:rsidRPr="00236F36">
        <w:t>offshore</w:t>
      </w:r>
      <w:proofErr w:type="spellEnd"/>
      <w:r w:rsidRPr="00236F36">
        <w:t xml:space="preserve">, a infrastructurii de energie electrică și a stocării CO2, precum și a proiectelor energetice hibride în mările septentrionale; consideră că ambele părți trebuie să colaboreze strâns pentru a transforma mările septentrionale într-un centru de energie verde, care să poată contribui și la garantarea securității aprovizionării, printre altele, printr-o producție masivă de energie eoliană </w:t>
      </w:r>
      <w:proofErr w:type="spellStart"/>
      <w:r w:rsidRPr="00236F36">
        <w:t>offshore</w:t>
      </w:r>
      <w:proofErr w:type="spellEnd"/>
      <w:r w:rsidRPr="00236F36">
        <w:t xml:space="preserve">, în conformitate cu obiectivul fără caracter obligatoriu al UE de a atinge o capacitate de producție </w:t>
      </w:r>
      <w:proofErr w:type="spellStart"/>
      <w:r w:rsidRPr="00236F36">
        <w:t>offshore</w:t>
      </w:r>
      <w:proofErr w:type="spellEnd"/>
      <w:r w:rsidRPr="00236F36">
        <w:t xml:space="preserve"> instalată de aproximativ 360 GW până în 2050; invită Comisia și statele membre să consolideze cooperarea regională privind planificarea rețelelor </w:t>
      </w:r>
      <w:proofErr w:type="spellStart"/>
      <w:r w:rsidRPr="00236F36">
        <w:t>offshore</w:t>
      </w:r>
      <w:proofErr w:type="spellEnd"/>
      <w:r w:rsidRPr="00236F36">
        <w:t xml:space="preserve"> și dezvoltarea infrastructurii energetice critice cu Regatul Unit, precum și privind toate bazinele maritime cu țările învecinate, pentru a crește soliditatea sistemului și a reduce probabilitatea perturbării infrastructurii și a deficiențelor în aprovizionarea cu energie; </w:t>
      </w:r>
    </w:p>
    <w:p w14:paraId="4079C73D" w14:textId="77777777" w:rsidR="0028437D" w:rsidRPr="00236F36" w:rsidRDefault="0028437D" w:rsidP="0028437D">
      <w:pPr>
        <w:spacing w:after="240"/>
        <w:ind w:left="540" w:hanging="540"/>
      </w:pPr>
      <w:r w:rsidRPr="00236F36">
        <w:t>136.</w:t>
      </w:r>
      <w:r w:rsidRPr="00236F36">
        <w:tab/>
        <w:t xml:space="preserve">reamintește că utilizarea deplină a resurselor energetice </w:t>
      </w:r>
      <w:proofErr w:type="spellStart"/>
      <w:r w:rsidRPr="00236F36">
        <w:t>offshore</w:t>
      </w:r>
      <w:proofErr w:type="spellEnd"/>
      <w:r w:rsidRPr="00236F36">
        <w:t xml:space="preserve"> va necesita investiții foarte importante în rețea și în capacitatea de interconectare; subliniază, de asemenea, necesitatea de a dezvolta o rețea </w:t>
      </w:r>
      <w:proofErr w:type="spellStart"/>
      <w:r w:rsidRPr="00236F36">
        <w:t>offshore</w:t>
      </w:r>
      <w:proofErr w:type="spellEnd"/>
      <w:r w:rsidRPr="00236F36">
        <w:t xml:space="preserve"> de tip plasă, inclusiv interconexiuni hibride și mecanisme adecvate de partajare a costurilor; consideră că dezvoltarea infrastructurii de energie electrică pentru a valorifica potențialul energiei eoliene </w:t>
      </w:r>
      <w:proofErr w:type="spellStart"/>
      <w:r w:rsidRPr="00236F36">
        <w:t>offshore</w:t>
      </w:r>
      <w:proofErr w:type="spellEnd"/>
      <w:r w:rsidRPr="00236F36">
        <w:t xml:space="preserve"> este o prioritate comună atât pentru UE, cât și pentru Regatul Unit; subliniază că valorificarea resurselor regenerabile comune poate fi reciproc avantajoasă pentru UE și Regatul Unit și poate reduce costul tranziției către o energie curată pentru ambele părți; </w:t>
      </w:r>
    </w:p>
    <w:p w14:paraId="1ADD4C13" w14:textId="77777777" w:rsidR="0028437D" w:rsidRPr="00236F36" w:rsidRDefault="0028437D" w:rsidP="0028437D">
      <w:pPr>
        <w:spacing w:after="240"/>
        <w:ind w:left="567" w:hanging="567"/>
      </w:pPr>
      <w:r w:rsidRPr="00236F36">
        <w:t>137.</w:t>
      </w:r>
      <w:r w:rsidRPr="00236F36">
        <w:tab/>
        <w:t xml:space="preserve">salută participarea activă a Regatului Unit la Cooperarea în domeniul energiei în mările septentrionale (NSEC), pe baza memorandumului de înțelegere pe care l-a semnat în decembrie 2022; susține că participarea Regatului Unit la NSEC ar trebui, în cele din urmă, să conducă la proiecte comune viabile, care să fie în concordanță cu obiectivul comun de a face ca mările septentrionale să devină centrala electrică verde a Europei, așa cum se prevede în Declarația de la </w:t>
      </w:r>
      <w:proofErr w:type="spellStart"/>
      <w:r w:rsidRPr="00236F36">
        <w:t>Oostende</w:t>
      </w:r>
      <w:proofErr w:type="spellEnd"/>
      <w:r w:rsidRPr="00236F36">
        <w:t xml:space="preserve">, semnată de Regatul Unit la 24 aprilie 2023; </w:t>
      </w:r>
    </w:p>
    <w:p w14:paraId="36BC315F" w14:textId="77777777" w:rsidR="0028437D" w:rsidRPr="00236F36" w:rsidRDefault="0028437D" w:rsidP="0028437D">
      <w:pPr>
        <w:spacing w:after="240"/>
        <w:ind w:left="567" w:hanging="567"/>
      </w:pPr>
      <w:r w:rsidRPr="00236F36">
        <w:t>138.</w:t>
      </w:r>
      <w:r w:rsidRPr="00236F36">
        <w:tab/>
        <w:t xml:space="preserve">reține că Comitetul specializat privind energia a adoptat atât o recomandare, cât și o foaie de parcurs privind comercializarea energiei electrice spre sfârșitul anului 2024, </w:t>
      </w:r>
      <w:r w:rsidRPr="00236F36">
        <w:lastRenderedPageBreak/>
        <w:t xml:space="preserve">invitând Uniunea și Regatul Unit să intensifice activitatea tehnică necesară pentru a pune în aplicare noi acorduri comerciale între părți, inclusiv o etapă de validare a conceptului pentru cuplarea flexibilă </w:t>
      </w:r>
      <w:proofErr w:type="spellStart"/>
      <w:r w:rsidRPr="00236F36">
        <w:t>multiregională</w:t>
      </w:r>
      <w:proofErr w:type="spellEnd"/>
      <w:r w:rsidRPr="00236F36">
        <w:t xml:space="preserve"> a volumelor (MRLVC), modelul de tranzacționare propus prevăzut în anexa 29 la Acordul comercial și de cooperare; </w:t>
      </w:r>
    </w:p>
    <w:p w14:paraId="6CBED363" w14:textId="77777777" w:rsidR="0028437D" w:rsidRPr="00236F36" w:rsidRDefault="0028437D" w:rsidP="0028437D">
      <w:pPr>
        <w:spacing w:after="240"/>
        <w:ind w:left="567" w:hanging="567"/>
      </w:pPr>
      <w:r w:rsidRPr="00236F36">
        <w:t>139.</w:t>
      </w:r>
      <w:r w:rsidRPr="00236F36">
        <w:tab/>
        <w:t xml:space="preserve">ia act de acordul dintre Comunitatea Europeană a Energiei Atomice (Euratom) și Regatul Unit, încheiat la 21 decembrie 2020 în cadrul Acordului comercial și de cooperare, care privește cooperarea în domeniul utilizării în condiții de siguranță și în scopuri pașnice a energiei nucleare, acest acord fiind susținut de angajamentele ambelor părți de a respecta obligațiile internaționale; subliniază beneficiile reciproce ale cooperării civile în domeniul nuclear dintre Uniune și Regatul Unit în domenii precum reactoarele de nouă generație, gestionarea deșeurilor, reactoarele modulare mici, standardele de securitate și sănătate, reziliența lanțului de aprovizionare și tehnologiile de fuziune, inclusiv prin cercetare, aplicații medicale, mobilitatea cercetătorilor în domeniul nuclear și accesul la infrastructura științifică comună, după caz; </w:t>
      </w:r>
    </w:p>
    <w:p w14:paraId="6FC080E9" w14:textId="77777777" w:rsidR="0028437D" w:rsidRPr="00236F36" w:rsidRDefault="0028437D" w:rsidP="0028437D">
      <w:pPr>
        <w:spacing w:after="240"/>
        <w:ind w:left="567" w:hanging="567"/>
      </w:pPr>
      <w:r w:rsidRPr="00236F36">
        <w:t>140.</w:t>
      </w:r>
      <w:r w:rsidRPr="00236F36">
        <w:tab/>
        <w:t xml:space="preserve">reamintește importanța menținerii unor standarde înalte de mediu și de muncă în proiectele energetice; subliniază că se impune cooperarea în materie de reglementare pentru a se asigura că inițiativele energetice promovează convergența ascendentă în ceea ce privește drepturile lucrătorilor, sănătatea și siguranța, precum și protecția mediului; </w:t>
      </w:r>
    </w:p>
    <w:p w14:paraId="471E65E7" w14:textId="77777777" w:rsidR="0028437D" w:rsidRPr="00236F36" w:rsidRDefault="0028437D" w:rsidP="0028437D">
      <w:pPr>
        <w:pStyle w:val="NormalHanging12a"/>
        <w:rPr>
          <w:b/>
          <w:i/>
        </w:rPr>
      </w:pPr>
      <w:r w:rsidRPr="00236F36">
        <w:rPr>
          <w:b/>
          <w:i/>
        </w:rPr>
        <w:t>Transporturi</w:t>
      </w:r>
    </w:p>
    <w:p w14:paraId="7438211D" w14:textId="77777777" w:rsidR="0028437D" w:rsidRPr="00236F36" w:rsidRDefault="0028437D" w:rsidP="0028437D">
      <w:pPr>
        <w:pStyle w:val="NormalHanging12a"/>
        <w:rPr>
          <w:i/>
          <w:iCs/>
        </w:rPr>
      </w:pPr>
      <w:r w:rsidRPr="00236F36">
        <w:rPr>
          <w:i/>
        </w:rPr>
        <w:t>Observații generale</w:t>
      </w:r>
    </w:p>
    <w:p w14:paraId="285B3957" w14:textId="77777777" w:rsidR="0028437D" w:rsidRPr="00236F36" w:rsidRDefault="0028437D" w:rsidP="0028437D">
      <w:pPr>
        <w:pStyle w:val="NormalHanging12a"/>
        <w:rPr>
          <w:bCs/>
          <w:iCs/>
        </w:rPr>
      </w:pPr>
      <w:r w:rsidRPr="00236F36">
        <w:t>141.</w:t>
      </w:r>
      <w:r w:rsidRPr="00236F36">
        <w:tab/>
        <w:t>salută implementarea fără probleme a ACC UE-Regatul Unit în domeniul transporturilor și exercitarea efectivă a drepturilor acordate reciproc în acest sens, menținând conectivitatea efectivă a transporturilor de la aplicarea sa provizorie în ianuarie 2021;</w:t>
      </w:r>
    </w:p>
    <w:p w14:paraId="4EB39659" w14:textId="77777777" w:rsidR="0028437D" w:rsidRPr="00236F36" w:rsidRDefault="0028437D" w:rsidP="0028437D">
      <w:pPr>
        <w:pStyle w:val="NormalHanging12a"/>
        <w:rPr>
          <w:bCs/>
          <w:iCs/>
        </w:rPr>
      </w:pPr>
      <w:r w:rsidRPr="00236F36">
        <w:t>142.</w:t>
      </w:r>
      <w:r w:rsidRPr="00236F36">
        <w:tab/>
        <w:t xml:space="preserve">invită Comisia să continue supravegherea implementării ACC și să crească cooperarea pentru a continua integrarea piețelor Uniunii și Regatului Unit, să faciliteze mobilitatea transfrontalieră fără sincope și integrarea infrastructurii, precum și să atingă obiectivele reciproce privind clima și transportul, cu respectarea deplină a cadrului ACC, pe bază de reciprocitate și menținând condiții de concurență echitabile; </w:t>
      </w:r>
    </w:p>
    <w:p w14:paraId="5A9BA2B5" w14:textId="77777777" w:rsidR="0028437D" w:rsidRPr="00236F36" w:rsidRDefault="0028437D" w:rsidP="0028437D">
      <w:pPr>
        <w:pStyle w:val="NormalHanging12a"/>
        <w:rPr>
          <w:bCs/>
          <w:iCs/>
        </w:rPr>
      </w:pPr>
      <w:r w:rsidRPr="00236F36">
        <w:t>143.</w:t>
      </w:r>
      <w:r w:rsidRPr="00236F36">
        <w:tab/>
        <w:t xml:space="preserve">își exprimă îngrijorarea cu privire la potențialul tot mai mare de divergențe în materie de reglementare între UE și Regatul Unit, ceea ce ar putea crea bariere în calea operațiunilor de transport neîntrerupte și ar putea diminua beneficiile conectivității; subliniază mai ales necesitatea unei cooperări continue pentru viitoarele actualizări ale reglementărilor privind drepturile pasagerilor, care ar putea genera asimetrii în pragurile de compensare pentru întârzieri și în protecția călătoriilor </w:t>
      </w:r>
      <w:proofErr w:type="spellStart"/>
      <w:r w:rsidRPr="00236F36">
        <w:t>multimodale</w:t>
      </w:r>
      <w:proofErr w:type="spellEnd"/>
      <w:r w:rsidRPr="00236F36">
        <w:t xml:space="preserve">, riscând să creeze confuzie în rândul consumatorilor și subminând încrederea în serviciile transfrontaliere; </w:t>
      </w:r>
    </w:p>
    <w:p w14:paraId="1FBDD372" w14:textId="77777777" w:rsidR="0028437D" w:rsidRPr="00236F36" w:rsidRDefault="0028437D" w:rsidP="0028437D">
      <w:pPr>
        <w:pStyle w:val="NormalHanging12a"/>
        <w:rPr>
          <w:bCs/>
          <w:iCs/>
        </w:rPr>
      </w:pPr>
      <w:r w:rsidRPr="00236F36">
        <w:t>144.</w:t>
      </w:r>
      <w:r w:rsidRPr="00236F36">
        <w:tab/>
        <w:t xml:space="preserve">invită Comisia și Regatul Unit să instituie un mecanism comun de alertă rapidă (RAM) pentru perturbările transporturilor, asigurând schimbul imediat de informații despre incidentele care afectează coridoarele rețelei transeuropene de transport (TEN-T); </w:t>
      </w:r>
    </w:p>
    <w:p w14:paraId="50658026" w14:textId="77777777" w:rsidR="0028437D" w:rsidRPr="00236F36" w:rsidRDefault="0028437D" w:rsidP="0028437D">
      <w:pPr>
        <w:pStyle w:val="NormalHanging12a"/>
        <w:rPr>
          <w:bCs/>
          <w:iCs/>
        </w:rPr>
      </w:pPr>
      <w:r w:rsidRPr="00236F36">
        <w:t>145.</w:t>
      </w:r>
      <w:r w:rsidRPr="00236F36">
        <w:tab/>
        <w:t xml:space="preserve">recunoaște beneficiile de securitate ale Sistemului european de intrare/ieșire (EES), dar avertizează cu privire la potențialele perturbări ale transporturilor în perioada de </w:t>
      </w:r>
      <w:r w:rsidRPr="00236F36">
        <w:lastRenderedPageBreak/>
        <w:t xml:space="preserve">introducere a acestuia, în 2025; solicită să se acorde prioritate implementării rapide și pregătirii infrastructurilor aeroporturilor și ale porturilor precum Dover și Calais, pe lângă organizarea unor campanii de sensibilizare a pasagerilor pentru a preveni congestionarea frontierelor; constată că, începând cu 2 aprilie 2025, cetățenilor UE li s-a solicitat să obțină o autorizație electronică de călătorie (ETA) pentru a intra în Regatul Unit pentru șederi de scurtă durată, cu un cost de aproximativ 19 EUR, introducându-se astfel o nouă cerință administrativă pentru călătoriile peste Canalul Mânecii; </w:t>
      </w:r>
    </w:p>
    <w:p w14:paraId="60F2136F" w14:textId="77777777" w:rsidR="0028437D" w:rsidRPr="00236F36" w:rsidRDefault="0028437D" w:rsidP="0028437D">
      <w:pPr>
        <w:pStyle w:val="NormalHanging12a"/>
        <w:rPr>
          <w:bCs/>
          <w:iCs/>
        </w:rPr>
      </w:pPr>
      <w:r w:rsidRPr="00236F36">
        <w:t>146.</w:t>
      </w:r>
      <w:r w:rsidRPr="00236F36">
        <w:tab/>
        <w:t xml:space="preserve">recomandă o colaborare strânsă a părților în educație, formare profesională și recunoașterea calificărilor lucrătorilor din domeniul transportului, cu scopul de a combate deficitul de forță de muncă calificată pentru întreprinderi și de a sprijini mobilitatea lucrătorilor, în conformitate cu standardele sociale și de siguranță ale UE; </w:t>
      </w:r>
    </w:p>
    <w:p w14:paraId="18862742" w14:textId="77777777" w:rsidR="0003785D" w:rsidRPr="00236F36" w:rsidRDefault="0028437D" w:rsidP="0028437D">
      <w:pPr>
        <w:pStyle w:val="NormalHanging12a"/>
      </w:pPr>
      <w:r w:rsidRPr="00236F36">
        <w:t>147.</w:t>
      </w:r>
      <w:r w:rsidRPr="00236F36">
        <w:tab/>
        <w:t xml:space="preserve">subliniază importanța unui transport de mărfuri sigur și eficient între UE și Regatul Unit; reamintește, în acest sens, că șoferii vehiculelor grele de marfă se confruntă cu dificultăți din ce în ce mai mari, inclusiv din partea imigranților ilegali care încearcă să se ascundă în vehiculele lor pentru a trece ilegal frontiera și că unii șoferi de vehicule grele pentru transportul de mărfuri au fost atacați violent în apropierea portului Calais; subliniază că firmele de transport maritim din UE și șoferii de vehicule grele de marfă nu trebuie să suporte costurile și consecințele eșecurilor de securitate ale autorităților de frontieră responsabile; </w:t>
      </w:r>
    </w:p>
    <w:p w14:paraId="41E07D2A" w14:textId="7C7E68C4" w:rsidR="0028437D" w:rsidRPr="00236F36" w:rsidRDefault="0028437D" w:rsidP="0028437D">
      <w:pPr>
        <w:pStyle w:val="NormalHanging12a"/>
        <w:rPr>
          <w:i/>
          <w:iCs/>
        </w:rPr>
      </w:pPr>
      <w:r w:rsidRPr="00236F36">
        <w:rPr>
          <w:i/>
        </w:rPr>
        <w:t>Aviație</w:t>
      </w:r>
    </w:p>
    <w:p w14:paraId="5C2E870D" w14:textId="77777777" w:rsidR="0028437D" w:rsidRPr="00236F36" w:rsidRDefault="0028437D" w:rsidP="0028437D">
      <w:pPr>
        <w:pStyle w:val="NormalHanging12a"/>
        <w:rPr>
          <w:bCs/>
          <w:iCs/>
        </w:rPr>
      </w:pPr>
      <w:r w:rsidRPr="00236F36">
        <w:t>148.</w:t>
      </w:r>
      <w:r w:rsidRPr="00236F36">
        <w:tab/>
        <w:t xml:space="preserve">constată cu satisfacție tranziția lină în domeniul siguranței aviației, pe baza unei bune cooperări și a unei bune împărțiri a responsabilităților între Agenția UE pentru Siguranța Aviației (AESA) și Autoritatea Aeronautică Civilă din Regatul Unit, în special cu privire la validarea cererilor de certificare emise de fiecare dintre aceste organisme; </w:t>
      </w:r>
    </w:p>
    <w:p w14:paraId="7FFFF2E8" w14:textId="77777777" w:rsidR="0028437D" w:rsidRPr="00236F36" w:rsidRDefault="0028437D" w:rsidP="0028437D">
      <w:pPr>
        <w:pStyle w:val="NormalHanging12a"/>
        <w:rPr>
          <w:bCs/>
          <w:iCs/>
        </w:rPr>
      </w:pPr>
      <w:r w:rsidRPr="00236F36">
        <w:t>149.</w:t>
      </w:r>
      <w:r w:rsidRPr="00236F36">
        <w:tab/>
        <w:t xml:space="preserve">salută acordurile bilaterale semnate până în prezent referitoare la serviciile de transport aerian exclusiv de marfă și de pasageri, garantând o conectivitate aeriană continuă și fără sincope între UE și Regatul Unit; </w:t>
      </w:r>
    </w:p>
    <w:p w14:paraId="1916B1C8" w14:textId="77777777" w:rsidR="0028437D" w:rsidRPr="00236F36" w:rsidRDefault="0028437D" w:rsidP="0028437D">
      <w:pPr>
        <w:pStyle w:val="NormalHanging12a"/>
        <w:rPr>
          <w:bCs/>
          <w:iCs/>
        </w:rPr>
      </w:pPr>
      <w:r w:rsidRPr="00236F36">
        <w:t>150.</w:t>
      </w:r>
      <w:r w:rsidRPr="00236F36">
        <w:tab/>
        <w:t xml:space="preserve">salută discuțiile în curs din Comitetul specializat privind transportul aerian cu privire la impactul aviației asupra climei, în afara emisiilor de CO2, și solicită o coordonare susținută în materie de cercetare, monitorizare și raportare, pentru a evita viitoare discrepanțe în legislație; </w:t>
      </w:r>
    </w:p>
    <w:p w14:paraId="16AF171B" w14:textId="77777777" w:rsidR="0028437D" w:rsidRPr="00236F36" w:rsidRDefault="0028437D" w:rsidP="0028437D">
      <w:pPr>
        <w:pStyle w:val="NormalHanging12a"/>
        <w:rPr>
          <w:bCs/>
          <w:iCs/>
        </w:rPr>
      </w:pPr>
      <w:r w:rsidRPr="00236F36">
        <w:t>151.</w:t>
      </w:r>
      <w:r w:rsidRPr="00236F36">
        <w:tab/>
        <w:t xml:space="preserve">salută rolul Comitetului specializat privind transportul aerian în informarea ambelor părți despre eforturile de reglementare și promovare a combustibililor alternativi durabili (SAF) în aviație și recomandă alinierea inițiativelor cu scopul de a maximiza beneficiile în materie de sustenabilitate, promovând inovarea și sprijinind competitivitatea sectorului de aviație; </w:t>
      </w:r>
    </w:p>
    <w:p w14:paraId="56162B4B" w14:textId="77777777" w:rsidR="0028437D" w:rsidRPr="00236F36" w:rsidRDefault="0028437D" w:rsidP="0028437D">
      <w:pPr>
        <w:pStyle w:val="NormalHanging12a"/>
        <w:rPr>
          <w:bCs/>
          <w:iCs/>
        </w:rPr>
      </w:pPr>
      <w:r w:rsidRPr="00236F36">
        <w:t>152.</w:t>
      </w:r>
      <w:r w:rsidRPr="00236F36">
        <w:tab/>
        <w:t>ia act de dezbaterea în curs privind dispozițiile referitoare la închirierea de aeronave cu echipaj între UE și Regatul Unit, întrucât acesta din urmă trebuie să respecte restricțiile suplimentare aplicabile țărilor terțe și ia act de solicitările Regatului Unit de a raționaliza procedurile într-un context post-</w:t>
      </w:r>
      <w:proofErr w:type="spellStart"/>
      <w:r w:rsidRPr="00236F36">
        <w:t>Brexit</w:t>
      </w:r>
      <w:proofErr w:type="spellEnd"/>
      <w:r w:rsidRPr="00236F36">
        <w:t xml:space="preserve">, pentru a face față cererii sezoniere ridicate; </w:t>
      </w:r>
    </w:p>
    <w:p w14:paraId="2B87B6D6" w14:textId="77777777" w:rsidR="0028437D" w:rsidRPr="00236F36" w:rsidRDefault="0028437D" w:rsidP="0028437D">
      <w:pPr>
        <w:pStyle w:val="NormalHanging12a"/>
        <w:rPr>
          <w:bCs/>
          <w:iCs/>
        </w:rPr>
      </w:pPr>
      <w:r w:rsidRPr="00236F36">
        <w:lastRenderedPageBreak/>
        <w:t>153.</w:t>
      </w:r>
      <w:r w:rsidRPr="00236F36">
        <w:tab/>
        <w:t xml:space="preserve">subliniază totuși că aceste solicitări trebuie luate în considerare în contextul solicitărilor actuale de clarificare urgentă a normelor și practicilor din interiorul și din afara UE privind închirierea aeronavelor cu echipaj, inclusiv privind supravegherea și aplicarea legii, precum și creșterea eficienței serviciilor aeriene; </w:t>
      </w:r>
    </w:p>
    <w:p w14:paraId="107DFA60" w14:textId="77777777" w:rsidR="0028437D" w:rsidRPr="00236F36" w:rsidRDefault="0028437D" w:rsidP="0028437D">
      <w:pPr>
        <w:pStyle w:val="NormalHanging12a"/>
        <w:rPr>
          <w:bCs/>
          <w:iCs/>
        </w:rPr>
      </w:pPr>
      <w:r w:rsidRPr="00236F36">
        <w:t>154.</w:t>
      </w:r>
      <w:r w:rsidRPr="00236F36">
        <w:tab/>
        <w:t xml:space="preserve">recomandă, prin urmare, ca Comisia să propună </w:t>
      </w:r>
      <w:proofErr w:type="spellStart"/>
      <w:r w:rsidRPr="00236F36">
        <w:t>colegiuitorilor</w:t>
      </w:r>
      <w:proofErr w:type="spellEnd"/>
      <w:r w:rsidRPr="00236F36">
        <w:t xml:space="preserve"> revizuirea Regulamentului privind serviciile aeriene</w:t>
      </w:r>
      <w:r w:rsidRPr="00236F36">
        <w:rPr>
          <w:rStyle w:val="FootnoteReference"/>
          <w:bCs/>
          <w:iCs/>
        </w:rPr>
        <w:footnoteReference w:id="41"/>
      </w:r>
      <w:r w:rsidRPr="00236F36">
        <w:t xml:space="preserve">, clarificând normele, mecanismele de supraveghere și dispozițiile de asigurare a respectării legislației privind închirierea de aeronave cu echipaj în interiorul și în afara UE, pentru a aborda mai degrabă orice probleme ridicate în contextul ACC UE-Regatul Unit, în loc de a stabili orientări privind aspecte care nu au fost încă decise de </w:t>
      </w:r>
      <w:proofErr w:type="spellStart"/>
      <w:r w:rsidRPr="00236F36">
        <w:t>colegiuitori</w:t>
      </w:r>
      <w:proofErr w:type="spellEnd"/>
      <w:r w:rsidRPr="00236F36">
        <w:t xml:space="preserve">; </w:t>
      </w:r>
    </w:p>
    <w:p w14:paraId="4BFAE50E" w14:textId="77777777" w:rsidR="0028437D" w:rsidRPr="00236F36" w:rsidRDefault="0028437D" w:rsidP="0028437D">
      <w:pPr>
        <w:pStyle w:val="NormalHanging12a"/>
        <w:rPr>
          <w:bCs/>
          <w:iCs/>
        </w:rPr>
      </w:pPr>
      <w:r w:rsidRPr="00236F36">
        <w:t>155.</w:t>
      </w:r>
      <w:r w:rsidRPr="00236F36">
        <w:tab/>
        <w:t xml:space="preserve">subliniază că o serie de aeroporturi locale și regionale din UE operează numeroase legături cu Regatul Unit; subliniază necesitatea de a asigura disponibilitatea acestui tip de zboruri, utilizate de cetățenii UE care locuiesc și lucrează în Regatul Unit, dar și de cetățenii Regatului Unit care călătoresc în Europa ca turiști; </w:t>
      </w:r>
    </w:p>
    <w:p w14:paraId="73321C0E" w14:textId="77777777" w:rsidR="0028437D" w:rsidRPr="00236F36" w:rsidRDefault="0028437D" w:rsidP="0028437D">
      <w:pPr>
        <w:pStyle w:val="NormalHanging12a"/>
        <w:rPr>
          <w:bCs/>
          <w:iCs/>
        </w:rPr>
      </w:pPr>
      <w:r w:rsidRPr="00236F36">
        <w:t>156.</w:t>
      </w:r>
      <w:r w:rsidRPr="00236F36">
        <w:tab/>
        <w:t xml:space="preserve">recunoaște că intensificarea continuă a traficului aerian și presiunile tot mai mari asupra sistemului mondial de management al traficului aerian necesită o cooperare consolidată între UE și Regatul Unit pentru a optimiza performanța, eficiența și gestionarea spațiului aerian; salută coordonarea continuă a Regatului Unit cu </w:t>
      </w:r>
      <w:proofErr w:type="spellStart"/>
      <w:r w:rsidRPr="00236F36">
        <w:t>Eurocontrol</w:t>
      </w:r>
      <w:proofErr w:type="spellEnd"/>
      <w:r w:rsidRPr="00236F36">
        <w:t xml:space="preserve"> și încurajează explorarea unor noi căi de colaborare reciproc avantajoasă în acest sens; </w:t>
      </w:r>
    </w:p>
    <w:p w14:paraId="646B3A59" w14:textId="77777777" w:rsidR="0028437D" w:rsidRPr="00236F36" w:rsidRDefault="0028437D" w:rsidP="0028437D">
      <w:pPr>
        <w:pStyle w:val="NormalHanging12a"/>
        <w:rPr>
          <w:i/>
        </w:rPr>
      </w:pPr>
      <w:r w:rsidRPr="00236F36">
        <w:rPr>
          <w:i/>
        </w:rPr>
        <w:t>Transport rutier</w:t>
      </w:r>
    </w:p>
    <w:p w14:paraId="00AA4C84" w14:textId="77777777" w:rsidR="0028437D" w:rsidRPr="00236F36" w:rsidRDefault="0028437D" w:rsidP="0028437D">
      <w:pPr>
        <w:pStyle w:val="NormalHanging12a"/>
        <w:rPr>
          <w:bCs/>
          <w:iCs/>
        </w:rPr>
      </w:pPr>
      <w:r w:rsidRPr="00236F36">
        <w:t>157.</w:t>
      </w:r>
      <w:r w:rsidRPr="00236F36">
        <w:tab/>
        <w:t>subliniază importanța conectării Regatului Unit la Registrul european al întreprinderilor de transport rutier (ERRU) și salută angajamentul ambelor părți de a realiza progrese în schimbul de date între registrele electronice naționale privind încălcările (grave) ale normelor de transport rutier, contribuind la asigurarea efectivă a respectării normelor de transport rutier prevăzute în ACC; invită ambele părți să lucreze la un acord bilateral pentru a facilita și mai mult schimbul transfrontalier de informații în conformitate cu Directiva (UE) 2024/3237</w:t>
      </w:r>
      <w:r w:rsidRPr="00236F36">
        <w:rPr>
          <w:rStyle w:val="FootnoteReference"/>
          <w:bCs/>
          <w:iCs/>
        </w:rPr>
        <w:footnoteReference w:id="42"/>
      </w:r>
      <w:r w:rsidRPr="00236F36">
        <w:t xml:space="preserve">, pentru a îmbunătăți siguranța rutieră, protejând în același timp cerințele de protecție a datelor conducătorilor auto; </w:t>
      </w:r>
    </w:p>
    <w:p w14:paraId="204611D0" w14:textId="77777777" w:rsidR="0028437D" w:rsidRPr="00236F36" w:rsidRDefault="0028437D" w:rsidP="0028437D">
      <w:pPr>
        <w:pStyle w:val="NormalHanging12a"/>
        <w:rPr>
          <w:bCs/>
          <w:iCs/>
        </w:rPr>
      </w:pPr>
      <w:r w:rsidRPr="00236F36">
        <w:t>158.</w:t>
      </w:r>
      <w:r w:rsidRPr="00236F36">
        <w:tab/>
        <w:t xml:space="preserve">salută decizia de a utiliza tahograful inteligent de a doua generație în vehiculele nou înmatriculate din UE și din Regatul Unit, pentru a asigura un nivel ridicat continuu de siguranță rutieră și condiții de concurență echitabile, pe ambele teritorii, în domeniul transportului rutier de mărfuri; </w:t>
      </w:r>
    </w:p>
    <w:p w14:paraId="3B261256" w14:textId="77777777" w:rsidR="0028437D" w:rsidRPr="00236F36" w:rsidRDefault="0028437D" w:rsidP="0028437D">
      <w:pPr>
        <w:pStyle w:val="NormalHanging12a"/>
        <w:rPr>
          <w:i/>
        </w:rPr>
      </w:pPr>
      <w:r w:rsidRPr="00236F36">
        <w:rPr>
          <w:i/>
        </w:rPr>
        <w:t>Sectorul maritim</w:t>
      </w:r>
    </w:p>
    <w:p w14:paraId="3E9A2DF1" w14:textId="77777777" w:rsidR="0028437D" w:rsidRPr="00236F36" w:rsidRDefault="0028437D" w:rsidP="0028437D">
      <w:pPr>
        <w:pStyle w:val="NormalHanging12a"/>
        <w:rPr>
          <w:bCs/>
          <w:iCs/>
        </w:rPr>
      </w:pPr>
      <w:r w:rsidRPr="00236F36">
        <w:t>159.</w:t>
      </w:r>
      <w:r w:rsidRPr="00236F36">
        <w:tab/>
        <w:t xml:space="preserve">observă îngrijorarea legată de posibilele schimbări ale rutelor de transport maritim și ale activității către porturile din Regatul Unit pentru a evita costul emisiilor maritime în cadrul sistemului UE de comercializare a certificatelor de emisii (ETS) și îndeamnă </w:t>
      </w:r>
      <w:r w:rsidRPr="00236F36">
        <w:lastRenderedPageBreak/>
        <w:t xml:space="preserve">Comisia să monitorizeze îndeaproape activitatea portuară în porturile din Regatul Unit; salută, în acest sens, înțelegerea comună la care s-a ajuns la </w:t>
      </w:r>
      <w:proofErr w:type="spellStart"/>
      <w:r w:rsidRPr="00236F36">
        <w:t>summitul</w:t>
      </w:r>
      <w:proofErr w:type="spellEnd"/>
      <w:r w:rsidRPr="00236F36">
        <w:t xml:space="preserve"> Regatul Unit - UE de a stabili o legătură funcțională între sistemele de comercializare a certificatelor de emisii din UE și Regatul Unit, care ar trebui să includă transportul maritim și aerian, intern și internațional, subliniind importanța alinierii cadrelor de stabilire a prețului carbonului și de monitorizare pentru a menține ambiția în materie de mediu, a asigura condiții de concurență echitabile și a preveni relocarea emisiilor de dioxid de carbon și denaturările competitivității portuare, precum și pentru a proteja lucrătorii și întreprinderile portuare din UE; </w:t>
      </w:r>
    </w:p>
    <w:p w14:paraId="3BE15DA7" w14:textId="77777777" w:rsidR="0028437D" w:rsidRPr="00236F36" w:rsidRDefault="0028437D" w:rsidP="0028437D">
      <w:pPr>
        <w:pStyle w:val="NormalHanging12a"/>
        <w:rPr>
          <w:bCs/>
          <w:iCs/>
        </w:rPr>
      </w:pPr>
      <w:r w:rsidRPr="00236F36">
        <w:t>160.</w:t>
      </w:r>
      <w:r w:rsidRPr="00236F36">
        <w:tab/>
        <w:t>sprijină decizia de punere în aplicare a Comisiei</w:t>
      </w:r>
      <w:r w:rsidRPr="00236F36">
        <w:rPr>
          <w:rStyle w:val="FootnoteReference"/>
          <w:bCs/>
          <w:iCs/>
        </w:rPr>
        <w:footnoteReference w:id="43"/>
      </w:r>
      <w:r w:rsidRPr="00236F36">
        <w:t xml:space="preserve"> de a recunoaște, începând cu 11 octombrie 2022, sistemul Regatului Unit de formare și certificare a navigatorilor în temeiul Directivei (UE) 2022/993</w:t>
      </w:r>
      <w:r w:rsidRPr="00236F36">
        <w:rPr>
          <w:rStyle w:val="FootnoteReference"/>
          <w:bCs/>
          <w:iCs/>
        </w:rPr>
        <w:footnoteReference w:id="44"/>
      </w:r>
      <w:r w:rsidRPr="00236F36">
        <w:t xml:space="preserve">, după ce a stabilit că au fost îndeplinite toate cerințele de formare și certificare specificate în Convenția internațională privind standardele de pregătire a navigatorilor, brevetare/atestare și efectuare a serviciului de cart; </w:t>
      </w:r>
    </w:p>
    <w:p w14:paraId="4FD2A71C" w14:textId="77777777" w:rsidR="0028437D" w:rsidRPr="00236F36" w:rsidRDefault="0028437D" w:rsidP="0028437D">
      <w:pPr>
        <w:pStyle w:val="NormalHanging12a"/>
        <w:rPr>
          <w:i/>
        </w:rPr>
      </w:pPr>
      <w:r w:rsidRPr="00236F36">
        <w:rPr>
          <w:i/>
        </w:rPr>
        <w:t>Transport feroviar</w:t>
      </w:r>
    </w:p>
    <w:p w14:paraId="5F61B609" w14:textId="77777777" w:rsidR="0028437D" w:rsidRPr="00236F36" w:rsidRDefault="0028437D" w:rsidP="0028437D">
      <w:pPr>
        <w:pStyle w:val="NormalHanging12a"/>
        <w:rPr>
          <w:bCs/>
          <w:iCs/>
        </w:rPr>
      </w:pPr>
      <w:r w:rsidRPr="00236F36">
        <w:t>161.</w:t>
      </w:r>
      <w:r w:rsidRPr="00236F36">
        <w:tab/>
        <w:t xml:space="preserve">constată că transportul feroviar rămâne exclus din domeniul de aplicare al ACC, reflectând dependența UE și a Regatului Unit de acordurile bilaterale; salută, cu toate acestea, progresele înregistrate în ceea ce privește licențele întreprinderilor feroviare și certificarea siguranței; </w:t>
      </w:r>
    </w:p>
    <w:p w14:paraId="42916171" w14:textId="77777777" w:rsidR="0028437D" w:rsidRPr="00236F36" w:rsidRDefault="0028437D" w:rsidP="0028437D">
      <w:pPr>
        <w:pStyle w:val="NormalHanging12a"/>
        <w:rPr>
          <w:bCs/>
          <w:iCs/>
        </w:rPr>
      </w:pPr>
      <w:r w:rsidRPr="00236F36">
        <w:t>162.</w:t>
      </w:r>
      <w:r w:rsidRPr="00236F36">
        <w:tab/>
        <w:t xml:space="preserve">reamintește importanța strategică a tunelului de sub Canalul Mânecii ca legătură de infrastructură vitală între Regatul Unit și UE; constată cu îngrijorare că, în pofida progreselor bilaterale, volumul transportului feroviar de marfă și de călători prin tunelul de sub Canalul Mânecii rămâne cu mult sub previziunile inițiale din cauza costurilor ridicate, a barierelor de reglementare care afectează atât serviciile de transport de marfă, cât și cele de transport de călători, precum și a limitelor capacității infrastructurii pentru continuarea călătoriei în Regatul Unit, deoarece o mare parte din rețeaua feroviară britanică nu este în măsură să accepte containere și vagoane de marfă europene standard; </w:t>
      </w:r>
    </w:p>
    <w:p w14:paraId="5E5414A6" w14:textId="77777777" w:rsidR="0028437D" w:rsidRPr="00236F36" w:rsidRDefault="0028437D" w:rsidP="0028437D">
      <w:pPr>
        <w:pStyle w:val="NormalHanging12a"/>
        <w:rPr>
          <w:b/>
          <w:i/>
        </w:rPr>
      </w:pPr>
      <w:r w:rsidRPr="00236F36">
        <w:rPr>
          <w:b/>
          <w:i/>
        </w:rPr>
        <w:t>Pescuit</w:t>
      </w:r>
    </w:p>
    <w:p w14:paraId="5AA91405" w14:textId="77777777" w:rsidR="0028437D" w:rsidRPr="00236F36" w:rsidRDefault="0028437D" w:rsidP="0028437D">
      <w:pPr>
        <w:pStyle w:val="NormalHanging12a"/>
        <w:rPr>
          <w:i/>
          <w:iCs/>
        </w:rPr>
      </w:pPr>
      <w:r w:rsidRPr="00236F36">
        <w:rPr>
          <w:i/>
        </w:rPr>
        <w:t xml:space="preserve">Punerea în aplicare a rubricii „Pescuit” din cadrul ACC </w:t>
      </w:r>
    </w:p>
    <w:p w14:paraId="2371FD5A" w14:textId="77777777" w:rsidR="0028437D" w:rsidRPr="00236F36" w:rsidRDefault="0028437D" w:rsidP="0028437D">
      <w:pPr>
        <w:pStyle w:val="NormalHanging12a"/>
        <w:rPr>
          <w:i/>
        </w:rPr>
      </w:pPr>
      <w:r w:rsidRPr="00236F36">
        <w:t>163.</w:t>
      </w:r>
      <w:r w:rsidRPr="00236F36">
        <w:tab/>
        <w:t>ia act de rapoartele Comisiei Europene din 2023 și 2024 privind punerea în aplicare a ACC și, în special, de punctele aferente rubricii „Pescuit”;</w:t>
      </w:r>
    </w:p>
    <w:p w14:paraId="671130FF" w14:textId="77777777" w:rsidR="0028437D" w:rsidRPr="00236F36" w:rsidRDefault="0028437D" w:rsidP="0028437D">
      <w:pPr>
        <w:pStyle w:val="NormalHanging12a"/>
        <w:rPr>
          <w:bCs/>
          <w:iCs/>
        </w:rPr>
      </w:pPr>
      <w:r w:rsidRPr="00236F36">
        <w:t>164.</w:t>
      </w:r>
      <w:r w:rsidRPr="00236F36">
        <w:tab/>
        <w:t xml:space="preserve">salută îmbunătățirea cooperării dintre părți în cadrul negocierilor anuale privind capturile totale admisibile (TAC), care au condus la un acord în timp util în 2023 și </w:t>
      </w:r>
      <w:r w:rsidRPr="00236F36">
        <w:lastRenderedPageBreak/>
        <w:t xml:space="preserve">2024 care a permis evitarea aplicării TAC-urilor provizorii, asigurând astfel sectorului pescuitului vizibilitatea și previzibilitatea posibilităților de pescuit pentru anul următor; </w:t>
      </w:r>
    </w:p>
    <w:p w14:paraId="19919589" w14:textId="77777777" w:rsidR="0028437D" w:rsidRPr="00236F36" w:rsidRDefault="0028437D" w:rsidP="0028437D">
      <w:pPr>
        <w:pStyle w:val="NormalHanging12a"/>
        <w:rPr>
          <w:bCs/>
          <w:iCs/>
        </w:rPr>
      </w:pPr>
      <w:r w:rsidRPr="00236F36">
        <w:t>165.</w:t>
      </w:r>
      <w:r w:rsidRPr="00236F36">
        <w:tab/>
        <w:t xml:space="preserve">regretă instabilitatea cauzată de </w:t>
      </w:r>
      <w:proofErr w:type="spellStart"/>
      <w:r w:rsidRPr="00236F36">
        <w:t>Brexit</w:t>
      </w:r>
      <w:proofErr w:type="spellEnd"/>
      <w:r w:rsidRPr="00236F36">
        <w:t xml:space="preserve"> în relațiile internaționale în domeniul pescuitului cu statele de coastă, care îngreunează atingerea unui echilibru în modalitățile de partaj și schimb de posibilități de pescuit; constată cu îngrijorare că unele state costiere profită de această instabilitate pentru a încerca unilateral și nejustificat să-și mărească posibilitățile de pescuit, în detrimentul celor din UE; reamintește importanța respectării drepturilor de pescuit istorice; solicită o cooperare consolidată între UE și statele de coastă pentru a realiza o gestionare sustenabilă a stocurilor comune de pește și o mai mare stabilitate și previzibilitate în ceea ce privește cotele de pescuit, în special în contextul consultărilor anuale și al acordurilor trilaterale; </w:t>
      </w:r>
    </w:p>
    <w:p w14:paraId="012255A8" w14:textId="77777777" w:rsidR="0028437D" w:rsidRPr="00236F36" w:rsidRDefault="0028437D" w:rsidP="0028437D">
      <w:pPr>
        <w:pStyle w:val="NormalHanging12a"/>
        <w:rPr>
          <w:bCs/>
          <w:iCs/>
        </w:rPr>
      </w:pPr>
      <w:r w:rsidRPr="00236F36">
        <w:t>166.</w:t>
      </w:r>
      <w:r w:rsidRPr="00236F36">
        <w:tab/>
        <w:t xml:space="preserve">reamintește că Regatul Unit a introdus un sistem de licențe de pescuit de care navele UE au nevoie pentru a avea acces la apele sale; observă că acest sistem a întârziat substanțial punerea în aplicare efectivă a ACC, deoarece partea britanică a adăugat numeroase condiții prealabile pentru acordarea licențelor, penalizând mai ales navele cu o lungime mai mică de 12 metri care au pescuit în mod tradițional în apele teritoriale ale Regatului Unit, dar care au întâmpinat dificultăți în a-și dovedi prezența în apele Regatului Unit; regretă profund că această situație a condus la neeliberarea licențelor pentru numeroase nave de mici dimensiuni, ceea ce le-a forțat să se mute în alte zone sau să-și înceteze activitățile, agravând astfel situația și efectele negative cauzate de alte costuri suplimentare și sarcini birocratice asociate </w:t>
      </w:r>
      <w:proofErr w:type="spellStart"/>
      <w:r w:rsidRPr="00236F36">
        <w:t>Brexitului</w:t>
      </w:r>
      <w:proofErr w:type="spellEnd"/>
      <w:r w:rsidRPr="00236F36">
        <w:t xml:space="preserve">; regretă și că ACC a anulat Tratatul privind Golful </w:t>
      </w:r>
      <w:proofErr w:type="spellStart"/>
      <w:r w:rsidRPr="00236F36">
        <w:t>Granville</w:t>
      </w:r>
      <w:proofErr w:type="spellEnd"/>
      <w:r w:rsidRPr="00236F36">
        <w:t xml:space="preserve">, care, până la </w:t>
      </w:r>
      <w:proofErr w:type="spellStart"/>
      <w:r w:rsidRPr="00236F36">
        <w:t>Brexit</w:t>
      </w:r>
      <w:proofErr w:type="spellEnd"/>
      <w:r w:rsidRPr="00236F36">
        <w:t xml:space="preserve">, reglementa pescuitul în apele Jersey; reamintește, în cele din urmă, că problema plafonului global de licențe eliberate de Jersey nu este încă complet rezolvată, unii pescari fiind foarte nesiguri de activitățile lor de pescuit în apele teritoriale dependente ale Coroanei Britanice; </w:t>
      </w:r>
    </w:p>
    <w:p w14:paraId="1D3CB9F1" w14:textId="77777777" w:rsidR="0028437D" w:rsidRPr="00236F36" w:rsidRDefault="0028437D" w:rsidP="0028437D">
      <w:pPr>
        <w:pStyle w:val="NormalHanging12a"/>
        <w:rPr>
          <w:bCs/>
          <w:iCs/>
        </w:rPr>
      </w:pPr>
      <w:r w:rsidRPr="00236F36">
        <w:t>167.</w:t>
      </w:r>
      <w:r w:rsidRPr="00236F36">
        <w:tab/>
        <w:t>reamintește că, în conformitate cu articolul 496 din ACC, măsurile tehnice și de gestionare care pot avea un impact asupra navelor celeilalte părți trebuie notificate cu suficient timp înainte pentru a permite celeilalte părți să prezinte observații sau să solicite clarificări; subliniază că astfel de măsuri trebuie să fie proporționale, nediscriminatorii și bazate pe cele mai bune avize științifice disponibile și trebuie să țină seama de sustenabilitatea de mediu, socială și economică pe termen lung; regretă că studiile de impact nu sunt efectuate sistematic, cu participarea egală a factorilor interesați de ambele părți și cu bună credință; </w:t>
      </w:r>
    </w:p>
    <w:p w14:paraId="3DB616F6" w14:textId="77777777" w:rsidR="0028437D" w:rsidRPr="00236F36" w:rsidRDefault="0028437D" w:rsidP="0028437D">
      <w:pPr>
        <w:pStyle w:val="NormalHanging12a"/>
        <w:rPr>
          <w:bCs/>
          <w:iCs/>
        </w:rPr>
      </w:pPr>
      <w:r w:rsidRPr="00236F36">
        <w:t>168.</w:t>
      </w:r>
      <w:r w:rsidRPr="00236F36">
        <w:tab/>
        <w:t xml:space="preserve">regretă că Regatul Unit a pus în aplicare unilateral numeroase măsuri de gestionare a pescuitului, în special de natură tehnică, inclusiv interzicerea anumitor activități de pescuit, introducerea unor dimensiuni minime ale capturilor pentru anumite specii, încetarea pescuitului în zonele marine protejate (de exemplu în Dogger Bank) și crearea de parcuri eoliene, ceea ce a dus la o reducere drastică a accesului navelor UE la zonele de pescuit și la resursele Regatului Unit, în special în zona de 6-12 mile marine; regretă că aceste măsuri, ca și cele din domeniul social, au un impact mai mare asupra navelor UE decât asupra navelor britanice, antrenând repercusiuni socioeconomice asupra industriei pescuitului din UE și, în special, asupra micilor pescari; este îngrijorat că acest tip de măsură ar putea, în final, să excludă navele UE din întregi zone de pescuit, punând sub semnul întrebării drepturile de pescuit ale UE în apele britanice; </w:t>
      </w:r>
    </w:p>
    <w:p w14:paraId="0D9BBA7E" w14:textId="77777777" w:rsidR="0028437D" w:rsidRPr="00236F36" w:rsidRDefault="0028437D" w:rsidP="0028437D">
      <w:pPr>
        <w:pStyle w:val="NormalHanging12a"/>
        <w:rPr>
          <w:bCs/>
          <w:iCs/>
        </w:rPr>
      </w:pPr>
      <w:r w:rsidRPr="00236F36">
        <w:t>169.</w:t>
      </w:r>
      <w:r w:rsidRPr="00236F36">
        <w:tab/>
        <w:t xml:space="preserve">invită Comisia să efectueze evaluări cuprinzătoare și sistematice ale impactului social, economic și de mediu al acestor măsuri, inclusiv în teritoriile dependente ale Coroanei Britanice, pentru a stabili dacă sunt proporționale și nediscriminatorii și, după caz, să </w:t>
      </w:r>
      <w:r w:rsidRPr="00236F36">
        <w:lastRenderedPageBreak/>
        <w:t>reacționeze ferm și să utilizeze mecanismul de soluționare a litigiilor sau măsurile de retorsiune prevăzute în ACC, inclusiv măsuri compensatorii, cum ar fi suspendarea tratamentului tarifar preferențial acordat produselor pescărești, precum și toate celelalte mijloace politice și diplomatice de care dispune; </w:t>
      </w:r>
    </w:p>
    <w:p w14:paraId="2A4E2AC6" w14:textId="77777777" w:rsidR="0028437D" w:rsidRPr="00236F36" w:rsidRDefault="0028437D" w:rsidP="0028437D">
      <w:pPr>
        <w:pStyle w:val="NormalHanging12a"/>
        <w:rPr>
          <w:bCs/>
          <w:iCs/>
        </w:rPr>
      </w:pPr>
      <w:r w:rsidRPr="00236F36">
        <w:t>170.</w:t>
      </w:r>
      <w:r w:rsidRPr="00236F36">
        <w:tab/>
        <w:t xml:space="preserve">salută, în acest sens, decizia finală a Tribunalului de arbitraj din 28 aprilie 2025 în litigiul dintre UE și Regatul Unit privind decizia de a închide pescuitul de </w:t>
      </w:r>
      <w:proofErr w:type="spellStart"/>
      <w:r w:rsidRPr="00236F36">
        <w:t>uvă</w:t>
      </w:r>
      <w:proofErr w:type="spellEnd"/>
      <w:r w:rsidRPr="00236F36">
        <w:t xml:space="preserve"> în apele engleze din Marea Nordului și în apele scoțiene; observă că, în acest caz specific, Tribunalul a considerat că nu a existat nicio încălcare a principiului nediscriminării și că măsura a fost fundamentată științific; subliniază că Tribunalul a constatat că interzicerea pescuitului de </w:t>
      </w:r>
      <w:proofErr w:type="spellStart"/>
      <w:r w:rsidRPr="00236F36">
        <w:t>uvă</w:t>
      </w:r>
      <w:proofErr w:type="spellEnd"/>
      <w:r w:rsidRPr="00236F36">
        <w:t xml:space="preserve"> în apele engleze încalcă principiul proporționalității prevăzut în ACC și că Regatul Unit nu și-a îndeplinit obligația de a acorda acces deplin la apele sale pentru pescuitul de </w:t>
      </w:r>
      <w:proofErr w:type="spellStart"/>
      <w:r w:rsidRPr="00236F36">
        <w:t>uvă</w:t>
      </w:r>
      <w:proofErr w:type="spellEnd"/>
      <w:r w:rsidRPr="00236F36">
        <w:t xml:space="preserve">; reamintește că Regatul Unit este obligat să ia măsurile necesare pentru a se conforma hotărârii Tribunalului de Arbitraj; consideră că această decizie stabilește un precedent juridic important pentru protejarea drepturilor de pescuit ale UE și pentru a răspunde la viitoarele măsuri similare luate de Regatul Unit; invită Comisia să continue să monitorizeze îndeaproape măsurile unilaterale luate de Regatul Unit pentru a asigura respectarea ACC; </w:t>
      </w:r>
    </w:p>
    <w:p w14:paraId="13CBADD9" w14:textId="77777777" w:rsidR="0028437D" w:rsidRPr="00236F36" w:rsidRDefault="0028437D" w:rsidP="0028437D">
      <w:pPr>
        <w:pStyle w:val="NormalHanging12a"/>
        <w:rPr>
          <w:bCs/>
          <w:iCs/>
        </w:rPr>
      </w:pPr>
      <w:r w:rsidRPr="00236F36">
        <w:t>171.</w:t>
      </w:r>
      <w:r w:rsidRPr="00236F36">
        <w:tab/>
        <w:t xml:space="preserve">este îngrijorat că măsurile unilaterale au un efect în lanț asupra viabilității economice și sociale a sectorului pescuitului și a lanțului său valoric din UE; </w:t>
      </w:r>
      <w:bookmarkStart w:id="22" w:name="_Hlk204088230"/>
      <w:r w:rsidRPr="00236F36">
        <w:t>își exprimă, de asemenea, îngrijorarea cu privire la faptul că restricționarea accesului la apele Regatului Unit duce la un transfer al efortului de pescuit către Canalul Mânecii și Marea Nordului, cu o presiune sporită asupra speciilor TAC și a speciilor care nu fac obiectul TAC;</w:t>
      </w:r>
      <w:bookmarkEnd w:id="22"/>
      <w:r w:rsidRPr="00236F36">
        <w:t xml:space="preserve"> subliniază că utilizarea sporită a apelor UE are consecințe asupra securității și gestionării spațiului maritim, dar și în ceea ce privește accesul la resurse, în special pentru pescuitul la scară mică, punând sub semnul întrebării sustenabilitatea socială, economică și de mediu a activităților de pescuit; </w:t>
      </w:r>
    </w:p>
    <w:p w14:paraId="07D90EFD" w14:textId="77777777" w:rsidR="0028437D" w:rsidRPr="00236F36" w:rsidRDefault="0028437D" w:rsidP="0028437D">
      <w:pPr>
        <w:pStyle w:val="NormalHanging12a"/>
        <w:rPr>
          <w:bCs/>
          <w:iCs/>
        </w:rPr>
      </w:pPr>
      <w:r w:rsidRPr="00236F36">
        <w:t>172.</w:t>
      </w:r>
      <w:r w:rsidRPr="00236F36">
        <w:tab/>
        <w:t xml:space="preserve">solicită ambelor părți să abordeze rapid presiunea tot mai mare din Canalul Mânecii și Marea Nordului, propunând un plan regional de gestionare pentru a garanta exploatarea sustenabilă a resurselor și gestionarea multianuală a pescuitului; reamintește Comisiei, în acest context, normele planului multianual pentru Marea Nordului, care acoperă și aceste ape, și consideră că normele ar trebui adaptate, dacă este necesar, cu scopul de a alinia eventualele discrepanțe și a asigura claritatea juridică pentru operatori și statele membre; </w:t>
      </w:r>
    </w:p>
    <w:p w14:paraId="2D20B962" w14:textId="77777777" w:rsidR="0028437D" w:rsidRPr="00236F36" w:rsidRDefault="0028437D" w:rsidP="0028437D">
      <w:pPr>
        <w:pStyle w:val="NormalHanging12a"/>
        <w:rPr>
          <w:i/>
          <w:iCs/>
        </w:rPr>
      </w:pPr>
      <w:r w:rsidRPr="00236F36">
        <w:rPr>
          <w:i/>
        </w:rPr>
        <w:t xml:space="preserve">Sfârșitul perioadei de adaptare </w:t>
      </w:r>
    </w:p>
    <w:p w14:paraId="5B74A44A" w14:textId="77777777" w:rsidR="0028437D" w:rsidRPr="00236F36" w:rsidRDefault="0028437D" w:rsidP="0028437D">
      <w:pPr>
        <w:pStyle w:val="NormalHanging12a"/>
        <w:rPr>
          <w:bCs/>
          <w:iCs/>
        </w:rPr>
      </w:pPr>
      <w:r w:rsidRPr="00236F36">
        <w:t>173.</w:t>
      </w:r>
      <w:r w:rsidRPr="00236F36">
        <w:tab/>
        <w:t xml:space="preserve">invită ambele părți să respecte principiul prevăzut la articolul 500 intitulat „Accesul la ape”, pentru a asigura un echilibru reciproc satisfăcător între interesele lor respective; reamintește că accesul la ape, inclusiv la zona cuprinsă între 6 și 12 mile marine, trebuie să fie reciproc și proporțional cu TAC sau cu nivelurile medii de captură ale celeilalte părți; invită Comisia să pună în aplicare pe deplin acest articol și să elaboreze, în Comitetul specializat privind pescuitul, orientările necesare pentru a facilita aplicarea sa practică; </w:t>
      </w:r>
    </w:p>
    <w:p w14:paraId="24CF93DC" w14:textId="77777777" w:rsidR="0028437D" w:rsidRPr="00236F36" w:rsidRDefault="0028437D" w:rsidP="0028437D">
      <w:pPr>
        <w:pStyle w:val="NormalHanging12a"/>
        <w:rPr>
          <w:bCs/>
          <w:iCs/>
        </w:rPr>
      </w:pPr>
      <w:r w:rsidRPr="00236F36">
        <w:t>174.</w:t>
      </w:r>
      <w:r w:rsidRPr="00236F36">
        <w:tab/>
        <w:t xml:space="preserve">subliniază că ACC prevede o clauză de revizuire în 2030 pentru a consolida și a codifica modalitățile de punere în aplicare a ACC, luând în considerare faptul că această clauză nu poate fi utilizată pentru a reduce accesul la ape; solicită, în acest sens, Comisiei să depună toate eforturile pentru a asigura un acces previzibil, continuu și sporit la ape în următorii ani; </w:t>
      </w:r>
    </w:p>
    <w:p w14:paraId="4A6824C1" w14:textId="77777777" w:rsidR="0028437D" w:rsidRPr="00236F36" w:rsidRDefault="0028437D" w:rsidP="0028437D">
      <w:pPr>
        <w:pStyle w:val="NormalHanging12a"/>
      </w:pPr>
      <w:r w:rsidRPr="00236F36">
        <w:lastRenderedPageBreak/>
        <w:t>175.</w:t>
      </w:r>
      <w:r w:rsidRPr="00236F36">
        <w:tab/>
      </w:r>
      <w:bookmarkStart w:id="23" w:name="_Hlk210921900"/>
      <w:r w:rsidRPr="00236F36">
        <w:t xml:space="preserve">subliniază importanța unui acord echitabil și durabil în domeniul pescuitului între UE și Regatul Unit; salută acordul politic la care au ajuns UE și Regatul Unit la 19 mai 2025, în special reînnoirea accesului reciproc, stabil și continuu la ape până la 30 iunie 2038, asigurând stabilitatea comunităților de pescari; salută faptul că pescuitul a jucat un rol important în aceste negocieri recente; încurajează ambele părți să mențină o abordare pragmatică și reciproc avantajoasă în negocierile viitoare; </w:t>
      </w:r>
      <w:bookmarkEnd w:id="23"/>
    </w:p>
    <w:p w14:paraId="1856E50B" w14:textId="77777777" w:rsidR="0028437D" w:rsidRPr="00236F36" w:rsidRDefault="0028437D" w:rsidP="0028437D">
      <w:pPr>
        <w:pStyle w:val="NormalHanging12a"/>
      </w:pPr>
      <w:r w:rsidRPr="00236F36">
        <w:t>176.</w:t>
      </w:r>
      <w:r w:rsidRPr="00236F36">
        <w:tab/>
        <w:t>salută oficializarea acordului politic de către Comitetul specializat privind pescuitul; invită Comisia să dea dovadă de vigilență în punerea în aplicare a acestui nou acord, inclusiv în ceea ce privește accesul la zona de 6-12 mile marine, mai ales pentru navele franceze de mici dimensiuni și de coastă; subliniază că se impun o monitorizare și o aplicare solide pentru a sprijini angajamentele comune, a proteja ecosistemele marine și a asigura mijloacele de subzistență ale pescarilor din UE și ale celor care trăiesc în comunitățile costiere;</w:t>
      </w:r>
    </w:p>
    <w:p w14:paraId="589DA42C" w14:textId="77777777" w:rsidR="0028437D" w:rsidRPr="00236F36" w:rsidRDefault="0028437D" w:rsidP="0028437D">
      <w:pPr>
        <w:pStyle w:val="NormalHanging12a"/>
      </w:pPr>
      <w:r w:rsidRPr="00236F36">
        <w:t>177.</w:t>
      </w:r>
      <w:r w:rsidRPr="00236F36">
        <w:tab/>
        <w:t xml:space="preserve">reafirmă că accesul reciproc și continuu la ape și la resursele piscicole trebuie menținut ca parte esențială a relațiilor dintre UE și Regatul Unit și, prin urmare, trebuie abordat împreună cu alte părți ale ACC, cum ar fi comerțul, accesul la piața internă a produselor pescărești și cooperarea în domeniul energiei; </w:t>
      </w:r>
    </w:p>
    <w:p w14:paraId="32B00945" w14:textId="6826E640" w:rsidR="0028437D" w:rsidRPr="00236F36" w:rsidRDefault="0028437D" w:rsidP="0028437D">
      <w:pPr>
        <w:pStyle w:val="NormalHanging12a"/>
      </w:pPr>
      <w:r w:rsidRPr="00236F36">
        <w:t>178.</w:t>
      </w:r>
      <w:r w:rsidRPr="00236F36">
        <w:tab/>
        <w:t>observă că ACC a prevăzut o scădere treptată cu 25</w:t>
      </w:r>
      <w:r w:rsidR="00B674BF" w:rsidRPr="00236F36">
        <w:t> </w:t>
      </w:r>
      <w:r w:rsidRPr="00236F36">
        <w:t xml:space="preserve">% a TAC-urilor UE în apele Regatului Unit în cursul perioadei de tranziție până la sfârșitul anului 2026; subliniază că această reducere a fost un sacrificiu uriaș pentru pescarii din UE și a avut un impact considerabil asupra pescuitului din UE, ceea ce a dus la planuri de ieșire din flotă și la pierderi de nave; salută faptul că, după 2026, posibilitățile de pescuit vor fi menținute cel puțin la acest nivel și nu vor fi puse sub semnul întrebării; </w:t>
      </w:r>
    </w:p>
    <w:p w14:paraId="26607B61" w14:textId="77777777" w:rsidR="0028437D" w:rsidRPr="00236F36" w:rsidRDefault="0028437D" w:rsidP="0028437D">
      <w:pPr>
        <w:pStyle w:val="NormalHanging12a"/>
      </w:pPr>
      <w:r w:rsidRPr="00236F36">
        <w:t>179.</w:t>
      </w:r>
      <w:r w:rsidRPr="00236F36">
        <w:tab/>
        <w:t xml:space="preserve">regretă lipsa datelor sau a studiilor privind impactul </w:t>
      </w:r>
      <w:proofErr w:type="spellStart"/>
      <w:r w:rsidRPr="00236F36">
        <w:t>Brexitului</w:t>
      </w:r>
      <w:proofErr w:type="spellEnd"/>
      <w:r w:rsidRPr="00236F36">
        <w:t xml:space="preserve"> asupra sectorului pescuitului; invită Comisia să realizeze o evaluare completă a repercusiunilor perioadei de ajustare asupra întregului lanț valoric al sectorului pescuitului din UE; </w:t>
      </w:r>
    </w:p>
    <w:p w14:paraId="5E69ED83" w14:textId="77777777" w:rsidR="0028437D" w:rsidRPr="00236F36" w:rsidRDefault="0028437D" w:rsidP="0028437D">
      <w:pPr>
        <w:pStyle w:val="NormalHanging12a"/>
      </w:pPr>
      <w:r w:rsidRPr="00236F36">
        <w:t>180.</w:t>
      </w:r>
      <w:r w:rsidRPr="00236F36">
        <w:tab/>
        <w:t xml:space="preserve">subliniază că ACC prevede posibilitatea de a lua în considerare elaborarea unor strategii multianuale pentru conservarea și gestionarea TAC-urilor și a stocurilor care nu fac obiectul cotelor; solicită ambelor părți să depună eforturi pentru o mai mare stabilitate și previzibilitate a cotelor de pescuit și să asigure gestionarea sustenabilă a stocurilor din Marea Nordului și Atlanticul de Nord-Est pentru sectoarele de pescuit ale ambelor părți; </w:t>
      </w:r>
    </w:p>
    <w:p w14:paraId="20C99A0D" w14:textId="77777777" w:rsidR="0028437D" w:rsidRPr="00236F36" w:rsidRDefault="0028437D" w:rsidP="0028437D">
      <w:pPr>
        <w:pStyle w:val="NormalHanging12a"/>
        <w:rPr>
          <w:i/>
          <w:iCs/>
        </w:rPr>
      </w:pPr>
      <w:r w:rsidRPr="00236F36">
        <w:rPr>
          <w:i/>
        </w:rPr>
        <w:t xml:space="preserve">Guvernanța și cooperarea în domeniul pescuitului dintre UE și Regatul Unit </w:t>
      </w:r>
    </w:p>
    <w:p w14:paraId="7127A7EE" w14:textId="77777777" w:rsidR="0028437D" w:rsidRPr="00236F36" w:rsidRDefault="0028437D" w:rsidP="0028437D">
      <w:pPr>
        <w:pStyle w:val="NormalHanging12a"/>
        <w:rPr>
          <w:bCs/>
          <w:iCs/>
        </w:rPr>
      </w:pPr>
      <w:r w:rsidRPr="00236F36">
        <w:t>181.</w:t>
      </w:r>
      <w:r w:rsidRPr="00236F36">
        <w:tab/>
        <w:t xml:space="preserve">subliniază importanța unei cooperări mai strânse și mai stricte între UE și Regatul Unit, nu numai în domeniile pescuitului și gestionării zonelor marine protejate, ci, în general, în privința amenajării spațiului maritim, precum și în materie de măsuri tehnice, de control, vamale și sanitare care implică toate organismele, inclusiv Comitetul specializat privind pescuitul; invită ambele părți să îmbunătățească funcționarea și transparența acestor organisme de guvernanță prin garantarea faptului că măsurile fac obiectul unor discuții prealabile, care ar trebui să aibă la bază considerații științifice și socioeconomice solide și nu ar trebui să fie nici discriminatorii, nici susceptibile de a împiedica actorii în cauză să atingă cotele care le-au fost alocate; </w:t>
      </w:r>
    </w:p>
    <w:p w14:paraId="1962530B" w14:textId="77777777" w:rsidR="0028437D" w:rsidRPr="00236F36" w:rsidRDefault="0028437D" w:rsidP="0028437D">
      <w:pPr>
        <w:pStyle w:val="NormalHanging12a"/>
        <w:rPr>
          <w:bCs/>
          <w:iCs/>
        </w:rPr>
      </w:pPr>
      <w:r w:rsidRPr="00236F36">
        <w:t>182.</w:t>
      </w:r>
      <w:r w:rsidRPr="00236F36">
        <w:tab/>
        <w:t xml:space="preserve">invită Comisia să acorde o atenție deosebită respectării acestor condiții convenite și să răspundă cu fermitate dacă Regatul Unit acționează în mod discriminatoriu; încurajează, de asemenea, Comisia, în cadrul Comitetului specializat privind pescuitul, să adapteze </w:t>
      </w:r>
      <w:r w:rsidRPr="00236F36">
        <w:lastRenderedPageBreak/>
        <w:t xml:space="preserve">constrângerile vamale, sanitare și de control pentru debarcările efectuate de navele uneia dintre părți pe teritoriul celeilalte părți, de exemplu prin instituirea unui plan de control comun între Regatul Unit și statele membre individuale, cu condiția să se ofere garanții echivalente de trasabilitate și conformitate a produselor pescărești; subliniază necesitatea de a securiza circuitele logistice atât pentru importuri, cât și pentru exporturi, prin eliminarea obstacolelor legate de absența controalelor sanitare și vamale în anumite porturi; </w:t>
      </w:r>
    </w:p>
    <w:p w14:paraId="6C1890F4" w14:textId="77777777" w:rsidR="0028437D" w:rsidRPr="00236F36" w:rsidRDefault="0028437D" w:rsidP="0028437D">
      <w:pPr>
        <w:pStyle w:val="NormalHanging12a"/>
        <w:rPr>
          <w:bCs/>
          <w:iCs/>
        </w:rPr>
      </w:pPr>
      <w:r w:rsidRPr="00236F36">
        <w:t>183.</w:t>
      </w:r>
      <w:r w:rsidRPr="00236F36">
        <w:tab/>
        <w:t xml:space="preserve">își exprimă îngrijorarea crescândă cu privire la numărul tot mai mare de încălcări comise de navele Regatului Unit în apele UE; invită autoritățile statelor membre să consolideze capacitățile de supraveghere maritimă, să intensifice controalele și să aplice sancțiuni adecvate; </w:t>
      </w:r>
    </w:p>
    <w:p w14:paraId="057DD72E" w14:textId="77777777" w:rsidR="0028437D" w:rsidRPr="00236F36" w:rsidRDefault="0028437D" w:rsidP="0028437D">
      <w:pPr>
        <w:pStyle w:val="NormalHanging12a"/>
        <w:rPr>
          <w:bCs/>
          <w:iCs/>
        </w:rPr>
      </w:pPr>
      <w:r w:rsidRPr="00236F36">
        <w:t>184.</w:t>
      </w:r>
      <w:r w:rsidRPr="00236F36">
        <w:tab/>
        <w:t xml:space="preserve">solicită părților să asigure coerența, compatibilitatea și interoperabilitatea măsurilor lor de control, inclusiv a sistemelor existente de monitorizare electronică de la distanță și de camere video pentru a nu adăuga o sarcină administrativă sau financiară excesivă și pentru ca sistemele să nu difere în mod nerezonabil unul față de celălalt; reafirmă că ambele părți ar trebui să poarte un dialog strâns cu reprezentanții sectorului înainte de adoptarea acestor măsuri; </w:t>
      </w:r>
    </w:p>
    <w:p w14:paraId="47B4C0F9" w14:textId="77777777" w:rsidR="0028437D" w:rsidRPr="00236F36" w:rsidRDefault="0028437D" w:rsidP="0028437D">
      <w:pPr>
        <w:pStyle w:val="NormalHanging12a"/>
        <w:rPr>
          <w:bCs/>
          <w:iCs/>
        </w:rPr>
      </w:pPr>
      <w:r w:rsidRPr="00236F36">
        <w:t>185.</w:t>
      </w:r>
      <w:r w:rsidRPr="00236F36">
        <w:tab/>
        <w:t xml:space="preserve">observă că, de la intrarea în vigoare a ACC, Comitetul specializat privind pescuitul s-a reunit de nouă ori; regretă, cu toate acestea, lipsa de transparență și de responsabilitate a acestui organism; solicită ca membrii Comisiei pentru pescuit a Parlamentului să fie implicați și invitați să participe la reuniuni pentru a permite un control adecvat și ca procesele-verbale și documentele aferente reuniunilor să fie comunicate cât mai curând posibil; </w:t>
      </w:r>
    </w:p>
    <w:p w14:paraId="7C5BF24F" w14:textId="77777777" w:rsidR="0028437D" w:rsidRPr="00236F36" w:rsidRDefault="0028437D" w:rsidP="0028437D">
      <w:pPr>
        <w:pStyle w:val="NormalHanging12a"/>
        <w:rPr>
          <w:bCs/>
          <w:iCs/>
        </w:rPr>
      </w:pPr>
      <w:r w:rsidRPr="00236F36">
        <w:t>186.</w:t>
      </w:r>
      <w:r w:rsidRPr="00236F36">
        <w:tab/>
        <w:t xml:space="preserve">solicită UE și Regatului Unit să-și intensifice eforturile de promovare a conservării și exploatării sustenabile a resurselor piscicole, să intensifice cooperarea și schimburile de bune practici pentru a îmbunătăți selectivitatea și a reduce impactul anumitor practici de pescuit, precum și să pună în aplicare pe deplin abordarea </w:t>
      </w:r>
      <w:proofErr w:type="spellStart"/>
      <w:r w:rsidRPr="00236F36">
        <w:t>ecosistemică</w:t>
      </w:r>
      <w:proofErr w:type="spellEnd"/>
      <w:r w:rsidRPr="00236F36">
        <w:t xml:space="preserve">; </w:t>
      </w:r>
    </w:p>
    <w:p w14:paraId="6E6BC971" w14:textId="77777777" w:rsidR="0028437D" w:rsidRPr="00236F36" w:rsidRDefault="0028437D" w:rsidP="0028437D">
      <w:pPr>
        <w:pStyle w:val="NormalHanging12a"/>
        <w:rPr>
          <w:bCs/>
          <w:iCs/>
        </w:rPr>
      </w:pPr>
      <w:r w:rsidRPr="00236F36">
        <w:t>187.</w:t>
      </w:r>
      <w:r w:rsidRPr="00236F36">
        <w:tab/>
        <w:t xml:space="preserve">solicită ambelor părți să își consolideze cooperarea și coordonarea la nivel internațional, în cadrul organizației regionale de gestionare a pescuitului sau cu statele de coastă, pentru gestionarea comună a stocurilor de pește; subliniază că UE și Regatul Unit trebuie să-și intensifice cooperarea în lupta împotriva pescuitului ilegal, nedeclarat și nereglementat și să sprijine acțiunile necesare pentru eradicarea acestuia, în toate forurile internaționale, acordând o atenție deosebită consolidării normelor privind transparența și trasabilitatea produselor pescărești importate; </w:t>
      </w:r>
    </w:p>
    <w:p w14:paraId="381BE0EC" w14:textId="77777777" w:rsidR="0028437D" w:rsidRPr="00236F36" w:rsidRDefault="0028437D" w:rsidP="0028437D">
      <w:pPr>
        <w:pStyle w:val="NormalHanging12a"/>
        <w:rPr>
          <w:bCs/>
          <w:iCs/>
        </w:rPr>
      </w:pPr>
      <w:r w:rsidRPr="00236F36">
        <w:t>188.</w:t>
      </w:r>
      <w:r w:rsidRPr="00236F36">
        <w:tab/>
        <w:t xml:space="preserve">reamintește ambelor părți necesitatea unei cooperări mai strânse în acțiunile lor de amenajare a spațiului maritim, în special în contextul conflictelor dintre proiectele de parcuri eoliene </w:t>
      </w:r>
      <w:proofErr w:type="spellStart"/>
      <w:r w:rsidRPr="00236F36">
        <w:t>offshore</w:t>
      </w:r>
      <w:proofErr w:type="spellEnd"/>
      <w:r w:rsidRPr="00236F36">
        <w:t xml:space="preserve"> și obiectivele de conservare sau cu sectorul pescuitului; solicită o abordare a utilizării spațiului maritim care să păstreze un echilibru între toate interesele, ținând seama de dimensiunile de mediu, economice și sociale, asigurând coerența și echitatea între sectoare; </w:t>
      </w:r>
    </w:p>
    <w:p w14:paraId="209094BA" w14:textId="77777777" w:rsidR="0028437D" w:rsidRPr="00236F36" w:rsidRDefault="0028437D" w:rsidP="0028437D">
      <w:pPr>
        <w:pStyle w:val="NormalHanging12a"/>
        <w:rPr>
          <w:bCs/>
          <w:iCs/>
        </w:rPr>
      </w:pPr>
      <w:r w:rsidRPr="00236F36">
        <w:t>189.</w:t>
      </w:r>
      <w:r w:rsidRPr="00236F36">
        <w:tab/>
        <w:t xml:space="preserve">solicită ambelor părți să depună eforturi comune pentru a promova cercetarea științifică și pentru a face schimb de bune practici în vederea identificării și îndepărtării muniției de pe fundul mării; </w:t>
      </w:r>
    </w:p>
    <w:p w14:paraId="65A678FD" w14:textId="77777777" w:rsidR="0028437D" w:rsidRPr="00236F36" w:rsidRDefault="0028437D" w:rsidP="0028437D">
      <w:pPr>
        <w:pStyle w:val="NormalHanging12a"/>
        <w:rPr>
          <w:bCs/>
          <w:iCs/>
        </w:rPr>
      </w:pPr>
      <w:r w:rsidRPr="00236F36">
        <w:lastRenderedPageBreak/>
        <w:t>190.</w:t>
      </w:r>
      <w:r w:rsidRPr="00236F36">
        <w:tab/>
      </w:r>
      <w:bookmarkStart w:id="24" w:name="_Hlk204088509"/>
      <w:r w:rsidRPr="00236F36">
        <w:t>solicită tuturor părților</w:t>
      </w:r>
      <w:bookmarkEnd w:id="24"/>
      <w:r w:rsidRPr="00236F36">
        <w:t xml:space="preserve"> să se asigure că eliberarea de licențe și autorizații care permit navelor UE să pescuiască în apele dependente ale Regatului Unit și ale Coroanei Britanice se efectuează fără obstacole administrative, fiscale sau financiare; </w:t>
      </w:r>
    </w:p>
    <w:p w14:paraId="3E7C5E72" w14:textId="77777777" w:rsidR="0028437D" w:rsidRPr="00236F36" w:rsidRDefault="0028437D" w:rsidP="0028437D">
      <w:pPr>
        <w:pStyle w:val="NormalHanging12a"/>
        <w:rPr>
          <w:bCs/>
          <w:iCs/>
        </w:rPr>
      </w:pPr>
      <w:r w:rsidRPr="00236F36">
        <w:t>191.</w:t>
      </w:r>
      <w:r w:rsidRPr="00236F36">
        <w:tab/>
        <w:t xml:space="preserve">invită Comisia, având în vedere situația specifică a insulelor Canalului, să faciliteze colaborarea dintre părți prin legături mai bune între dialogul regional și organul cvadripartit; solicită părților să implice reprezentanți ai sectorului pescuitului, toate părțile interesate relevante și autoritățile locale și regionale și să promoveze modelul de gestionare în comun a pescuitului; </w:t>
      </w:r>
    </w:p>
    <w:p w14:paraId="444021C4" w14:textId="77777777" w:rsidR="0028437D" w:rsidRPr="00236F36" w:rsidRDefault="0028437D" w:rsidP="0028437D">
      <w:pPr>
        <w:pStyle w:val="NormalHanging12a"/>
        <w:rPr>
          <w:bCs/>
          <w:iCs/>
        </w:rPr>
      </w:pPr>
      <w:r w:rsidRPr="00236F36">
        <w:t>192.</w:t>
      </w:r>
      <w:r w:rsidRPr="00236F36">
        <w:tab/>
        <w:t xml:space="preserve">reamintește că rezerva de ajustare la </w:t>
      </w:r>
      <w:proofErr w:type="spellStart"/>
      <w:r w:rsidRPr="00236F36">
        <w:t>Brexit</w:t>
      </w:r>
      <w:proofErr w:type="spellEnd"/>
      <w:r w:rsidRPr="00236F36">
        <w:t xml:space="preserve"> (RAB) a fost instituită pentru a aborda consecințele economice, sociale, teritoriale și de mediu ale </w:t>
      </w:r>
      <w:proofErr w:type="spellStart"/>
      <w:r w:rsidRPr="00236F36">
        <w:t>Brexitului</w:t>
      </w:r>
      <w:proofErr w:type="spellEnd"/>
      <w:r w:rsidRPr="00236F36">
        <w:t xml:space="preserve">; reamintește că acest fond în valoare de 5,4 miliarde EUR a fost destinat să aducă beneficii sectorului pescuitului, inclusiv pescuitului la scară mică, care a fost afectat în mod disproporționat de </w:t>
      </w:r>
      <w:proofErr w:type="spellStart"/>
      <w:r w:rsidRPr="00236F36">
        <w:t>Brexit</w:t>
      </w:r>
      <w:proofErr w:type="spellEnd"/>
      <w:r w:rsidRPr="00236F36">
        <w:t xml:space="preserve">; reamintește că Regulamentul privind rezerva de ajustare la </w:t>
      </w:r>
      <w:proofErr w:type="spellStart"/>
      <w:r w:rsidRPr="00236F36">
        <w:t>Brexit</w:t>
      </w:r>
      <w:proofErr w:type="spellEnd"/>
      <w:r w:rsidRPr="00236F36">
        <w:t xml:space="preserve"> impunea Comisiei să informeze Parlamentul și Consiliul cu privire la stadiul procesului de punere în aplicare până în iunie 2024; regretă că, până în prezent, Comisia nu a furnizat nicio informație despre această chestiune; solicită ca, înainte de sfârșitul anului 2025, Parlamentul și Consiliul să fie informate despre stadiul procesului de punere în aplicare a RAB; </w:t>
      </w:r>
    </w:p>
    <w:p w14:paraId="6B5C3AAF" w14:textId="77777777" w:rsidR="0028437D" w:rsidRPr="00236F36" w:rsidRDefault="0028437D" w:rsidP="0028437D">
      <w:pPr>
        <w:pStyle w:val="NormalHanging12a"/>
        <w:rPr>
          <w:b/>
          <w:i/>
        </w:rPr>
      </w:pPr>
      <w:r w:rsidRPr="00236F36">
        <w:rPr>
          <w:b/>
          <w:i/>
        </w:rPr>
        <w:t>Coordonarea sistemelor de securitate socială</w:t>
      </w:r>
    </w:p>
    <w:p w14:paraId="4C444DA6" w14:textId="77777777" w:rsidR="0028437D" w:rsidRPr="00236F36" w:rsidRDefault="0028437D" w:rsidP="0028437D">
      <w:pPr>
        <w:pStyle w:val="NormalHanging12a"/>
        <w:rPr>
          <w:szCs w:val="24"/>
        </w:rPr>
      </w:pPr>
      <w:r w:rsidRPr="00236F36">
        <w:t>193.</w:t>
      </w:r>
      <w:r w:rsidRPr="00236F36">
        <w:tab/>
        <w:t>salută evaluarea Comisiei potrivit căreia cooperarea dintre UE și Regatul Unit în domeniul coordonării securității sociale a fost constructivă, fără probleme structurale sau sistemice în 2023 sau 2024, ambele părți angajându-se să soluționeze orice probleme care ar putea apărea în punerea în aplicare a Protocolului privind coordonarea sistemelor de securitate socială la ACC; ia act de deciziile Comitetului specializat privind coordonarea sistemelor de securitate socială cu privire la lucrătorii detașați și persoanele care desfășoară o activitate independentă pentru a clarifica anumite aspecte financiare; subliniază că este important să existe un protocol dinamic, care să se alinieze la revizuirile dispozițiilor privind coordonarea sistemelor de securitate socială; solicită continuarea eforturilor de simplificare a procedurilor, de asigurare a unei interpretări consecvente în toate statele membre și în Regatul Unit și de îmbunătățire a accesului cetățenilor la securitate socială prin îmbunătățirea orientărilor, a instrumentelor digitale și a cooperării administrative;</w:t>
      </w:r>
    </w:p>
    <w:p w14:paraId="7363BFBB" w14:textId="77777777" w:rsidR="0028437D" w:rsidRPr="00236F36" w:rsidRDefault="0028437D" w:rsidP="0028437D">
      <w:pPr>
        <w:spacing w:after="240"/>
        <w:ind w:left="567" w:hanging="567"/>
      </w:pPr>
      <w:r w:rsidRPr="00236F36">
        <w:t>194.</w:t>
      </w:r>
      <w:r w:rsidRPr="00236F36">
        <w:tab/>
        <w:t xml:space="preserve">constată că Comitetul specializat privind coordonarea sistemelor de securitate socială a desfășurat activități tehnice pe teme precum modificările documentelor electronice structurate și ale documentelor portabile, procedurile pentru rambursarea costurilor prestațiilor de boală și transpunerea deciziilor relevante ale Comisiei administrative pentru coordonarea sistemelor de securitate socială; invită Comitetul să își intensifice eforturile și să realizeze progrese concrete la îmbunătățirea procedurilor, asigurarea unei interpretări uniforme în toate statele membre și în Regatul Unit și îmbunătățirea coordonării drepturilor de securitate socială pentru lucrătorii mobili și transfrontalieri; </w:t>
      </w:r>
    </w:p>
    <w:p w14:paraId="54BF4E63" w14:textId="77777777" w:rsidR="0028437D" w:rsidRPr="00236F36" w:rsidRDefault="0028437D" w:rsidP="0028437D">
      <w:pPr>
        <w:spacing w:after="240"/>
        <w:ind w:left="567" w:hanging="567"/>
      </w:pPr>
      <w:r w:rsidRPr="00236F36">
        <w:t>195.</w:t>
      </w:r>
      <w:r w:rsidRPr="00236F36">
        <w:tab/>
        <w:t xml:space="preserve">subliniază importanța asigurării unor condiții de muncă decente, echitabile și sigure pentru lucrătorii sezonieri, în special în sectoare esențiale precum agricultura, turismul și construcțiile; invită Comisia să promoveze, în cadrul punerii în aplicare a ACC, instituirea unui mecanism specific pentru mobilitatea lucrătorilor sezonieri, inclusiv a unor standarde comune privind durata ocupării forței de muncă, accesul la securitate socială și protecția împotriva exploatării, cu garanții comparabile cu cele prevăzute în </w:t>
      </w:r>
      <w:r w:rsidRPr="00236F36">
        <w:lastRenderedPageBreak/>
        <w:t>Directiva 2014/36/UE</w:t>
      </w:r>
      <w:r w:rsidRPr="00236F36">
        <w:rPr>
          <w:rStyle w:val="FootnoteReference"/>
        </w:rPr>
        <w:footnoteReference w:id="45"/>
      </w:r>
      <w:r w:rsidRPr="00236F36">
        <w:t xml:space="preserve">; </w:t>
      </w:r>
    </w:p>
    <w:p w14:paraId="4A2F03B5" w14:textId="77777777" w:rsidR="0028437D" w:rsidRPr="00236F36" w:rsidRDefault="0028437D" w:rsidP="0028437D">
      <w:pPr>
        <w:spacing w:after="240"/>
        <w:ind w:left="567" w:hanging="567"/>
      </w:pPr>
      <w:r w:rsidRPr="00236F36">
        <w:t>196.</w:t>
      </w:r>
      <w:r w:rsidRPr="00236F36">
        <w:tab/>
        <w:t xml:space="preserve">invită Comisia să evalueze fezabilitatea instituirii unui punct de contact unic UE-Regatul Unit pentru raportarea încălcărilor drepturilor lucrătorilor, a barierelor în calea accesului la prestații sociale sau a aspectelor legate de recunoașterea contractelor de muncă transfrontaliere; </w:t>
      </w:r>
    </w:p>
    <w:p w14:paraId="08AE0522" w14:textId="77777777" w:rsidR="0028437D" w:rsidRPr="00236F36" w:rsidRDefault="0028437D" w:rsidP="0028437D">
      <w:pPr>
        <w:spacing w:after="240"/>
        <w:ind w:left="567" w:hanging="567"/>
      </w:pPr>
      <w:r w:rsidRPr="00236F36">
        <w:t>197.</w:t>
      </w:r>
      <w:r w:rsidRPr="00236F36">
        <w:tab/>
        <w:t xml:space="preserve">ia act de importanța și valoarea modelului social al UE și invită guvernul Regatului Unit să extindă clauza de menținere a nivelului de protecție la întregul acquis social al UE; </w:t>
      </w:r>
    </w:p>
    <w:p w14:paraId="17079CAE" w14:textId="77777777" w:rsidR="0028437D" w:rsidRPr="00236F36" w:rsidRDefault="0028437D" w:rsidP="0028437D">
      <w:pPr>
        <w:pStyle w:val="NormalHanging12a"/>
        <w:rPr>
          <w:b/>
          <w:i/>
        </w:rPr>
      </w:pPr>
      <w:r w:rsidRPr="00236F36">
        <w:rPr>
          <w:b/>
          <w:i/>
        </w:rPr>
        <w:t>Participarea la programele UE</w:t>
      </w:r>
    </w:p>
    <w:p w14:paraId="1A1282F3" w14:textId="77777777" w:rsidR="0028437D" w:rsidRPr="00236F36" w:rsidRDefault="0028437D" w:rsidP="0028437D">
      <w:pPr>
        <w:pStyle w:val="NormalHanging12a"/>
        <w:rPr>
          <w:szCs w:val="24"/>
        </w:rPr>
      </w:pPr>
      <w:r w:rsidRPr="00236F36">
        <w:t>198.</w:t>
      </w:r>
      <w:r w:rsidRPr="00236F36">
        <w:tab/>
        <w:t>își reiterează opinia că secțiunea din ACC privind participarea Regatului Unit la programele UE, buna gestiune financiară și dispozițiile financiare constituie o bază echitabilă pentru participarea Regatului Unit și contribuie la asigurarea protecției intereselor financiare ale UE; subliniază că este nevoie de bugete transparente și de mecanisme de partajare a costurilor;</w:t>
      </w:r>
    </w:p>
    <w:p w14:paraId="53365F8B" w14:textId="77777777" w:rsidR="0028437D" w:rsidRPr="00236F36" w:rsidRDefault="0028437D" w:rsidP="0028437D">
      <w:pPr>
        <w:pStyle w:val="NormalHanging12a"/>
      </w:pPr>
      <w:r w:rsidRPr="00236F36">
        <w:t>199.</w:t>
      </w:r>
      <w:r w:rsidRPr="00236F36">
        <w:tab/>
        <w:t xml:space="preserve">salută călduros faptul că, prin protocoalele I și II la ACC, Regatul Unit participă la programul Orizont Europa și la componenta </w:t>
      </w:r>
      <w:proofErr w:type="spellStart"/>
      <w:r w:rsidRPr="00236F36">
        <w:t>Copernicus</w:t>
      </w:r>
      <w:proofErr w:type="spellEnd"/>
      <w:r w:rsidRPr="00236F36">
        <w:t xml:space="preserve"> a programului spațial al UE și are acces la serviciile componentei UE de supraveghere și urmărire spațială a programului spațial al UE; subliniază beneficiile pentru UE și cetățenii săi ale participării țărilor terțe la programele UE; consideră că participarea Regatului Unit la programul Orizont Europa este o recunoaștere a faptului că știința și inovarea din Regatul Unit fac parte integrantă din ecosistemul european al științei și inovării; este de părere că este reciproc avantajos ca Regatul Unit să fie asociat la viitorul al 10-lea program-cadru de cercetare (PC10) și că domeniul de aplicare al acestei asocieri ar trebui să realizeze obiectivul de stimulare a creșterii economice în Uniune prin inovare; susține că este esențial să se găsească un echilibru just între contribuțiile Regatului Unit și beneficiile pe care le-ar primi în schimb;</w:t>
      </w:r>
    </w:p>
    <w:p w14:paraId="67FC4B55" w14:textId="77777777" w:rsidR="0028437D" w:rsidRPr="00236F36" w:rsidRDefault="0028437D" w:rsidP="0028437D">
      <w:pPr>
        <w:spacing w:after="240"/>
        <w:ind w:left="539" w:hanging="539"/>
      </w:pPr>
      <w:r w:rsidRPr="00236F36">
        <w:t>200.</w:t>
      </w:r>
      <w:r w:rsidRPr="00236F36">
        <w:tab/>
        <w:t xml:space="preserve">reiterează însă îngrijorarea sa cu privire la dispozițiile Protocolului I privind un mecanism de corecție automată pentru Regatul Unit în ceea ce privește programul Orizont Europa, care nu au fost convenite ca parte a ACC; ia act de faptul că mecanismul de corecție în favoarea Regatului Unit se aplică până la sfârșitul actualului cadru financiar multianual (CFM) și este mai puțin favorabil decât mecanismul de corecție prevăzut în ACC; </w:t>
      </w:r>
    </w:p>
    <w:p w14:paraId="54E2F509" w14:textId="77777777" w:rsidR="0028437D" w:rsidRPr="00236F36" w:rsidRDefault="0028437D" w:rsidP="0028437D">
      <w:pPr>
        <w:spacing w:after="240"/>
        <w:ind w:left="540" w:hanging="540"/>
      </w:pPr>
      <w:r w:rsidRPr="00236F36">
        <w:t>201.</w:t>
      </w:r>
      <w:r w:rsidRPr="00236F36">
        <w:tab/>
        <w:t xml:space="preserve">subliniază, în plus, dificultățile generate de taxele ridicate de viză și de suprataxa pentru asistența medicală pentru cercetătorii din UE care beneficiază de programul Orizont Europa și doresc să își exercite dreptul la mobilitate, </w:t>
      </w:r>
      <w:proofErr w:type="spellStart"/>
      <w:r w:rsidRPr="00236F36">
        <w:t>mutându-se</w:t>
      </w:r>
      <w:proofErr w:type="spellEnd"/>
      <w:r w:rsidRPr="00236F36">
        <w:t xml:space="preserve"> în Regatul Unit și îndeamnă Regatul Unit să rezolve această problemă; </w:t>
      </w:r>
    </w:p>
    <w:p w14:paraId="21DF4F76" w14:textId="77777777" w:rsidR="0028437D" w:rsidRPr="00236F36" w:rsidRDefault="0028437D" w:rsidP="0028437D">
      <w:pPr>
        <w:spacing w:after="240"/>
        <w:ind w:left="540" w:hanging="540"/>
      </w:pPr>
      <w:r w:rsidRPr="00236F36">
        <w:t>202.</w:t>
      </w:r>
      <w:r w:rsidRPr="00236F36">
        <w:tab/>
        <w:t xml:space="preserve">continuă să fie preocupat de protocolul de asociere la Acordul comercial și de cooperare, modificat în 2023, mai ales de faptul că reducerea automată a contribuției Regatului Unit la programul Orizont Europa în cazul unei participări „mai mici decât se anticipase” a Regatului Unit la program a atras după sine neconcordanțe cu dispozițiile Acordului comercial și de cooperare, aprobat de Parlament în decembrie 2020; reține că </w:t>
      </w:r>
      <w:r w:rsidRPr="00236F36">
        <w:lastRenderedPageBreak/>
        <w:t xml:space="preserve">această modificare a ACC prin adoptarea unui protocol a însemnat că Parlamentul nu a fost în măsură să se implice substanțial în aprobarea a ceea ce constituie o parte esențială a acordului general, nici să exercite un control riguros asupra sa; </w:t>
      </w:r>
    </w:p>
    <w:p w14:paraId="0EF818A5" w14:textId="77777777" w:rsidR="0028437D" w:rsidRPr="00236F36" w:rsidRDefault="0028437D" w:rsidP="0028437D">
      <w:pPr>
        <w:spacing w:after="240"/>
        <w:ind w:left="567" w:hanging="567"/>
      </w:pPr>
      <w:r w:rsidRPr="00236F36">
        <w:t>203.</w:t>
      </w:r>
      <w:r w:rsidRPr="00236F36">
        <w:tab/>
        <w:t>subliniază că orice acord internațional privind asocierea Regatului Unit la programele Uniunii ar trebui să aibă loc cu respectarea deplină a prerogativei Parlamentului de a-și da aprobarea în cunoștință de cauză, în conformitate cu rezoluția sa din 8 februarie 2024 referitoare la acordurile de asociere pentru participarea țărilor terțe la programele Uniunii</w:t>
      </w:r>
      <w:r w:rsidRPr="00236F36">
        <w:rPr>
          <w:rStyle w:val="FootnoteReference"/>
        </w:rPr>
        <w:footnoteReference w:id="46"/>
      </w:r>
      <w:r w:rsidRPr="00236F36">
        <w:t xml:space="preserve">; </w:t>
      </w:r>
    </w:p>
    <w:p w14:paraId="5ED61CF3" w14:textId="77777777" w:rsidR="0028437D" w:rsidRPr="00236F36" w:rsidRDefault="0028437D" w:rsidP="0028437D">
      <w:pPr>
        <w:spacing w:after="240"/>
        <w:ind w:left="567" w:hanging="567"/>
      </w:pPr>
      <w:r w:rsidRPr="00236F36">
        <w:t>204.</w:t>
      </w:r>
      <w:r w:rsidRPr="00236F36">
        <w:tab/>
        <w:t xml:space="preserve">cere ca Parlamentul să fie implicat din plin în toate negocierile referitoare la participarea Regatului Unit la PC10 și la executarea PC10 în cursul următorului CFM; speră că ambele părți vor putea evita întârzierile care au caracterizat participarea Regatului Unit la programul Orizont Europa și la programul </w:t>
      </w:r>
      <w:proofErr w:type="spellStart"/>
      <w:r w:rsidRPr="00236F36">
        <w:t>Copernicus</w:t>
      </w:r>
      <w:proofErr w:type="spellEnd"/>
      <w:r w:rsidRPr="00236F36">
        <w:t xml:space="preserve"> în actualul CFM, pentru a asigura continuitatea finanțării pentru unele proiecte de anvergură de cercetare și inovare ale Uniunii la care participă parteneri din Regatul Unit; </w:t>
      </w:r>
    </w:p>
    <w:p w14:paraId="57217A28" w14:textId="77777777" w:rsidR="0028437D" w:rsidRPr="00236F36" w:rsidRDefault="0028437D" w:rsidP="0028437D">
      <w:pPr>
        <w:spacing w:after="240"/>
        <w:ind w:left="567" w:hanging="567"/>
      </w:pPr>
      <w:r w:rsidRPr="00236F36">
        <w:t>205.</w:t>
      </w:r>
      <w:r w:rsidRPr="00236F36">
        <w:tab/>
        <w:t xml:space="preserve">observă că inițiativa „Alegeți Europa pentru știință” pune clar Consiliul European pentru Cercetare (CEC) și Acțiunile </w:t>
      </w:r>
      <w:proofErr w:type="spellStart"/>
      <w:r w:rsidRPr="00236F36">
        <w:t>Marie</w:t>
      </w:r>
      <w:proofErr w:type="spellEnd"/>
      <w:r w:rsidRPr="00236F36">
        <w:t xml:space="preserve"> </w:t>
      </w:r>
      <w:proofErr w:type="spellStart"/>
      <w:r w:rsidRPr="00236F36">
        <w:t>Skłodowska</w:t>
      </w:r>
      <w:proofErr w:type="spellEnd"/>
      <w:r w:rsidRPr="00236F36">
        <w:t>-Curie (MSCA) în postura de programe esențiale care pot ajuta Uniunea să atragă talente științifice de talie mondială; constată că Regatul Unit poate participa la ambele programe la care, ține să sublinieze, a avut rezultate excelente; reamintește cerința legală prevăzută la articolul 16 alineatul (3) din Regulamentul privind instituirea programului Orizont Europa</w:t>
      </w:r>
      <w:r w:rsidRPr="00236F36">
        <w:rPr>
          <w:rStyle w:val="FootnoteReference"/>
        </w:rPr>
        <w:footnoteReference w:id="47"/>
      </w:r>
      <w:r w:rsidRPr="00236F36">
        <w:t xml:space="preserve"> potrivit căreia amploarea asocierii fiecărei țări terțe la program se face în funcție de rezultatul unei analize a beneficiilor pentru Uniune și de obiectivul de stimulare a creșterii economice în Uniune prin inovare; consideră că deficitul de talente este un factor care limitează creșterea economică a Uniunii, în special în sectoarele de înaltă tehnologie; solicită, așadar, Comisiei să efectueze o analiză detaliată a beneficiilor pe care le aduce Uniunii participarea Regatului Unit la CEC și la MSCA, ținând seama îndeosebi de modul în care această participare afectează capacitatea Uniunii de a atrage talente științifice, și să transmită această analiză Parlamentului, de preferință în paralel cu negocierile la propunerea legislativă pentru PC10; </w:t>
      </w:r>
    </w:p>
    <w:p w14:paraId="3A582F3E" w14:textId="77777777" w:rsidR="0028437D" w:rsidRPr="00236F36" w:rsidRDefault="0028437D" w:rsidP="0028437D">
      <w:pPr>
        <w:spacing w:after="240"/>
        <w:ind w:left="567" w:hanging="567"/>
      </w:pPr>
      <w:r w:rsidRPr="00236F36">
        <w:t>206.</w:t>
      </w:r>
      <w:r w:rsidRPr="00236F36">
        <w:tab/>
        <w:t xml:space="preserve">se arată îngrijorat de faptul că Regatul Unit a majorat semnificativ suprataxa pe asistența medicală și costurile vizelor pentru cercetătorii care merg în Regatul Unit prin fonduri din programul Orizont Europa, îngreunând din punct de vedere financiar mobilitatea pentru cercetătorii din Uniune și instituțiile lor partenere din Regatul Unit; sprijină apelul exprimat de Uniune la cea de a treia reuniune a Consiliului de parteneriat din 16 mai 2024, de a reveni la nivelurile anterioare ale taxelor și suprataxelor; ar aprecia dacă ar exista voința de a reduce și mai mult sarcina administrativă și costurile aferente pentru cercetătorii din Uniune aflați în mobilitate în Regatul Unit cu programul Orizont Europa și cu succesorul acestuia, PC10; </w:t>
      </w:r>
    </w:p>
    <w:p w14:paraId="641927C7" w14:textId="77777777" w:rsidR="0028437D" w:rsidRPr="00236F36" w:rsidRDefault="0028437D" w:rsidP="0028437D">
      <w:pPr>
        <w:spacing w:after="240"/>
        <w:ind w:left="540" w:hanging="540"/>
      </w:pPr>
      <w:r w:rsidRPr="00236F36">
        <w:t>207.</w:t>
      </w:r>
      <w:r w:rsidRPr="00236F36">
        <w:tab/>
        <w:t xml:space="preserve">constată că Regatul Unit a decis până la urmă să nu participe la Programul de cercetare și formare al Euratom, la întreprinderea comună pentru dezvoltarea energiei de fuziune </w:t>
      </w:r>
      <w:r w:rsidRPr="00236F36">
        <w:lastRenderedPageBreak/>
        <w:t xml:space="preserve">(„F4E”) și nici la proiectul ITER de fuziune nucleară, cu toate că participarea sa era prevăzută în Declarația comună UE-Regatul Unit privind participarea la programele Uniunii care însoțește ACC; este preocupat că Rusia continuă să participe la proiectul ITER; face un apel pentru păstrarea moștenirii științifice a </w:t>
      </w:r>
      <w:proofErr w:type="spellStart"/>
      <w:r w:rsidRPr="00236F36">
        <w:t>Joint</w:t>
      </w:r>
      <w:proofErr w:type="spellEnd"/>
      <w:r w:rsidRPr="00236F36">
        <w:t xml:space="preserve"> European </w:t>
      </w:r>
      <w:proofErr w:type="spellStart"/>
      <w:r w:rsidRPr="00236F36">
        <w:t>Torus</w:t>
      </w:r>
      <w:proofErr w:type="spellEnd"/>
      <w:r w:rsidRPr="00236F36">
        <w:t xml:space="preserve">, situat în </w:t>
      </w:r>
      <w:proofErr w:type="spellStart"/>
      <w:r w:rsidRPr="00236F36">
        <w:t>Culham</w:t>
      </w:r>
      <w:proofErr w:type="spellEnd"/>
      <w:r w:rsidRPr="00236F36">
        <w:t xml:space="preserve">, Regatul Unit, care de zeci de ani a servit drept inițiativă emblematică a cercetării europene în domeniul fuziunii nucleare; subliniază că actuala dezmembrare a acestei instalații unice riscă să cauzeze pierderea ireversibilă a infrastructurii și a competențelor științifice; </w:t>
      </w:r>
    </w:p>
    <w:p w14:paraId="3417D75C" w14:textId="77777777" w:rsidR="0028437D" w:rsidRPr="00236F36" w:rsidRDefault="0028437D" w:rsidP="0028437D">
      <w:pPr>
        <w:spacing w:after="240"/>
        <w:ind w:left="540" w:hanging="540"/>
      </w:pPr>
      <w:r w:rsidRPr="00236F36">
        <w:t>208.</w:t>
      </w:r>
      <w:r w:rsidRPr="00236F36">
        <w:tab/>
        <w:t xml:space="preserve">regretă că Regatul Unit a ales să nu participe la alte programe ale Uniunii, și decizia de a nu participa la Euratom și la F4E, cum se prevăzuse inițial în Declarația comună din decembrie 2020; consideră că participarea Regatului Unit la proiectul ITER trebuie să se bazeze pe participarea la F4E; regretă decizia de desființare a experimentului </w:t>
      </w:r>
      <w:proofErr w:type="spellStart"/>
      <w:r w:rsidRPr="00236F36">
        <w:t>Joint</w:t>
      </w:r>
      <w:proofErr w:type="spellEnd"/>
      <w:r w:rsidRPr="00236F36">
        <w:t xml:space="preserve"> European </w:t>
      </w:r>
      <w:proofErr w:type="spellStart"/>
      <w:r w:rsidRPr="00236F36">
        <w:t>Torus</w:t>
      </w:r>
      <w:proofErr w:type="spellEnd"/>
      <w:r w:rsidRPr="00236F36">
        <w:t xml:space="preserve">; roagă insistent Regatul Unit să își reconsidere poziția cu privire la aceste chestiuni; </w:t>
      </w:r>
    </w:p>
    <w:p w14:paraId="11ADA4A3" w14:textId="77777777" w:rsidR="0028437D" w:rsidRPr="00236F36" w:rsidRDefault="0028437D" w:rsidP="0028437D">
      <w:pPr>
        <w:spacing w:after="240"/>
        <w:ind w:left="567" w:hanging="567"/>
      </w:pPr>
      <w:r w:rsidRPr="00236F36">
        <w:t>209.</w:t>
      </w:r>
      <w:r w:rsidRPr="00236F36">
        <w:tab/>
        <w:t xml:space="preserve">evidențiază programul PEACE PLUS, succesor al unor inițiative anterioare de cooperare transfrontalieră, și subliniază rolul vital al programului în promovarea păcii, reconcilierii și prosperității socioeconomice în Irlanda de Nord și în regiunea de frontieră; reține că programul este finanțat prin contribuții substanțiale atât din partea UE, cât și din partea Regatului Unit; </w:t>
      </w:r>
    </w:p>
    <w:p w14:paraId="4D91CE3E" w14:textId="77777777" w:rsidR="0028437D" w:rsidRPr="00236F36" w:rsidRDefault="0028437D" w:rsidP="0028437D">
      <w:pPr>
        <w:pStyle w:val="NormalHanging12a"/>
      </w:pPr>
      <w:r w:rsidRPr="00236F36">
        <w:t>210.</w:t>
      </w:r>
      <w:r w:rsidRPr="00236F36">
        <w:tab/>
        <w:t xml:space="preserve">salută acordul de cooperare statistică semnat între </w:t>
      </w:r>
      <w:proofErr w:type="spellStart"/>
      <w:r w:rsidRPr="00236F36">
        <w:t>Eurostat</w:t>
      </w:r>
      <w:proofErr w:type="spellEnd"/>
      <w:r w:rsidRPr="00236F36">
        <w:t xml:space="preserve"> și Autoritatea pentru Statistică din Regatul Unit, care permite schimbul de date statistice pertinente pentru participarea Regatului Unit la programele UE; consideră că informațiile statistice fiabile oferă o bază importantă pentru luarea deciziilor în acest domeniu și pentru verificarea respectării dispozițiilor financiare prevăzute în ACC;</w:t>
      </w:r>
    </w:p>
    <w:p w14:paraId="6DA1EFDF" w14:textId="77777777" w:rsidR="0028437D" w:rsidRPr="00236F36" w:rsidRDefault="0028437D" w:rsidP="0028437D">
      <w:pPr>
        <w:pStyle w:val="NormalHanging12a"/>
        <w:rPr>
          <w:b/>
          <w:i/>
        </w:rPr>
      </w:pPr>
      <w:r w:rsidRPr="00236F36">
        <w:rPr>
          <w:b/>
          <w:i/>
        </w:rPr>
        <w:t>Educația, cultura, tineretul și sportul</w:t>
      </w:r>
    </w:p>
    <w:p w14:paraId="787C258F" w14:textId="77777777" w:rsidR="0028437D" w:rsidRPr="00236F36" w:rsidRDefault="0028437D" w:rsidP="0028437D">
      <w:pPr>
        <w:pStyle w:val="NormalHanging12a"/>
        <w:rPr>
          <w:szCs w:val="24"/>
        </w:rPr>
      </w:pPr>
      <w:r w:rsidRPr="00236F36">
        <w:t>211.</w:t>
      </w:r>
      <w:r w:rsidRPr="00236F36">
        <w:tab/>
        <w:t>constată că aprofundarea legăturilor interpersonale, în special în rândul generației tinere, s-a bucurat de o atenție deosebită la recentul summit UE-Regatul Unit;</w:t>
      </w:r>
    </w:p>
    <w:p w14:paraId="4DB9E05A" w14:textId="77777777" w:rsidR="0028437D" w:rsidRPr="00236F36" w:rsidDel="000D4D5A" w:rsidRDefault="0028437D" w:rsidP="0028437D">
      <w:pPr>
        <w:spacing w:after="240"/>
        <w:ind w:left="567" w:hanging="567"/>
      </w:pPr>
      <w:r w:rsidRPr="00236F36">
        <w:t>212.</w:t>
      </w:r>
      <w:r w:rsidRPr="00236F36">
        <w:tab/>
        <w:t>reamintește că drepturile cetățenilor ocupă un loc de cinste în Acordul de retragere și că trebuie să fie pe deplin protejate; observă totuși că, de la retragerea Regatului Unit din UE (</w:t>
      </w:r>
      <w:proofErr w:type="spellStart"/>
      <w:r w:rsidRPr="00236F36">
        <w:t>Brexit</w:t>
      </w:r>
      <w:proofErr w:type="spellEnd"/>
      <w:r w:rsidRPr="00236F36">
        <w:t xml:space="preserve">), a devenit mai complicat pentru cetățenii UE să călătorească și să se mute în Regatul Unit; este extrem de îngrijorat de schimbările în politica imigrației care se discută în momentul de față în Regatul Unit, în măsura în care ar putea să afecteze drepturile cetățenilor UE în Regatul Unit, inclusiv drepturile studenților și taxele de studii care li se aplică; </w:t>
      </w:r>
    </w:p>
    <w:p w14:paraId="6EE0AAD8" w14:textId="77777777" w:rsidR="0028437D" w:rsidRPr="00236F36" w:rsidRDefault="0028437D" w:rsidP="0028437D">
      <w:pPr>
        <w:pStyle w:val="NormalHanging12a"/>
      </w:pPr>
      <w:r w:rsidRPr="00236F36">
        <w:t>213.</w:t>
      </w:r>
      <w:r w:rsidRPr="00236F36">
        <w:tab/>
        <w:t xml:space="preserve">subliniază că mobilitatea tinerilor a fost grav afectată de </w:t>
      </w:r>
      <w:proofErr w:type="spellStart"/>
      <w:r w:rsidRPr="00236F36">
        <w:t>Brexit</w:t>
      </w:r>
      <w:proofErr w:type="spellEnd"/>
      <w:r w:rsidRPr="00236F36">
        <w:t>; apreciază propunerea Comisiei de a pune la punct un sistem de mobilitate a tinerilor</w:t>
      </w:r>
      <w:r w:rsidRPr="00236F36">
        <w:rPr>
          <w:rStyle w:val="FootnoteReference"/>
        </w:rPr>
        <w:footnoteReference w:id="48"/>
      </w:r>
      <w:r w:rsidRPr="00236F36">
        <w:t xml:space="preserve"> și angajamentul comun înscris în Înțelegerea Comună de a lucra împreună la un sistem echilibrat și reciproc avantajos de acumulare de experiență pentru tineri, cu scopul de a-i ajuta pe tinerii din UE și UK să participe la diverse activități, ca, de pildă, muncă, studii, contracte au pair, voluntariat sau pur și simplu călătorii, o perioadă limitată de timp; încurajează ambele părți să purceadă rapid și serios la conceperea și implementarea sa, asigurând accesul </w:t>
      </w:r>
      <w:r w:rsidRPr="00236F36">
        <w:lastRenderedPageBreak/>
        <w:t>reciproc, claritatea juridică și protecția socială adecvată pentru participanți, considerându-l un pas esențial pentru a reclădi legăturile interpersonale și cooperarea pe termen lung; subliniază necesitatea de a asigura, după caz, salarii și condiții de muncă decente pentru participanții la orice program viitor de acumulare de experiență pentru tineri; în acest sens, încurajează din toată inima Regatul Unit să dea dovadă de deschidere față de propunerile prezentate de Comisie în acest domeniu în 2024; este ferm convins că un acord pe tema mobilității tinerilor trebuie să fie o parte esențială din orice eventuală versiune revizuită viitoare a ACC;</w:t>
      </w:r>
    </w:p>
    <w:p w14:paraId="3C070B9E" w14:textId="375C115F" w:rsidR="0028437D" w:rsidRPr="00236F36" w:rsidRDefault="0028437D" w:rsidP="0028437D">
      <w:pPr>
        <w:spacing w:after="240"/>
        <w:ind w:left="567" w:hanging="567"/>
        <w:rPr>
          <w:i/>
          <w:iCs/>
        </w:rPr>
      </w:pPr>
      <w:r w:rsidRPr="00236F36">
        <w:t>214.</w:t>
      </w:r>
      <w:r w:rsidRPr="00236F36">
        <w:tab/>
        <w:t>consideră că un astfel de sistem are un potențial semnificativ să inspire o nouă generație de tineri europeni și britanici prin promovarea unor contacte legale și interpersonale bazate pe valori democratice comune, înțelegere culturală și încredere reciprocă și că pe temelia lui s-ar putea construi cooperarea pe termen lung, coeziunea socială și rețele transnaționale mai strânse între tineri; încurajează, de asemenea, ambele părți să ia în considerare ideea de a facilita mobilitatea între Regatul Unit și UE chiar mai mult, fără a se limita la programul propus de schimb de experiență pentru tineri;</w:t>
      </w:r>
    </w:p>
    <w:p w14:paraId="63409192" w14:textId="62134778" w:rsidR="0003785D" w:rsidRPr="00236F36" w:rsidRDefault="0028437D" w:rsidP="0028437D">
      <w:pPr>
        <w:ind w:left="540" w:hanging="540"/>
      </w:pPr>
      <w:r w:rsidRPr="00236F36">
        <w:t>215.</w:t>
      </w:r>
      <w:r w:rsidRPr="00236F36">
        <w:tab/>
        <w:t>subliniază că natura temporară a acestei dispoziții face ca schimbul cultural și educațional să nu fie un instrument de politică în domeniul migrației; constată că Regatul Unit dispune deja de programe de mobilitate pentru tineri cu țări precum Japonia; subliniază că, dacă UE poartă negocieri comune, se pot obține beneficii mai echitabile decât dacă statele membre negociază acorduri bilaterale individuale;</w:t>
      </w:r>
    </w:p>
    <w:p w14:paraId="75557CA5" w14:textId="18A9BE42" w:rsidR="0028437D" w:rsidRPr="00236F36" w:rsidRDefault="0028437D" w:rsidP="00236F36">
      <w:pPr>
        <w:spacing w:before="240"/>
        <w:ind w:left="540" w:hanging="540"/>
      </w:pPr>
      <w:r w:rsidRPr="00236F36">
        <w:t>216.</w:t>
      </w:r>
      <w:r w:rsidRPr="00236F36">
        <w:tab/>
        <w:t xml:space="preserve">de asemenea, consideră binevenită declarația de intenție de la </w:t>
      </w:r>
      <w:proofErr w:type="spellStart"/>
      <w:r w:rsidRPr="00236F36">
        <w:t>Summitul</w:t>
      </w:r>
      <w:proofErr w:type="spellEnd"/>
      <w:r w:rsidRPr="00236F36">
        <w:t xml:space="preserve"> UE-UK de a încerca să convingă Regatul Unit să participe la programul Erasmus+, ceea ce ar aduce beneficii reciproce, deoarece promovarea mobilității tinerilor, a formării profesionale și a sportului în relația dintre UE și Regatul Unit ar fi extrem de valoroasă; invită Comisia și Regatul Unit să întețească ritmul negocierilor în acest sens pentru a găsi o soluție de asociere care să aducă beneficii ambelor părți; subliniază, în acest context, rolul special al programului Erasmus+ de promotor al valorilor europene, al diversității culturale, al angajării civice și al incluziunii sociale, precum și consolidarea aferentă a rezilienței Europei; observă că programul de mobilitate pentru tineri și reasocierea Regatului Unit la programul Erasmus + ar putea fi lansate simultan, subliniind necesitatea ca ambele inițiative să fie complementare și să se întărească reciproc;</w:t>
      </w:r>
    </w:p>
    <w:p w14:paraId="4F6409EA" w14:textId="77777777" w:rsidR="0028437D" w:rsidRPr="00236F36" w:rsidRDefault="0028437D" w:rsidP="0003785D">
      <w:pPr>
        <w:spacing w:before="240" w:after="240"/>
        <w:ind w:left="567" w:hanging="567"/>
      </w:pPr>
      <w:r w:rsidRPr="00236F36">
        <w:t>217.</w:t>
      </w:r>
      <w:r w:rsidRPr="00236F36">
        <w:tab/>
        <w:t xml:space="preserve">insistă pe ideea că această asociere trebuie să fie în concordanță cu CFM și cu ACC; reamintește că orice eventuală participare a Regatului Unit la programe ale UE, cum ar fi Erasmus+, ar trebui evaluată și concepută într-un mod care să protejeze și să promoveze pe deplin interesele UE, inclusiv prin asigurarea unei valori adăugate clare pentru UE și cetățenii săi; invită Comisia să furnizeze în timp util informații detaliate cu privire la condițiile financiare ale viitoarei participări a Regatului Unit la Erasmus+ și la orice implicații financiare a oricăror programe destinate tinerilor; </w:t>
      </w:r>
    </w:p>
    <w:p w14:paraId="4BDD28A7" w14:textId="77777777" w:rsidR="0028437D" w:rsidRPr="00236F36" w:rsidRDefault="0028437D" w:rsidP="0028437D">
      <w:pPr>
        <w:spacing w:after="240"/>
        <w:ind w:left="567" w:hanging="567"/>
      </w:pPr>
      <w:r w:rsidRPr="00236F36">
        <w:t>218.</w:t>
      </w:r>
      <w:r w:rsidRPr="00236F36">
        <w:tab/>
        <w:t xml:space="preserve">regretă că schimburile culturale suferă din cauza </w:t>
      </w:r>
      <w:proofErr w:type="spellStart"/>
      <w:r w:rsidRPr="00236F36">
        <w:t>Brexitului</w:t>
      </w:r>
      <w:proofErr w:type="spellEnd"/>
      <w:r w:rsidRPr="00236F36">
        <w:t xml:space="preserve">; află cu îngrijorare de incertitudinile și dificultățile care au apărut pentru elevi, profesori, artiști itineranți și profesioniști din domeniul culturii care doresc să învețe, să predea, să interpreteze și să lucreze pe cealaltă parte a Canalului Mânecii; se bucură că în concluziile </w:t>
      </w:r>
      <w:proofErr w:type="spellStart"/>
      <w:r w:rsidRPr="00236F36">
        <w:t>summitului</w:t>
      </w:r>
      <w:proofErr w:type="spellEnd"/>
      <w:r w:rsidRPr="00236F36">
        <w:t xml:space="preserve"> Regatul Unit-UE se face trimitere la schimburile culturale și artistice și la artiștii aflați în turnee; subliniază necesitatea reciprocității în procedurile și măsurile existente sau viitoare; încurajează Comisiei să evalueze impactul pe care îl are retragerea Regatului Unit din programele UE asupra schimburilor culturale și educaționale și a conlucrării la soluții creative; </w:t>
      </w:r>
    </w:p>
    <w:p w14:paraId="7E6D75EA" w14:textId="42F4A086" w:rsidR="0028437D" w:rsidRPr="00236F36" w:rsidRDefault="0028437D" w:rsidP="0028437D">
      <w:pPr>
        <w:spacing w:after="240"/>
        <w:ind w:left="539" w:hanging="539"/>
      </w:pPr>
      <w:r w:rsidRPr="00236F36">
        <w:lastRenderedPageBreak/>
        <w:t>219.</w:t>
      </w:r>
      <w:r w:rsidRPr="00236F36">
        <w:tab/>
        <w:t>observă că va fi vitală colaborarea cu părțile interesate din UE și UK pentru a sprijini schimburile culturale și pentru a elimina barierele cu care se confruntă profesioniștii din Regatul Unit aflați în turnee; cere să se pună la punct un plan mai concret care să încerce să rezolve problemele cu care se confruntă artiștii; invită, în acest sens, Comisia să-și continue eforturile în vederea reasocierii Regatului Unit la programul „Europa creativă”;</w:t>
      </w:r>
    </w:p>
    <w:p w14:paraId="48519DC0" w14:textId="77777777" w:rsidR="0028437D" w:rsidRPr="00236F36" w:rsidRDefault="0028437D" w:rsidP="0028437D">
      <w:pPr>
        <w:spacing w:after="240"/>
        <w:ind w:left="562" w:hanging="562"/>
      </w:pPr>
      <w:r w:rsidRPr="00236F36">
        <w:t>220.</w:t>
      </w:r>
      <w:r w:rsidRPr="00236F36">
        <w:tab/>
        <w:t xml:space="preserve">observă cu îngrijorare că noile norme privind intrarea în Regatul Unit împiedică călătoriile școlare și mobilitatea tinerilor din UE; propune, prin urmare, să se înființeze un program pentru tinerii sub 18 ani care călătoresc în grup; </w:t>
      </w:r>
    </w:p>
    <w:p w14:paraId="7E1D9F72" w14:textId="77777777" w:rsidR="0028437D" w:rsidRPr="00236F36" w:rsidRDefault="0028437D" w:rsidP="0028437D">
      <w:pPr>
        <w:pStyle w:val="NormalHanging12a"/>
      </w:pPr>
      <w:r w:rsidRPr="00236F36">
        <w:t>221.</w:t>
      </w:r>
      <w:r w:rsidRPr="00236F36">
        <w:tab/>
        <w:t>este profund îngrijorat de scăderea numărului de studenți din UE care studiază în universitățile britanice; subliniază că această situație este legată clar de retragerea Regatului Unit din programul Erasmus+ și de eliminarea normelor privind egalitatea de tratament în raport cu taxele de școlarizare și bursele pentru studenții din UE</w:t>
      </w:r>
      <w:r w:rsidRPr="00236F36">
        <w:rPr>
          <w:rStyle w:val="FootnoteReference"/>
        </w:rPr>
        <w:footnoteReference w:id="49"/>
      </w:r>
      <w:r w:rsidRPr="00236F36">
        <w:t>; îndeamnă Regatul Unit și UE să ajungă la un acord privind reducerea taxelor de școlarizare pentru a permite unui număr mai mare de tineri din UE să studieze în UK;</w:t>
      </w:r>
    </w:p>
    <w:p w14:paraId="517ACA4E" w14:textId="3DBF1783" w:rsidR="0028437D" w:rsidRPr="00236F36" w:rsidRDefault="0028437D" w:rsidP="0028437D">
      <w:pPr>
        <w:ind w:left="562" w:hanging="562"/>
      </w:pPr>
      <w:r w:rsidRPr="00236F36">
        <w:t>222.</w:t>
      </w:r>
      <w:r w:rsidRPr="00236F36">
        <w:tab/>
        <w:t>este ferm convins că Regatul Unit și UE trebuie să-și aprofundeze cooperarea academică pentru a face față problemelor geopolitice actuale și pentru a-și consolida influența culturală respectivă; subliniază, în acest sens, rolul crucial pe care îl joacă principiul reciprocității internaționale, consfințit în Carta Universitară Erasmus, pentru a construi un parteneriat stabil și pe termen lung între instituțiile de învățământ superior;</w:t>
      </w:r>
    </w:p>
    <w:p w14:paraId="6E8E45CF" w14:textId="66F5C678" w:rsidR="0028437D" w:rsidRPr="00236F36" w:rsidRDefault="0028437D" w:rsidP="0003785D">
      <w:pPr>
        <w:spacing w:before="240"/>
        <w:ind w:left="562" w:hanging="562"/>
      </w:pPr>
      <w:r w:rsidRPr="00236F36">
        <w:t>223.</w:t>
      </w:r>
      <w:r w:rsidRPr="00236F36">
        <w:tab/>
        <w:t xml:space="preserve">observă că guvernul Regatului Unit a creat programul Turing, guvernul galez programul </w:t>
      </w:r>
      <w:proofErr w:type="spellStart"/>
      <w:r w:rsidRPr="00236F36">
        <w:t>Taith</w:t>
      </w:r>
      <w:proofErr w:type="spellEnd"/>
      <w:r w:rsidRPr="00236F36">
        <w:t>, iar guvernul scoțian proiectul „</w:t>
      </w:r>
      <w:proofErr w:type="spellStart"/>
      <w:r w:rsidRPr="00236F36">
        <w:t>Scottish</w:t>
      </w:r>
      <w:proofErr w:type="spellEnd"/>
      <w:r w:rsidRPr="00236F36">
        <w:t xml:space="preserve"> </w:t>
      </w:r>
      <w:proofErr w:type="spellStart"/>
      <w:r w:rsidRPr="00236F36">
        <w:t>Education</w:t>
      </w:r>
      <w:proofErr w:type="spellEnd"/>
      <w:r w:rsidRPr="00236F36">
        <w:t xml:space="preserve"> Exchange </w:t>
      </w:r>
      <w:proofErr w:type="spellStart"/>
      <w:r w:rsidRPr="00236F36">
        <w:t>Programme</w:t>
      </w:r>
      <w:proofErr w:type="spellEnd"/>
      <w:r w:rsidRPr="00236F36">
        <w:t xml:space="preserve"> Test </w:t>
      </w:r>
      <w:proofErr w:type="spellStart"/>
      <w:r w:rsidRPr="00236F36">
        <w:t>and</w:t>
      </w:r>
      <w:proofErr w:type="spellEnd"/>
      <w:r w:rsidRPr="00236F36">
        <w:t xml:space="preserve"> </w:t>
      </w:r>
      <w:proofErr w:type="spellStart"/>
      <w:r w:rsidRPr="00236F36">
        <w:t>Learn</w:t>
      </w:r>
      <w:proofErr w:type="spellEnd"/>
      <w:r w:rsidRPr="00236F36">
        <w:t>”, care se află în prezent în faza pilot; regretă, cu toate acestea, că programul Turing acoperă doar mobilitatea externă a studenților și, prin urmare, nu poate fi considerat un înlocuitor perfect al programului Erasmus +;</w:t>
      </w:r>
    </w:p>
    <w:p w14:paraId="538BCA07" w14:textId="7DCBC72D" w:rsidR="0028437D" w:rsidRPr="00236F36" w:rsidRDefault="0028437D" w:rsidP="0003785D">
      <w:pPr>
        <w:spacing w:before="240"/>
        <w:ind w:left="562" w:hanging="562"/>
      </w:pPr>
      <w:r w:rsidRPr="00236F36">
        <w:t>224.</w:t>
      </w:r>
      <w:r w:rsidRPr="00236F36">
        <w:tab/>
        <w:t>constată că universităților din Regatul Unit li se permite să facă parte din alianțele universităților europene, dar nu să fie incluse în structura de guvernanță, ele fiind retrogradate, în fapt, la statutul de partener de categoria a doua; încurajează continuarea parteneriatului lor prin inițiativa Alianțelor universităților europene, care le permite să beneficieze de noua formă de statut juridic și să devină astfel partener cu drepturi depline;</w:t>
      </w:r>
    </w:p>
    <w:p w14:paraId="034C3C79" w14:textId="77777777" w:rsidR="0028437D" w:rsidRPr="00236F36" w:rsidRDefault="0028437D" w:rsidP="0003785D">
      <w:pPr>
        <w:pStyle w:val="NormalHanging12a"/>
        <w:spacing w:before="240"/>
      </w:pPr>
      <w:r w:rsidRPr="00236F36">
        <w:t>225.</w:t>
      </w:r>
      <w:r w:rsidRPr="00236F36">
        <w:tab/>
        <w:t>subliniază că Regatul Unit</w:t>
      </w:r>
      <w:r w:rsidRPr="00236F36">
        <w:rPr>
          <w:rStyle w:val="FootnoteReference"/>
        </w:rPr>
        <w:footnoteReference w:id="50"/>
      </w:r>
      <w:r w:rsidRPr="00236F36">
        <w:t xml:space="preserve"> continuă să participe la Spațiul european al învățământului superior („Procesul de la Bologna”); îndeamnă Regatul Unit, Comisia și statele membre să-și continue eforturile în vederea recunoașterii reciproce depline a calificărilor academice, a diplomelor, a titlurilor și a perioadelor de schimb;</w:t>
      </w:r>
    </w:p>
    <w:p w14:paraId="1EB8AEFF" w14:textId="77777777" w:rsidR="0028437D" w:rsidRPr="00236F36" w:rsidRDefault="0028437D" w:rsidP="0028437D">
      <w:pPr>
        <w:ind w:left="562" w:hanging="562"/>
      </w:pPr>
      <w:r w:rsidRPr="00236F36">
        <w:t>226.</w:t>
      </w:r>
      <w:r w:rsidRPr="00236F36">
        <w:tab/>
        <w:t xml:space="preserve">constată că UE și Regatul Unit continuă să fie piețe vitale pentru schimburile culturale, având în comun legături de lungă durată și influențe reciproce între sferele lor culturale; recunoaște valoarea economică ridicată a sectorului cultural din Regatul Unit; pledează pentru o nouă cooperare continuă între artiștii din UE și cei din Regatul Unit și alți profesioniști din sectoarele și industriile culturale și creative, precum și pentru </w:t>
      </w:r>
      <w:r w:rsidRPr="00236F36">
        <w:lastRenderedPageBreak/>
        <w:t xml:space="preserve">protejarea drepturilor lor de muncă; </w:t>
      </w:r>
    </w:p>
    <w:p w14:paraId="5894353D" w14:textId="77777777" w:rsidR="0028437D" w:rsidRPr="00236F36" w:rsidRDefault="0028437D" w:rsidP="0003785D">
      <w:pPr>
        <w:spacing w:before="240"/>
        <w:ind w:left="562" w:hanging="562"/>
      </w:pPr>
      <w:r w:rsidRPr="00236F36">
        <w:t xml:space="preserve">227. </w:t>
      </w:r>
      <w:r w:rsidRPr="00236F36">
        <w:tab/>
        <w:t xml:space="preserve">ține să remarce că programul „Europa creativă” nu a fost înlocuit cu niciun alt program dedicat culturii care să sprijine artiștii din Regatul Unit; </w:t>
      </w:r>
    </w:p>
    <w:p w14:paraId="398D058B" w14:textId="0EABA090" w:rsidR="0028437D" w:rsidRPr="00236F36" w:rsidRDefault="0028437D" w:rsidP="0003785D">
      <w:pPr>
        <w:spacing w:before="240"/>
        <w:ind w:left="562" w:hanging="562"/>
      </w:pPr>
      <w:r w:rsidRPr="00236F36">
        <w:t>228.</w:t>
      </w:r>
      <w:r w:rsidRPr="00236F36">
        <w:tab/>
        <w:t>regretă că nu există nicio dispoziție legată de cultură și de sectoarele culturale și creative în ACC în urma retragerii Regatului Unit din UE și a încetării participării Regatului Unit la libera circulație, ceea ce a dus la obstacole administrative pentru artiștii aflați în turnee, în special artiștii emergenți și independenți; constată că artiștii și lucrătorii culturali din Regatul Unit care efectuează turnee în UE trebuie să respecte numeroase sisteme diferite de vize, imigrație și permise de muncă; solicită, prin urmare, ca statele membre să clarifice cerințele privind carnetele ATA (autorizarea excepțională a șederii); solicită includerea sectorului cultural în viitoarea revizuire a ACC;</w:t>
      </w:r>
    </w:p>
    <w:p w14:paraId="7A3E1E52" w14:textId="693B6EE7" w:rsidR="0028437D" w:rsidRPr="00236F36" w:rsidRDefault="0028437D" w:rsidP="0003785D">
      <w:pPr>
        <w:spacing w:before="240"/>
        <w:ind w:left="561" w:hanging="561"/>
      </w:pPr>
      <w:r w:rsidRPr="00236F36">
        <w:t>229.</w:t>
      </w:r>
      <w:r w:rsidRPr="00236F36">
        <w:tab/>
        <w:t>solicită găsirea unei soluții pentru dificultățile post-</w:t>
      </w:r>
      <w:proofErr w:type="spellStart"/>
      <w:r w:rsidRPr="00236F36">
        <w:t>Brexit</w:t>
      </w:r>
      <w:proofErr w:type="spellEnd"/>
      <w:r w:rsidRPr="00236F36">
        <w:t xml:space="preserve"> cu care se confruntă artiștii și lucrătorii culturali, în special cei tineri și emergenți, cu ocazia turneelor și participării la festivaluri, cum ar fi normele vamale și de TVA pentru comercializare și normele privind transportul internațional; solicită Regatului Unit, statelor membre și Comisiei să depună eforturi pentru a găsi soluții mai simple care să permită artiștilor să-și desfășoare activitatea de ambele părți ale Canalului, rezolvând problema vizelor și permiselor de muncă pentru șederile culturale pe termen scurt și armonizând procedurile privind formalitățile vamale;</w:t>
      </w:r>
    </w:p>
    <w:p w14:paraId="6C88BC00" w14:textId="281A95C5" w:rsidR="0028437D" w:rsidRPr="00236F36" w:rsidRDefault="0028437D" w:rsidP="0003785D">
      <w:pPr>
        <w:spacing w:before="240"/>
        <w:ind w:left="562" w:hanging="562"/>
      </w:pPr>
      <w:r w:rsidRPr="00236F36">
        <w:t>230.</w:t>
      </w:r>
      <w:r w:rsidRPr="00236F36">
        <w:tab/>
        <w:t>constată că trebuie asigurată convergența viitorului cadru digital de reglementare privind serviciile audiovizuale și mass-media din Regatul Unit și din UE, cu scopul de a institui cerințe stabile, previzibile și clare pentru sectorul cultural și creativ și sectorul sportiv, având în vedere provocările internaționale tot mai mari;</w:t>
      </w:r>
    </w:p>
    <w:p w14:paraId="4ACA1A81" w14:textId="1EF07817" w:rsidR="0028437D" w:rsidRPr="00236F36" w:rsidRDefault="0028437D" w:rsidP="0003785D">
      <w:pPr>
        <w:spacing w:before="240"/>
        <w:ind w:left="562" w:hanging="562"/>
      </w:pPr>
      <w:r w:rsidRPr="00236F36">
        <w:t>231.</w:t>
      </w:r>
      <w:r w:rsidRPr="00236F36">
        <w:tab/>
        <w:t>întrucât ACC aplică o excepție culturală, care exclude serviciile audiovizuale din domeniul său de aplicare; subliniază necesitatea unei cooperări strategice în sectorul audiovizual pentru a asigura vizibilitatea producțiilor europene și competitivitatea lor la nivel mondial;</w:t>
      </w:r>
    </w:p>
    <w:p w14:paraId="0E3FA594" w14:textId="77777777" w:rsidR="0028437D" w:rsidRPr="00236F36" w:rsidRDefault="0028437D" w:rsidP="0003785D">
      <w:pPr>
        <w:spacing w:before="240"/>
        <w:ind w:left="562" w:hanging="562"/>
      </w:pPr>
      <w:r w:rsidRPr="00236F36">
        <w:t>232.</w:t>
      </w:r>
      <w:r w:rsidRPr="00236F36">
        <w:tab/>
        <w:t xml:space="preserve">încurajează o cooperare mai strânsă între Regatul Unit și UE pentru a facilita participarea sportivilor la competițiile sportive și la schimburile de personal sportiv; </w:t>
      </w:r>
    </w:p>
    <w:p w14:paraId="6BFFC58C" w14:textId="0A3BD5D0" w:rsidR="0028437D" w:rsidRPr="00236F36" w:rsidRDefault="0028437D" w:rsidP="0003785D">
      <w:pPr>
        <w:spacing w:before="240" w:after="240"/>
        <w:ind w:left="561" w:hanging="561"/>
      </w:pPr>
      <w:r w:rsidRPr="00236F36">
        <w:t>233.</w:t>
      </w:r>
      <w:r w:rsidRPr="00236F36">
        <w:tab/>
        <w:t>subliniază impactul negativ al recunoașterii fragmentate sau inexistente asupra mobilității studenților și a personalului, în special în domeniile artelor, culturii și educației și formării profesionale; subliniază că acest lucru împiedică eforturile de a găsi o soluție la deficitul de competențe din toată Europa; subliniază că inițiativele din cadrul Uniunii competențelor care abordează deficitul de competențe, tranzițiile verde și digitală, educația și formarea profesională și învățarea pe tot parcursul vieții s-ar putea extinde parțial la țările partenere asociate la programul Erasmus +; subliniază, în acest sens, valoarea adăugată pe care ar aduce-o reasocierea Regatului Unit la programul Erasmus + și îndeamnă Regatul Unit și Comisia să-și continue dialogul pentru a instaura un cadru viabil pentru recunoașterea reciprocă a calificărilor profesionale;</w:t>
      </w:r>
    </w:p>
    <w:p w14:paraId="4E4A7702" w14:textId="77777777" w:rsidR="0028437D" w:rsidRPr="00236F36" w:rsidRDefault="0028437D" w:rsidP="0028437D">
      <w:pPr>
        <w:pStyle w:val="NormalHanging12a"/>
        <w:ind w:left="0" w:firstLine="0"/>
        <w:rPr>
          <w:b/>
          <w:i/>
        </w:rPr>
      </w:pPr>
      <w:r w:rsidRPr="00236F36">
        <w:rPr>
          <w:b/>
          <w:i/>
        </w:rPr>
        <w:t>Cooperarea în materie de asigurare a respectării legii și cooperarea judiciară în materie penală</w:t>
      </w:r>
    </w:p>
    <w:p w14:paraId="19C457FA" w14:textId="77777777" w:rsidR="0028437D" w:rsidRPr="00236F36" w:rsidRDefault="0028437D" w:rsidP="0028437D">
      <w:pPr>
        <w:pStyle w:val="NormalHanging12a"/>
        <w:rPr>
          <w:i/>
        </w:rPr>
      </w:pPr>
      <w:r w:rsidRPr="00236F36">
        <w:t>234.</w:t>
      </w:r>
      <w:r w:rsidRPr="00236F36">
        <w:tab/>
        <w:t xml:space="preserve">se arată mulțumit de faptul că siguranța cetățenilor rămâne la loc de cinste pe agenda reînnoită de cooperare dintre UE și Regatul Unit; consideră îmbucurătoare cooperarea </w:t>
      </w:r>
      <w:r w:rsidRPr="00236F36">
        <w:lastRenderedPageBreak/>
        <w:t xml:space="preserve">mai strânsă în asigurarea respectării legii și în aspecte judiciare penale, cooperarea mai intensă pe tema riscurilor și amenințărilor legate de droguri și cooperarea aprofundată cu privire la provocările reprezentate de migrația neregulamentară, prevăzută în declarația comună și în Înțelegerea comună, adoptată la </w:t>
      </w:r>
      <w:proofErr w:type="spellStart"/>
      <w:r w:rsidRPr="00236F36">
        <w:t>summitul</w:t>
      </w:r>
      <w:proofErr w:type="spellEnd"/>
      <w:r w:rsidRPr="00236F36">
        <w:t xml:space="preserve"> UE-Regatul Unit;</w:t>
      </w:r>
    </w:p>
    <w:p w14:paraId="1C6FD9E7" w14:textId="34863CAB" w:rsidR="0028437D" w:rsidRPr="00236F36" w:rsidRDefault="0028437D" w:rsidP="0028437D">
      <w:pPr>
        <w:ind w:left="540" w:hanging="540"/>
      </w:pPr>
      <w:r w:rsidRPr="00236F36">
        <w:t>235.</w:t>
      </w:r>
      <w:r w:rsidRPr="00236F36">
        <w:tab/>
        <w:t xml:space="preserve">consideră demn de apreciat angajamentul reciproc de a respecta dreptul internațional și Convenția europeană a drepturilor omului (CEDO), luat de prim-ministrul Regatului Unit și de președinta Comisiei în declarația lor comună din 2 octombrie 2024 privind intensificarea cooperării strategice și în declarația comună de la </w:t>
      </w:r>
      <w:proofErr w:type="spellStart"/>
      <w:r w:rsidRPr="00236F36">
        <w:t>summitul</w:t>
      </w:r>
      <w:proofErr w:type="spellEnd"/>
      <w:r w:rsidRPr="00236F36">
        <w:t xml:space="preserve"> UE-UK; reamintește că condițiile generale pentru aplicarea părții a treia din ACC, prevăzute la articolul 524 alineatul (1), sunt o tradiție îndelungată de respectare a democrației și a statului de drept și de ocrotire a drepturilor și libertăților fundamentale ale oamenilor, inclusiv a celor prevăzute în Declarația universală a drepturilor omului și în CEDO, amintind totodată cât este de important să se acorde pe plan intern drepturile și libertățile garantate de CEDO; reiterează că aceste condiții trebuie garantate integral pentru aplicarea și implementarea ACC;</w:t>
      </w:r>
    </w:p>
    <w:p w14:paraId="5397517A" w14:textId="1CD23720" w:rsidR="0028437D" w:rsidRPr="00236F36" w:rsidRDefault="0028437D" w:rsidP="0003785D">
      <w:pPr>
        <w:spacing w:before="240"/>
        <w:ind w:left="539" w:hanging="539"/>
      </w:pPr>
      <w:r w:rsidRPr="00236F36">
        <w:t>236.</w:t>
      </w:r>
      <w:r w:rsidRPr="00236F36">
        <w:tab/>
        <w:t>consideră îmbucurătoare angajamentele stabilite în Declarația comună și în Înțelegerea comună de a colabora mai strâns în lupta contra traficului de persoane și a introducerii ilegale de persoane, contra traficului de droguri, criminalității organizate grave și transnaționale, precum și contra terorismului și extremismului violent, inclusiv în dimensiunea sa online, printr-o implementare mai rapidă, mai bună și mai aprofundată a părții a treia din ACC și exploatând și valorificând la maxim potențialul său;</w:t>
      </w:r>
    </w:p>
    <w:p w14:paraId="5E3D5038" w14:textId="77777777" w:rsidR="0028437D" w:rsidRPr="00236F36" w:rsidRDefault="0028437D" w:rsidP="0003785D">
      <w:pPr>
        <w:spacing w:before="240" w:after="240"/>
        <w:ind w:left="539" w:hanging="539"/>
      </w:pPr>
      <w:bookmarkStart w:id="25" w:name="_Hlk211951284"/>
      <w:r w:rsidRPr="00236F36">
        <w:t>237.</w:t>
      </w:r>
      <w:r w:rsidRPr="00236F36">
        <w:tab/>
        <w:t xml:space="preserve">se bucură să afle din concluzia Raportului de implementare din 2024 al Comisiei că în ultimul an implementarea ACC a funcționat fără cusur la capitolele cooperare polițienească și judiciară; </w:t>
      </w:r>
    </w:p>
    <w:p w14:paraId="713B4BC8" w14:textId="77777777" w:rsidR="0028437D" w:rsidRPr="00236F36" w:rsidRDefault="0028437D" w:rsidP="0028437D">
      <w:pPr>
        <w:ind w:left="539" w:hanging="539"/>
      </w:pPr>
      <w:r w:rsidRPr="00236F36">
        <w:t>238.</w:t>
      </w:r>
      <w:r w:rsidRPr="00236F36">
        <w:tab/>
        <w:t>se bucură în mod special să afle că, până la sfârșitul lui 2024, toate statele membre și Regatul Unit și-au acordat reciproc acces la bazele lor naționale de date ADN pentru căutări automatizate, în acord cu articolul 530 din ACC; consideră o veste bună că până la sfârșitul anului 2024, Regatul Unit a realizat 22 conexiuni de amprente digitale și s-a arătat gata să finalizeze restul de cinci; ține să remarce că în înțelegerea comună părțile s-au arătat hotărâte să intensifice schimburile reciproce de date privind amprentele digitale, ADN-ul și cazierele judiciare ale resortisanților țărilor din afara UE și să exploreze ideea de a extinde schimbul de date la imaginile faciale pentru prevenirea, depistarea și investigarea infracțiunilor, subliniind, în același timp, că schimburile, în varianta existentă și extinsă, depind de menținerea unui standard ridicat de protecție a datelor și de o evoluție a cadrului juridic din Regatul Unit care să rămână compatibilă cu cerințele UE de protecție a datelor;</w:t>
      </w:r>
    </w:p>
    <w:bookmarkEnd w:id="25"/>
    <w:p w14:paraId="7D61666C" w14:textId="77777777" w:rsidR="0028437D" w:rsidRPr="00236F36" w:rsidRDefault="0028437D" w:rsidP="0003785D">
      <w:pPr>
        <w:spacing w:before="240"/>
        <w:ind w:left="540" w:hanging="540"/>
      </w:pPr>
      <w:r w:rsidRPr="00236F36">
        <w:t>239.</w:t>
      </w:r>
      <w:r w:rsidRPr="00236F36">
        <w:tab/>
        <w:t xml:space="preserve">reamintește că ambele părți au de câștigat dacă organele lor polițienești și judiciare cooperează strâns pentru a contracara provocările comune în domenii precum operațiunile </w:t>
      </w:r>
      <w:proofErr w:type="spellStart"/>
      <w:r w:rsidRPr="00236F36">
        <w:t>contrateroriste</w:t>
      </w:r>
      <w:proofErr w:type="spellEnd"/>
      <w:r w:rsidRPr="00236F36">
        <w:t xml:space="preserve">, criminalitatea organizată, spălarea de bani, introducerea ilegală de persoane și traficul de persoane; subliniază, în acest sens, că UE și Regatul Unit trebuie să formuleze inițiative concrete de cooperare în aceste domenii; consideră îmbucurător că Regatul Unit cooperează strâns cu agenții de prim rang ale UE, precum Europol, </w:t>
      </w:r>
      <w:proofErr w:type="spellStart"/>
      <w:r w:rsidRPr="00236F36">
        <w:t>Eurojust</w:t>
      </w:r>
      <w:proofErr w:type="spellEnd"/>
      <w:r w:rsidRPr="00236F36">
        <w:t xml:space="preserve"> și </w:t>
      </w:r>
      <w:proofErr w:type="spellStart"/>
      <w:r w:rsidRPr="00236F36">
        <w:t>Frontex</w:t>
      </w:r>
      <w:proofErr w:type="spellEnd"/>
      <w:r w:rsidRPr="00236F36">
        <w:t>;</w:t>
      </w:r>
    </w:p>
    <w:p w14:paraId="3C05F431" w14:textId="479999A5" w:rsidR="0028437D" w:rsidRPr="00236F36" w:rsidRDefault="0028437D" w:rsidP="0003785D">
      <w:pPr>
        <w:spacing w:before="240" w:after="240"/>
        <w:ind w:left="567" w:hanging="567"/>
      </w:pPr>
      <w:r w:rsidRPr="00236F36">
        <w:t>240.</w:t>
      </w:r>
      <w:r w:rsidRPr="00236F36">
        <w:tab/>
        <w:t xml:space="preserve">consideră demn de apreciat faptul că guvernul Regatului Unit a intensificat prezența Agenției Naționale de Combatere a Criminalității din Regatul Unit în Europol și că într-un sens mai larg manifestă tendința de a întreține relații mai strânse cu Europol, inclusiv </w:t>
      </w:r>
      <w:r w:rsidRPr="00236F36">
        <w:lastRenderedPageBreak/>
        <w:t>în legătură cu posibilitatea de a face schimb de date în timp real;</w:t>
      </w:r>
    </w:p>
    <w:p w14:paraId="4B75DDA8" w14:textId="6AA832AB" w:rsidR="0028437D" w:rsidRPr="00236F36" w:rsidRDefault="0028437D" w:rsidP="0028437D">
      <w:pPr>
        <w:spacing w:after="240"/>
        <w:ind w:left="567" w:hanging="567"/>
      </w:pPr>
      <w:r w:rsidRPr="00236F36">
        <w:t>241.</w:t>
      </w:r>
      <w:r w:rsidRPr="00236F36">
        <w:tab/>
        <w:t xml:space="preserve">ia act de rapoartele anuale ale </w:t>
      </w:r>
      <w:proofErr w:type="spellStart"/>
      <w:r w:rsidRPr="00236F36">
        <w:t>Eurojust</w:t>
      </w:r>
      <w:proofErr w:type="spellEnd"/>
      <w:r w:rsidRPr="00236F36">
        <w:t xml:space="preserve"> pe 2023 și 2024 și se arată mulțumit de participarea și implicarea Regatului Unit în munca Agenției, în acești ani Regatul Unit fiind țara din afara UE cel mai des solicitată să participe la noile cazuri deschise de birourile naționale ale </w:t>
      </w:r>
      <w:proofErr w:type="spellStart"/>
      <w:r w:rsidRPr="00236F36">
        <w:t>Eurojust</w:t>
      </w:r>
      <w:proofErr w:type="spellEnd"/>
      <w:r w:rsidRPr="00236F36">
        <w:t>;</w:t>
      </w:r>
    </w:p>
    <w:p w14:paraId="03C5586B" w14:textId="77777777" w:rsidR="0028437D" w:rsidRPr="00236F36" w:rsidRDefault="0028437D" w:rsidP="0028437D">
      <w:pPr>
        <w:spacing w:after="240"/>
        <w:ind w:left="567" w:hanging="567"/>
      </w:pPr>
      <w:r w:rsidRPr="00236F36">
        <w:t>242.</w:t>
      </w:r>
      <w:r w:rsidRPr="00236F36">
        <w:tab/>
        <w:t xml:space="preserve">se bucură că în 2024 s-a încheiat un acord de lucru între </w:t>
      </w:r>
      <w:proofErr w:type="spellStart"/>
      <w:r w:rsidRPr="00236F36">
        <w:t>Frontex</w:t>
      </w:r>
      <w:proofErr w:type="spellEnd"/>
      <w:r w:rsidRPr="00236F36">
        <w:t xml:space="preserve"> și Ministerul de Interne al Regatului Unit, pe baza angajamentului comun de a îmbunătăți climatul de siguranță și securitate, respectând totodată obligațiile în materie de drepturi fundamentale; își exprimă încrederea că grație acestui acord se va intensifica cooperarea în gestionarea frontierelor și pe aspecte de securitate, inclusiv mobilizarea personalului pentru sarcini de consiliere și coordonare; </w:t>
      </w:r>
    </w:p>
    <w:p w14:paraId="44DDA0F1" w14:textId="51ACC142" w:rsidR="0028437D" w:rsidRPr="00236F36" w:rsidRDefault="0028437D" w:rsidP="0028437D">
      <w:pPr>
        <w:spacing w:after="240"/>
        <w:ind w:left="567" w:hanging="567"/>
      </w:pPr>
      <w:r w:rsidRPr="00236F36">
        <w:t>243.</w:t>
      </w:r>
      <w:r w:rsidRPr="00236F36">
        <w:tab/>
        <w:t xml:space="preserve">încurajează o cooperare mai strânsă între Rețeaua și agențiile europene de migrație, inclusiv Agenția UE pentru Azil și </w:t>
      </w:r>
      <w:proofErr w:type="spellStart"/>
      <w:r w:rsidRPr="00236F36">
        <w:t>Frontex</w:t>
      </w:r>
      <w:proofErr w:type="spellEnd"/>
      <w:r w:rsidRPr="00236F36">
        <w:t>, și autoritățile respective din Regatul Unit, în acord cu angajamentele luate în Înțelegerea comună; consideră demnă de menționat trimiterea care se face în Înțelegerea Comună la cooperarea în lupta împotriva drogurilor; încurajează încheierea unui acord de lucru privind schimbul reciproc de informații între Agenția Uniunii Europene privind Drogurile (EUDA) și autoritățile competente din Regatul Unit cu privire la riscurile și amenințările legate de droguri, pentru a ușura sarcinile EUDA; consideră că s-ar putea avea în vedere, judecând de la caz la caz, participarea Regatului Unit la reuniunile dintre Comitetul latinoamerican pentru securitate internă și omologii săi din UE;</w:t>
      </w:r>
    </w:p>
    <w:p w14:paraId="05740D81" w14:textId="6B7ED378" w:rsidR="0028437D" w:rsidRPr="00236F36" w:rsidRDefault="0028437D" w:rsidP="0028437D">
      <w:pPr>
        <w:spacing w:after="240"/>
        <w:ind w:left="567" w:hanging="567"/>
      </w:pPr>
      <w:r w:rsidRPr="00236F36">
        <w:t>244.</w:t>
      </w:r>
      <w:r w:rsidRPr="00236F36">
        <w:tab/>
        <w:t>remarcă provocările comune cu care se confruntă Regatul Unit și UE la capitolul imigrație ilegală; susține cu tărie angajamentul părților de a coopera mai strâns în foruri și procese multilaterale pentru a combate introducerea ilegală de imigranți și traficul de persoane, de a-și transmite una alteia informații operaționale despre returnările în țări terțe și de a explora mecanisme de descurajare, conforme cu dreptul național, unional și internațional, ținându-și, totodată, promisiunea de a asigura protecție internațională celor care au nevoie de ea; invită Comisia și guvernul Regatului Unit să se asigure că în orice acord de cooperare cu țările terțe pe teme de migrație ar trebui incluse măsuri adecvate prin care să se asigure respectarea cadrului juridic internațional, de pildă dreptul de azil;</w:t>
      </w:r>
    </w:p>
    <w:p w14:paraId="5036BA12" w14:textId="77777777" w:rsidR="0028437D" w:rsidRPr="00236F36" w:rsidRDefault="0028437D" w:rsidP="0028437D">
      <w:pPr>
        <w:spacing w:after="240"/>
        <w:ind w:left="567" w:hanging="567"/>
      </w:pPr>
      <w:r w:rsidRPr="00236F36">
        <w:t>245.</w:t>
      </w:r>
      <w:r w:rsidRPr="00236F36">
        <w:tab/>
        <w:t xml:space="preserve">reține că noua lege privind securitatea frontierelor, azilul și imigrația, introdusă în Parlamentul Regatului Unit la 30 ianuarie 2025, prevede posibilitatea de a încheia acorduri cu țările G7 și cu principalii parteneri europeni pentru a combate introducerea ilegală de imigranți; este încântat de dorința Regatului Unit de a colabora mai strâns cu anumite state membre individuale, inclusiv cu Franța și cu alți membrii ai Grupului de la Calais, pe teme legate de combaterea introducerii ilegale de persoane și a traficului de ființe umane și, în sens mai larg, de întărirea securității granițelor, inclusiv supravegherea granițelor; </w:t>
      </w:r>
    </w:p>
    <w:p w14:paraId="5E8D24D2" w14:textId="77777777" w:rsidR="0028437D" w:rsidRPr="00236F36" w:rsidRDefault="0028437D" w:rsidP="0028437D">
      <w:pPr>
        <w:spacing w:after="240"/>
        <w:ind w:left="567" w:hanging="567"/>
      </w:pPr>
      <w:r w:rsidRPr="00236F36">
        <w:t>246.</w:t>
      </w:r>
      <w:r w:rsidRPr="00236F36">
        <w:tab/>
        <w:t xml:space="preserve">reamintește că sistemul de extrădare dintre statele membre și Regatul Unit, prevăzut în partea a treia titlul VII din ACC, diferă de cel prevăzut în Decizia-cadru a Consiliului </w:t>
      </w:r>
      <w:r w:rsidRPr="00236F36">
        <w:lastRenderedPageBreak/>
        <w:t>privind mandatele europene de arestare</w:t>
      </w:r>
      <w:r w:rsidRPr="00236F36">
        <w:rPr>
          <w:rStyle w:val="FootnoteReference"/>
        </w:rPr>
        <w:footnoteReference w:id="51"/>
      </w:r>
      <w:r w:rsidRPr="00236F36">
        <w:t>; reamintește că, în hotărârea sa recentă</w:t>
      </w:r>
      <w:r w:rsidRPr="00236F36">
        <w:rPr>
          <w:rStyle w:val="FootnoteReference"/>
        </w:rPr>
        <w:footnoteReference w:id="52"/>
      </w:r>
      <w:r w:rsidRPr="00236F36">
        <w:t xml:space="preserve">, Curtea de Justiție a Uniunii Europene a statuat că autoritatea judiciară de executare trebuie să facă o examinare independentă a riscului de a se produce o încălcare a Cartei drepturilor fundamentale a Uniunii Europene în dauna persoanei vizate dacă este predată Regatului Unit; </w:t>
      </w:r>
    </w:p>
    <w:p w14:paraId="67CA75C9" w14:textId="77777777" w:rsidR="0028437D" w:rsidRPr="00236F36" w:rsidRDefault="0028437D" w:rsidP="0028437D">
      <w:pPr>
        <w:spacing w:after="240"/>
        <w:ind w:left="567" w:hanging="567"/>
      </w:pPr>
      <w:r w:rsidRPr="00236F36">
        <w:t>247.</w:t>
      </w:r>
      <w:r w:rsidRPr="00236F36">
        <w:tab/>
        <w:t xml:space="preserve">reamintește că partea a treia a ACC permite fluxuri de date extinse între UE și Regatul Unit, ca, de pildă, schimbul de date ADN, de date din registrul cu numele pasagerilor și de informații din cazierele judiciare; de aceea, remarcă că este extrem de important ca Regatul Unit să asigure un nivel de protecție a datelor echivalent, în esență, cu cel asigurat de UE pentru a nu pune în pericol standardele UE, și, în consecință, drepturile fundamentale ale cetățenilor UE atunci când au loc schimburi de date cu Regatul Unit; </w:t>
      </w:r>
    </w:p>
    <w:p w14:paraId="5D1596A1" w14:textId="7B83A245" w:rsidR="0028437D" w:rsidRPr="00236F36" w:rsidRDefault="0028437D" w:rsidP="0028437D">
      <w:pPr>
        <w:spacing w:after="240"/>
        <w:ind w:left="567" w:hanging="567"/>
      </w:pPr>
      <w:r w:rsidRPr="00236F36">
        <w:t>248.</w:t>
      </w:r>
      <w:r w:rsidRPr="00236F36">
        <w:tab/>
        <w:t>roagă Regatul Unit și statele membre ale UE să considere și pe mai departe drepturile cetățenilor o prioritate comună de prim ordin în relațiile dintre UE și Regatul Unit, veghind ca toți cetățenii UE și ai Regatului Unit care beneficiază de Acordul de retragere să se poată bucura pe deplin de drepturile lor; află cu satisfacție că UE și Regatul Unit s-au angajat încă o dată să pună în aplicare integral, prompt și fidel Acordul de retragere în toate părțile sale; salută măsura legislativă luată de guvernul Regatului Unit pentru a oferi claritate juridică cetățenilor UE cu statut de rezident în sistemul de înregistrare a cetățenilor UE și speră că va asigura o tranziție lină pentru cetățeni de la rezidența temporară la cea permanentă în următorii doi ani; subliniază că Autoritatea independentă de monitorizare a acordurilor privind drepturile cetățenilor a identificat schimbul de date între UE și Regatul Unit ca fiind un domeniu care poate cauza amânări în tratarea cererilor din sistemul de înregistrare a cetățenilor UE în cazurile în care statele membre nu dezvăluie în timp util informații relevante pentru cerere; de aceea, roagă Comisia și autoritățile statelor membre să reacționeze mai prompt la cereri și să asigure un schimb mai fluid de informații între Regatul Unit și UE și țările membre ale AELS din SEE, pentru a preveni amânările (Islanda, Liechtenstein și Norvegia) și a asigura un proces de procesare a cererilor fără frecușuri pentru cetățeni;</w:t>
      </w:r>
    </w:p>
    <w:p w14:paraId="20408CEF" w14:textId="77777777" w:rsidR="0028437D" w:rsidRPr="00236F36" w:rsidRDefault="0028437D" w:rsidP="0028437D">
      <w:pPr>
        <w:pStyle w:val="NormalHanging12a"/>
        <w:rPr>
          <w:b/>
          <w:bCs/>
          <w:i/>
        </w:rPr>
      </w:pPr>
      <w:r w:rsidRPr="00236F36">
        <w:rPr>
          <w:b/>
          <w:i/>
        </w:rPr>
        <w:t>Cooperarea în domeniul politicii externe și de securitate</w:t>
      </w:r>
    </w:p>
    <w:p w14:paraId="676B7C9F" w14:textId="77777777" w:rsidR="0028437D" w:rsidRPr="00236F36" w:rsidRDefault="0028437D" w:rsidP="0028437D">
      <w:pPr>
        <w:pStyle w:val="NormalHanging12a"/>
        <w:rPr>
          <w:szCs w:val="24"/>
        </w:rPr>
      </w:pPr>
      <w:r w:rsidRPr="00236F36">
        <w:t xml:space="preserve">249. </w:t>
      </w:r>
      <w:r w:rsidRPr="00236F36">
        <w:tab/>
        <w:t xml:space="preserve">subliniază coordonarea bună și pragmatică care există între UE și Regatul Unit în politica externă și de securitate cu scopul de a asigura stabilitatea și prosperitatea în alte regiuni ale lumii și invită UE și Regatului Unit să își intensifice cooperarea cu alți parteneri cu vederi similare; salută contribuția semnificativă a Regatului Unit la pacea, securitatea și stabilitatea Europei; evidențiază că pacea în Europa nu se poate menține fără un parteneriat puternic între UE și Regatul Unit în aspectele de politică externă și de securitate; apreciază participarea Regatului Unit la comunitatea politică europeană; </w:t>
      </w:r>
    </w:p>
    <w:p w14:paraId="2198CAC3" w14:textId="77777777" w:rsidR="0028437D" w:rsidRPr="00236F36" w:rsidRDefault="0028437D" w:rsidP="0028437D">
      <w:pPr>
        <w:pStyle w:val="NormalHanging12a"/>
        <w:rPr>
          <w:szCs w:val="24"/>
        </w:rPr>
      </w:pPr>
      <w:r w:rsidRPr="00236F36">
        <w:t xml:space="preserve">250. </w:t>
      </w:r>
      <w:r w:rsidRPr="00236F36">
        <w:tab/>
        <w:t xml:space="preserve">salută călduros Parteneriatul pentru securitate și apărare dintre UE și Regatul Unit considerându-l un cadru esențial pentru o cooperare extinsă între UE și Regatul Unit în domeniile securității și apărării, pentru a trata împreună amenințările comune și care acoperă domenii precum schimbul de informații și de date operative, mobilitatea </w:t>
      </w:r>
      <w:r w:rsidRPr="00236F36">
        <w:lastRenderedPageBreak/>
        <w:t xml:space="preserve">militară, inițiativele în materie de securitate și apărare, securitatea spațială, gestionarea crizelor, apărarea cibernetică, amenințările hibride, combaterea terorismului și manipularea informațiilor și ingerințele din partea unor entități externe; </w:t>
      </w:r>
    </w:p>
    <w:p w14:paraId="7DA75D00" w14:textId="77777777" w:rsidR="0028437D" w:rsidRPr="00236F36" w:rsidRDefault="0028437D" w:rsidP="0028437D">
      <w:pPr>
        <w:pStyle w:val="NormalHanging12a"/>
        <w:rPr>
          <w:szCs w:val="24"/>
        </w:rPr>
      </w:pPr>
      <w:r w:rsidRPr="00236F36">
        <w:t>251.</w:t>
      </w:r>
      <w:r w:rsidRPr="00236F36">
        <w:tab/>
        <w:t>subliniază amenințarea existențială reprezentată de războiul de agresiune al Rusiei contra Ucrainei și de amenințările acesteia de a extinde această agresiune la alte țări de pe continentul european; consideră că aceasta este cea mai importantă amenințare cu care se va confrunta continentul nostru în următorii ani, deși mai sunt și alte chestiuni importante; pledează pentru un răspuns politic pe măsură, care să acorde prioritate remedierii lacunelor în capabilitățile europene de apărare și descurajare, în special împreună cu partenerii europeni cu o viziune similară;</w:t>
      </w:r>
    </w:p>
    <w:p w14:paraId="18A7B1C1" w14:textId="77777777" w:rsidR="0028437D" w:rsidRPr="00236F36" w:rsidRDefault="0028437D" w:rsidP="0028437D">
      <w:pPr>
        <w:pStyle w:val="NormalHanging12a"/>
        <w:rPr>
          <w:szCs w:val="24"/>
        </w:rPr>
      </w:pPr>
      <w:r w:rsidRPr="00236F36">
        <w:t>252.</w:t>
      </w:r>
      <w:r w:rsidRPr="00236F36">
        <w:tab/>
        <w:t xml:space="preserve">salută cooperarea strânsă dintre UE și Regatul Unit ca răspuns la războiul de agresiune al Rusiei împotriva Ucrainei, remarcată la </w:t>
      </w:r>
      <w:proofErr w:type="spellStart"/>
      <w:r w:rsidRPr="00236F36">
        <w:t>summitul</w:t>
      </w:r>
      <w:proofErr w:type="spellEnd"/>
      <w:r w:rsidRPr="00236F36">
        <w:t xml:space="preserve"> UE-Regatul Unit; scoate în evidență faptul că UE și Regatul Unit și-au aliniat constant pozițiile în ce privește sancțiunile, sprijinul militar și financiar și coordonarea diplomatică, precum și angajamentul lor comun de a reinstaura o pace cuprinzătoare, justă și durabilă, bazată pe principiile dreptului internațional, justiției și responsabilității; invită UE și Regatul Unit să mențină o poziție unită fermă față de restul comunității internaționale cu privire la condamnarea acțiunilor Rusiei, apărarea suveranității, a integrității teritoriale și a independenței Ucrainei, precum și cu privire la contracararea acțiunilor de dezinformare ale Rusiei în legătură cu războiul său de agresiune împotriva Ucrainei și să își continue eforturile de a obține un sprijin internațional cât mai amplu posibil în aceste chestiuni; felicită Regatul Unit pentru contribuția vitală la securitatea europeană, la conturarea unui răspuns european ferm și unificat la războiul de agresiune dus de Rusia împotriva Ucrainei și la convocarea „coaliției de voluntari”; mulțumește Regatului Unit pentru contribuția sa la redresarea și reconstrucția viitoare a Ucrainei; respectând totodată politicile militare și de securitate ale statelor membre, inclusiv politicile de neutralitate; invită guvernul britanic și toate statele membre ale UE să își majoreze asistența militară pentru Ucraina și să ridice toate restricțiile aferente acestui tip de asistență; recomandă, în acest sens, ca acțiunile întreprinse în cadrul Regulamentului SAFE</w:t>
      </w:r>
      <w:r w:rsidRPr="00236F36">
        <w:rPr>
          <w:rStyle w:val="FootnoteReference"/>
          <w:szCs w:val="24"/>
        </w:rPr>
        <w:footnoteReference w:id="53"/>
      </w:r>
      <w:r w:rsidRPr="00236F36">
        <w:t xml:space="preserve"> atât de statele membre, cât și de Regatul Unit, să coopteze și Ucraina și baza sa industrială și tehnologică de apărare;</w:t>
      </w:r>
    </w:p>
    <w:p w14:paraId="745AEA30" w14:textId="77777777" w:rsidR="0028437D" w:rsidRPr="00236F36" w:rsidRDefault="0028437D" w:rsidP="0028437D">
      <w:pPr>
        <w:pStyle w:val="NormalHanging12a"/>
        <w:rPr>
          <w:szCs w:val="24"/>
        </w:rPr>
      </w:pPr>
      <w:r w:rsidRPr="00236F36">
        <w:t>253.</w:t>
      </w:r>
      <w:r w:rsidRPr="00236F36">
        <w:tab/>
        <w:t xml:space="preserve">apreciază atitudinea fermă a Regatului Unit față de introducerea și menținerea unor sancțiuni tot mai stricte și rolul său de lider în coaliția „Apelul la acțiune”, care urmărește să perturbe flota fantomă rusă; salută cooperarea strânsă dintre UE și Regatul Unit privind sancțiunile împotriva Rusiei și a flotei sale fantomă, aspect subliniat la </w:t>
      </w:r>
      <w:proofErr w:type="spellStart"/>
      <w:r w:rsidRPr="00236F36">
        <w:t>summitul</w:t>
      </w:r>
      <w:proofErr w:type="spellEnd"/>
      <w:r w:rsidRPr="00236F36">
        <w:t xml:space="preserve"> UE-Regatul Unit; face un apel la UE și Regatul Unit să își înăsprească și mai mult, de o manieră coerentă și coordonată, regimurile de sancțiuni respective pentru a asigura un impact maxim și a preveni eludarea sancțiunilor astfel încât să exercite o presiune economică și politică și mai mare asupra autorităților ruse, cu atât mai mult cu cât acestea au sabotat efectiv încetarea focului și orice negocieri de pace de substanță; îndeamnă atât UE, cât și Regatul Unit să își ajusteze reciproc sancțiunile și mai ales să impună sancțiuni împotriva tuturor petrolierelor din flota fantomă cunoscute și rămase nesancționate și împotriva armatorilor acestora, dar și împotriva agenților și firmelor de asigurări, introducând totodată sancțiuni pentru toate petrolierele care încalcă Convenția </w:t>
      </w:r>
      <w:r w:rsidRPr="00236F36">
        <w:lastRenderedPageBreak/>
        <w:t xml:space="preserve">internațională pentru prevenirea poluării de către nave și asigurându-se că toate statele membre pun în aplicare cu strictețe măsurile care le interzic navelor, indiferent de pavilion, să navigheze în apele Uniunii și ale Regatului Unit sau să intre în orice port al unui stat membru al UE sau al Regatului Unit dacă nu respectă normele internaționale privind transferurile de la navă la navă pe mare sau dacă își dezactivează ilegal sistemul de identificare automată; îndeamnă ambele părți să interzică transferurile de petrol rusesc de la navă la navă în apele lor teritoriale; încurajează intensificarea cooperării și a schimbului de informații pentru a identifica și urmări navele sau comportamentele suspecte, pentru a stabili și menține standarde stricte de siguranță și securitate maritimă și pentru a asigura respectarea dreptului maritim; </w:t>
      </w:r>
    </w:p>
    <w:p w14:paraId="5ED732AA" w14:textId="77777777" w:rsidR="0028437D" w:rsidRPr="00236F36" w:rsidRDefault="0028437D" w:rsidP="0028437D">
      <w:pPr>
        <w:pStyle w:val="NormalHanging12a"/>
        <w:rPr>
          <w:szCs w:val="24"/>
        </w:rPr>
      </w:pPr>
      <w:r w:rsidRPr="00236F36">
        <w:t>254.</w:t>
      </w:r>
      <w:r w:rsidRPr="00236F36">
        <w:tab/>
        <w:t xml:space="preserve">invită UE și Regatul Unit să facă în așa fel încât activele de stat rusești imobilizate să poată fi utilizate pentru a sprijini apărarea și reconstrucția Ucrainei și reparațiile care i se cuvin prin confiscare sau prin orice alte mijloace juridice necesare; </w:t>
      </w:r>
    </w:p>
    <w:p w14:paraId="00BF8E16" w14:textId="77777777" w:rsidR="0028437D" w:rsidRPr="00236F36" w:rsidRDefault="0028437D" w:rsidP="0028437D">
      <w:pPr>
        <w:pStyle w:val="NormalHanging12a"/>
        <w:rPr>
          <w:szCs w:val="24"/>
        </w:rPr>
      </w:pPr>
      <w:r w:rsidRPr="00236F36">
        <w:t>255.</w:t>
      </w:r>
      <w:r w:rsidRPr="00236F36">
        <w:tab/>
        <w:t xml:space="preserve">subliniază că țările europene trebuie să-și întărească urgent propriile capabilități pentru a-și putea asigura securitatea și apărarea; subliniază că parteneriatul pentru securitate și apărare are drept scop consolidarea contribuției europene la NATO, recunoscând rolul Regatului Unit de aliat de nădejde al NATO; reține angajamentul asumat de prim-ministrul Regatului Unit, Sir </w:t>
      </w:r>
      <w:proofErr w:type="spellStart"/>
      <w:r w:rsidRPr="00236F36">
        <w:t>Keir</w:t>
      </w:r>
      <w:proofErr w:type="spellEnd"/>
      <w:r w:rsidRPr="00236F36">
        <w:t xml:space="preserve"> </w:t>
      </w:r>
      <w:proofErr w:type="spellStart"/>
      <w:r w:rsidRPr="00236F36">
        <w:t>Starmer</w:t>
      </w:r>
      <w:proofErr w:type="spellEnd"/>
      <w:r w:rsidRPr="00236F36">
        <w:t xml:space="preserve">, de a majora cheltuielile pentru apărare până la 2,5 % din PIB până în aprilie 2027; îndeamnă statele membre să exploreze modalități de cooperare între UE și Regatul Unit prin care să sprijine înființarea unei bănci de apărare, securitate și reziliență care să servească drept instituție de împrumut multilaterală menită să ofere împrumuturi cu dobândă scăzută și pe termen lung pentru a sprijini priorități de securitate națională de prim ordin, cum ar fi refacerea stocurilor, modernizarea apărării, eforturile de reconstrucție în Ucraina și reachiziționarea infrastructurii critice deținute în prezent de țări ostile din afara UE; </w:t>
      </w:r>
    </w:p>
    <w:p w14:paraId="4FBA8BCD" w14:textId="77777777" w:rsidR="0028437D" w:rsidRPr="00236F36" w:rsidRDefault="0028437D" w:rsidP="0028437D">
      <w:pPr>
        <w:pStyle w:val="NormalHanging12a"/>
        <w:rPr>
          <w:szCs w:val="24"/>
        </w:rPr>
      </w:pPr>
      <w:r w:rsidRPr="00236F36">
        <w:t>256.</w:t>
      </w:r>
      <w:r w:rsidRPr="00236F36">
        <w:tab/>
        <w:t xml:space="preserve">invită Comisia să analizeze rapid orice posibilitate de cooperare consolidată reciproc avantajoasă creată de instrumentul Acțiunea pentru securitatea Europei (SAFE); invită Comisia să transmită Parlamentului informații complete cât mai curând posibil despre condițiile și detaliile asociate cu orice contribuție financiară care urmează să fie acordată de Regatul Unit; solicită implicarea Parlamentului în adoptarea acordului, în conformitate cu articolul 218 alineatul (6) litera (a) din TFUE; </w:t>
      </w:r>
    </w:p>
    <w:p w14:paraId="42921EF3" w14:textId="77777777" w:rsidR="0028437D" w:rsidRPr="00236F36" w:rsidRDefault="0028437D" w:rsidP="0028437D">
      <w:pPr>
        <w:pStyle w:val="NormalHanging12a"/>
        <w:rPr>
          <w:szCs w:val="24"/>
        </w:rPr>
      </w:pPr>
      <w:r w:rsidRPr="00236F36">
        <w:t>257.</w:t>
      </w:r>
      <w:r w:rsidRPr="00236F36">
        <w:tab/>
        <w:t xml:space="preserve">consideră că rolul de lider al Regatului Unit în cadrul Forței Expediționare Comune este esențial pentru viitorul securității europene și încurajează continuarea, în acest sens, a cooperării politice, financiare, operaționale și logistice dintre statele membre și forțele armate ale Regatului Unit; </w:t>
      </w:r>
    </w:p>
    <w:p w14:paraId="7ABA2FA8" w14:textId="77777777" w:rsidR="0028437D" w:rsidRPr="00236F36" w:rsidRDefault="0028437D" w:rsidP="0028437D">
      <w:pPr>
        <w:pStyle w:val="NormalHanging12a"/>
        <w:rPr>
          <w:szCs w:val="24"/>
        </w:rPr>
      </w:pPr>
      <w:r w:rsidRPr="00236F36">
        <w:t>258.</w:t>
      </w:r>
      <w:r w:rsidRPr="00236F36">
        <w:tab/>
        <w:t xml:space="preserve">subliniază că Regatul Unit este un actor european de prim rang în domeniul apărării, care se distinge prin expertiză și capabilități strategice avansate; recunoaște forța bazei sale industriale de apărare, în special în domeniile identificate de strategia de pregătire a UE pentru 2030 și de Strategia europeană privind industria de apărare ca fiind lacune critice în materie de capabilități, incluzând apărarea antiaeriană și antirachetă integrată, pe mai multe niveluri, artileria avansată, sistemele de rachete cu rază lungă de acțiune și sistemele fără pilot la bord; recunoaște legăturile profunde, </w:t>
      </w:r>
      <w:proofErr w:type="spellStart"/>
      <w:r w:rsidRPr="00236F36">
        <w:t>complementaritățile</w:t>
      </w:r>
      <w:proofErr w:type="spellEnd"/>
      <w:r w:rsidRPr="00236F36">
        <w:t xml:space="preserve"> și </w:t>
      </w:r>
      <w:proofErr w:type="spellStart"/>
      <w:r w:rsidRPr="00236F36">
        <w:t>sinergiile</w:t>
      </w:r>
      <w:proofErr w:type="spellEnd"/>
      <w:r w:rsidRPr="00236F36">
        <w:t xml:space="preserve"> dintre baza industrială și tehnologică de apărare europeană și baza industrială și tehnologică de apărare a Regatului Unit în urmărirea unor obiective de securitate comune prin dezvoltarea de noi acorduri de colaborare în domenii precum apărarea împotriva rachetelor balistice și hipersonice, sistemele de senzori spațiali și rețelele de alertă rapidă; solicită UE și Regatului Unit să depună mai multe eforturi pentru a </w:t>
      </w:r>
      <w:r w:rsidRPr="00236F36">
        <w:lastRenderedPageBreak/>
        <w:t xml:space="preserve">intensifica cooperarea între aceste sectoare industriale și a accentua coerența geografică a unei baze industriale de apărare europene comune care să includă și Ucraina, inclusiv în domeniul inovării și al cercetării și dezvoltării comune; apreciază eforturile statelor membre și ale Regatului Unit și ale industriilor lor de apărare de a investi în industria ucraineană de apărare și de a lega parteneriate cu aceasta și le invită să își intensifice aceste eforturi, în special prin înființarea de întreprinderi comune și prin expansiunea capacității de producție atât în Ucraina, cât și în statele membre; subliniază că puterea bazei industriale de apărare a UE poate contribui în egală măsură la consolidarea securității Regatului Unit; </w:t>
      </w:r>
    </w:p>
    <w:p w14:paraId="53C34900" w14:textId="77777777" w:rsidR="0028437D" w:rsidRPr="00236F36" w:rsidRDefault="0028437D" w:rsidP="0028437D">
      <w:pPr>
        <w:pStyle w:val="NormalHanging12a"/>
        <w:rPr>
          <w:szCs w:val="24"/>
        </w:rPr>
      </w:pPr>
      <w:r w:rsidRPr="00236F36">
        <w:t>259.</w:t>
      </w:r>
      <w:r w:rsidRPr="00236F36">
        <w:tab/>
        <w:t xml:space="preserve">îndeamnă UE și Regatul Unit să depună eforturi pentru a coopta Regatul Unit în inițiativele relevante ale UE în domeniul apărării, precum Fondul european de apărare (FEA), Programul privind industria europeană de apărare (EDIP), Actul privind consolidarea industriei europene de apărare prin achiziții publice în comun (EDIRPA), proiectele de cooperare structurată permanentă (PESCO), precum și viitoarele programe de apărare ale UE; se bucură să afle că parteneriatul pentru securitate și apărare anunță că va analiza posibilitatea de a încheia un acord administrativ între Agenția Europeană de Apărare (AEA) și Regatul Unit; propune AEA și Regatului Unit să încheie cu prioritate un astfel de acord, pentru a promova cooperarea practică; </w:t>
      </w:r>
    </w:p>
    <w:p w14:paraId="05D46057" w14:textId="77777777" w:rsidR="0028437D" w:rsidRPr="00236F36" w:rsidRDefault="0028437D" w:rsidP="0028437D">
      <w:pPr>
        <w:pStyle w:val="NormalHanging12a"/>
        <w:rPr>
          <w:szCs w:val="24"/>
        </w:rPr>
      </w:pPr>
      <w:r w:rsidRPr="00236F36">
        <w:t>260.</w:t>
      </w:r>
      <w:r w:rsidRPr="00236F36">
        <w:tab/>
        <w:t xml:space="preserve">subliniază legăturile dintre industriile de apărare din Regatul Unit și cele ale statelor membre, printre care întreprinderi mixte de importanță critică; recunoaște Coaliția privind </w:t>
      </w:r>
      <w:proofErr w:type="spellStart"/>
      <w:r w:rsidRPr="00236F36">
        <w:t>dronele</w:t>
      </w:r>
      <w:proofErr w:type="spellEnd"/>
      <w:r w:rsidRPr="00236F36">
        <w:t xml:space="preserve">, o inițiativă coordonată în comun de Regatul Unit și Letonia, formată din 17 state membre, ca fiind un exemplu pozitiv de colaborare privind dezvoltarea de capabilități avansate esențiale; regretă că Parteneriatul pentru securitate și apărare dintre UE și Regatul Unit nu abordează pe deplin problema valorificării la maximum a </w:t>
      </w:r>
      <w:proofErr w:type="spellStart"/>
      <w:r w:rsidRPr="00236F36">
        <w:t>sinergiilor</w:t>
      </w:r>
      <w:proofErr w:type="spellEnd"/>
      <w:r w:rsidRPr="00236F36">
        <w:t xml:space="preserve"> și complementarității dintre cele două baze industriale; solicită ambelor părți să aprofundeze urgent cooperarea industrială în domeniul apărării, în special pe partea de capabilități esențiale, ca, de pildă, factorii de producție strategici, printr-o foaie de parcurs pentru cooperarea industrială în domeniul apărării;  </w:t>
      </w:r>
    </w:p>
    <w:p w14:paraId="3F80AD31" w14:textId="77777777" w:rsidR="0028437D" w:rsidRPr="00236F36" w:rsidRDefault="0028437D" w:rsidP="0028437D">
      <w:pPr>
        <w:pStyle w:val="NormalHanging12a"/>
        <w:rPr>
          <w:szCs w:val="24"/>
        </w:rPr>
      </w:pPr>
      <w:r w:rsidRPr="00236F36">
        <w:t>261.</w:t>
      </w:r>
      <w:r w:rsidRPr="00236F36">
        <w:tab/>
        <w:t xml:space="preserve">reamintește că atât UE, cât și Regatul Unit se confruntă cu amenințări hibride majore și cu ingerințe din partea unor actori rău-intenționați, în special din partea Rusiei, dar nu numai; se bucură să constate că cooperarea privind contracararea amenințărilor hibride, inclusiv acțiunile străine de manipulare a informațiilor și ingerințele străine și securitatea cibernetică au fost identificate ca fiind domenii importante de cooperare la </w:t>
      </w:r>
      <w:proofErr w:type="spellStart"/>
      <w:r w:rsidRPr="00236F36">
        <w:t>summitul</w:t>
      </w:r>
      <w:proofErr w:type="spellEnd"/>
      <w:r w:rsidRPr="00236F36">
        <w:t xml:space="preserve"> UE-Regatul Unit; consideră de bun augur dialogul cibernetic desfășurat între UE și Regatul Unit în temeiul ACC; încurajează atât Regatul Unit, cât și UE să aprofundeze colaborarea benefică existentă și schimbul de informații privind definițiile armonizate și detectarea amenințărilor, identificarea rapidă și coordonarea răspunsurilor la campaniile hibride, o abordare mai comună față de strategiile de descurajare a amenințărilor cibernetice, consolidarea rezilienței cibernetice și a capacității cibernetice, precum și schimbul de bune practici pentru a asigura securitatea și reziliența societăților noastre democratice, inclusiv în țările candidate la UE; </w:t>
      </w:r>
    </w:p>
    <w:p w14:paraId="4681047F" w14:textId="77777777" w:rsidR="0028437D" w:rsidRPr="00236F36" w:rsidRDefault="0028437D" w:rsidP="0028437D">
      <w:pPr>
        <w:pStyle w:val="NormalHanging12a"/>
        <w:rPr>
          <w:szCs w:val="24"/>
        </w:rPr>
      </w:pPr>
      <w:r w:rsidRPr="00236F36">
        <w:t>262.</w:t>
      </w:r>
      <w:r w:rsidRPr="00236F36">
        <w:tab/>
        <w:t xml:space="preserve">apreciază angajamentul de a consolida cooperarea cu schimburi de informații privind conștientizarea situației, inclusiv informații clasificate; reiterează importanța coordonării și cooperării dintre UE și Regatul Unit pe partea de instrucție militară, schimb de informații și de date operative, precum și operațiuni de combatere a terorismului, esențiale pentru securitatea europeană; regretă, cu toate acestea, că Parteneriatul pentru securitate și apărare nu menționează schimbul de informații strategice; salută angajamentul comun de a consolida mobilitatea militară, inclusiv </w:t>
      </w:r>
      <w:r w:rsidRPr="00236F36">
        <w:lastRenderedPageBreak/>
        <w:t xml:space="preserve">finalizarea rețelei TEN-T și modernizarea infrastructurii cu dublă utilizare; subliniază necesitatea de a acorda prioritate digitalizării la punctele de trecere a frontierei și în infrastructura de transport pentru a accelera procedurile administrative și pentru a remedia diferențele de reglementare și neajunsurile infrastructurii, care continuă să reprezinte obstacole serioase în calea circulației rapide a trupelor și a echipamentelor; reamintește că această cooperare consolidată dintre UE și UK în domeniul mobilității militare ar trebui concretizată și în cadrul NATO prin optimizarea aspectelor normative, organizarea de exerciții comune între statele membre UE și Regatul Unit și schimbul de informații privind cerințele în materie de infrastructură; </w:t>
      </w:r>
    </w:p>
    <w:p w14:paraId="5E9651DA" w14:textId="77777777" w:rsidR="0028437D" w:rsidRPr="00236F36" w:rsidRDefault="0028437D" w:rsidP="0028437D">
      <w:pPr>
        <w:pStyle w:val="NormalHanging12a"/>
        <w:rPr>
          <w:szCs w:val="24"/>
        </w:rPr>
      </w:pPr>
      <w:r w:rsidRPr="00236F36">
        <w:t xml:space="preserve">263. </w:t>
      </w:r>
      <w:r w:rsidRPr="00236F36">
        <w:tab/>
        <w:t xml:space="preserve">consideră de bun augur coordonarea mai strânsă în securitatea maritimă, văzându-l ca pe un aspect-cheie pentru parteneriatul pentru securitate și apărare, având în vedere nevoia urgentă de a întări securitatea infrastructurii critice, inclusiv a celei de energie și comunicații, și de a asigura libertatea de navigație; subliniază importanța strategică a Parteneriatului pentru securitate și apărare pentru sectorul transportului maritim, în special pentru consolidarea rezilienței infrastructurii critice de transport, contracararea amenințărilor hibride și cimentarea securității cibernetice, inclusiv în domeniul navelor maritime autonome de suprafață; pledează pentru o coordonare strânsă în materie de protecție a navelor și a instalațiilor portuare, prin implementarea coerentă și armonizată a Codului internațional pentru securitatea navelor și a instalațiilor portuare; subliniază necesitatea de a coordona permanent reacțiile față de flota fantomă rusă, subliniind că schimbul de informații ar trebui să fie operațional și actualizat pentru a permite atât statelor membre ale UE, cât și Regatului Unit să reacționeze prompt; </w:t>
      </w:r>
    </w:p>
    <w:p w14:paraId="47CF109B" w14:textId="77777777" w:rsidR="0028437D" w:rsidRPr="00236F36" w:rsidRDefault="0028437D" w:rsidP="0028437D">
      <w:pPr>
        <w:pStyle w:val="NormalHanging12a"/>
        <w:rPr>
          <w:szCs w:val="24"/>
        </w:rPr>
      </w:pPr>
      <w:r w:rsidRPr="00236F36">
        <w:t xml:space="preserve">264. </w:t>
      </w:r>
      <w:r w:rsidRPr="00236F36">
        <w:tab/>
        <w:t xml:space="preserve">se bucură să vadă că ambele părți sunt ferm hotărâte să intensifice cooperarea în domenii-cheie precum securitatea maritimă în Marea Roșie, o pace durabilă și justă în Orientul Mijlociu, stabilizarea situațiilor din Sahel, Sudan și Republica Democratică Congo și din Balcanii de Vest, precum și cooperarea în regiunea arctică; salută angajamentul asumat la </w:t>
      </w:r>
      <w:proofErr w:type="spellStart"/>
      <w:r w:rsidRPr="00236F36">
        <w:t>summitul</w:t>
      </w:r>
      <w:proofErr w:type="spellEnd"/>
      <w:r w:rsidRPr="00236F36">
        <w:t xml:space="preserve"> UE-Regatul Unit de a aprofunda cooperarea în aceste domenii printr-un dialog mai structurat și prin acțiuni comune, inclusiv prin cooperare și coordonare pe teren; încurajează, prin urmare, UE și Regatul Unit să apeleze din plin la consultările strategice din cadrul Parteneriatului strategic pentru apărare privind Rusia/Ucraina, regiunea indo-pacifică, Balcanii de Vest și amenințările hibride; </w:t>
      </w:r>
    </w:p>
    <w:p w14:paraId="6DBCE02D" w14:textId="77777777" w:rsidR="0028437D" w:rsidRPr="00236F36" w:rsidRDefault="0028437D" w:rsidP="0028437D">
      <w:pPr>
        <w:pStyle w:val="NormalHanging12a"/>
        <w:rPr>
          <w:szCs w:val="24"/>
        </w:rPr>
      </w:pPr>
      <w:r w:rsidRPr="00236F36">
        <w:t>265.</w:t>
      </w:r>
      <w:r w:rsidRPr="00236F36">
        <w:tab/>
        <w:t xml:space="preserve">face un apel la UE și la Regatul Unit să consolideze pacea și stabilitatea internațională, inclusiv prin elaborarea unor strategii comune pentru consolidarea eforturilor ONU de menținere a păcii și gestionare a crizelor; solicită ambelor părți să promoveze o cultură a păcii și a dialogului considerând-o un mijloc de prevenire a conflictelor și de gestionare și soluționare a conflictelor, precum și să sprijine drepturile femeilor și egalitatea între femei și bărbați; sprijină continuarea cooperării actuale în aceste domenii; solicită o cooperare preferențială sistematică în operațiunile de menținere a păcii; regretă că participarea Regatului Unit la misiunile politicii de securitate și apărare comune, cum ar fi UE </w:t>
      </w:r>
      <w:proofErr w:type="spellStart"/>
      <w:r w:rsidRPr="00236F36">
        <w:t>Althea</w:t>
      </w:r>
      <w:proofErr w:type="spellEnd"/>
      <w:r w:rsidRPr="00236F36">
        <w:t xml:space="preserve"> sau </w:t>
      </w:r>
      <w:proofErr w:type="spellStart"/>
      <w:r w:rsidRPr="00236F36">
        <w:t>Atalanta</w:t>
      </w:r>
      <w:proofErr w:type="spellEnd"/>
      <w:r w:rsidRPr="00236F36">
        <w:t xml:space="preserve">, a încetat odată cu </w:t>
      </w:r>
      <w:proofErr w:type="spellStart"/>
      <w:r w:rsidRPr="00236F36">
        <w:t>Brexitul</w:t>
      </w:r>
      <w:proofErr w:type="spellEnd"/>
      <w:r w:rsidRPr="00236F36">
        <w:t xml:space="preserve"> și invită Vicepreședinta Comisiei/Înalta Reprezentantă a Uniunii pentru afaceri externe și politica de securitate, statele membre și autoritățile britanice să ia măsuri pentru ca Regatul Unit să participe din nou pentru a putea pune în practică Parteneriatul pentru securitate și apărare; solicită consolidarea cooperării dintre UE și Regatul Unit în chestiuni legate de dezvoltarea democratică, procesele de reformă și practicile parlamentare democratice din țările terțe, inclusiv observarea alegerilor; apreciază voința comună de a intensifica cooperarea consulară pentru a îmbunătăți răspunsul consular la crize; </w:t>
      </w:r>
    </w:p>
    <w:p w14:paraId="01F0FE56" w14:textId="77777777" w:rsidR="0028437D" w:rsidRPr="00236F36" w:rsidRDefault="0028437D" w:rsidP="0028437D">
      <w:pPr>
        <w:pStyle w:val="NormalHanging12a"/>
        <w:rPr>
          <w:szCs w:val="24"/>
        </w:rPr>
      </w:pPr>
      <w:r w:rsidRPr="00236F36">
        <w:lastRenderedPageBreak/>
        <w:t>266.</w:t>
      </w:r>
      <w:r w:rsidRPr="00236F36">
        <w:tab/>
        <w:t xml:space="preserve">subliniază importanța ordinii bazate pe reguli, ceea ce presupune inclusiv respectarea deplină a dreptului internațional și adeziunea la acesta, inclusiv la Carta ONU, la dreptul internațional umanitar și la dreptul internațional al drepturilor omului, precum și la principiul multilateralității; salută reafirmarea acestui angajament comun la </w:t>
      </w:r>
      <w:proofErr w:type="spellStart"/>
      <w:r w:rsidRPr="00236F36">
        <w:t>summitul</w:t>
      </w:r>
      <w:proofErr w:type="spellEnd"/>
      <w:r w:rsidRPr="00236F36">
        <w:t xml:space="preserve"> UE-Regatul Unit și se pronunță pentru continuarea eforturilor comune de a menține și a consolida această ordine în contextul creșterii instabilității la nivel mondial; solicită mai mult sprijin pentru a asigura funcționarea fără probleme a forurilor și instituțiilor multinaționale și regionale, în special a celor afectate de recentele schimbări geopolitice, de exemplu CPI, văzută ca o piatră de temelie a sistemului de justiție internațională, Organizația pentru Securitate și Cooperare în Europa sau Consiliul pentru Drepturile Omului al Organizației Națiunilor Unite; </w:t>
      </w:r>
    </w:p>
    <w:p w14:paraId="1559D095" w14:textId="77777777" w:rsidR="0028437D" w:rsidRPr="00236F36" w:rsidRDefault="0028437D" w:rsidP="0028437D">
      <w:pPr>
        <w:pStyle w:val="NormalHanging12a"/>
        <w:rPr>
          <w:szCs w:val="24"/>
        </w:rPr>
      </w:pPr>
      <w:r w:rsidRPr="00236F36">
        <w:t>267.</w:t>
      </w:r>
      <w:r w:rsidRPr="00236F36">
        <w:tab/>
        <w:t xml:space="preserve">felicită UE și Regatul Unit pentru angajamentul recent asumat, reflectat în Înțelegerea comună, de a purta un dialog periodic privind cooperarea pentru dezvoltare și de a consolida colaborarea în domenii precum răspunsul internațional în caz de dezastre și asistența umanitară; </w:t>
      </w:r>
    </w:p>
    <w:p w14:paraId="31A3A578" w14:textId="77777777" w:rsidR="0028437D" w:rsidRPr="00236F36" w:rsidRDefault="0028437D" w:rsidP="0028437D">
      <w:pPr>
        <w:pStyle w:val="NormalHanging12a"/>
        <w:rPr>
          <w:szCs w:val="24"/>
        </w:rPr>
      </w:pPr>
      <w:r w:rsidRPr="00236F36">
        <w:t>268.</w:t>
      </w:r>
      <w:r w:rsidRPr="00236F36">
        <w:tab/>
        <w:t xml:space="preserve">mulțumește Regatului Unit pentru sprijinul continuu manifestat pentru integrarea euro-atlantică și stabilitatea și prosperitatea celor șase țări din Balcanii de Vest, inclusiv pentru implicarea în Procesul de la Berlin; își dorește o colaborare mai strânsă între UE și Regatul Unit în urmărirea unor obiective comune în materie de securitate în vecinătatea est-europeană mai largă, inclusiv în zona Mării Negre și în regiunea Balcanilor de Vest, pe baza unei aprecieri comune a situației, în special pentru a sprijini integritatea teritorială, suveranitatea, stabilitatea și agenda de reforme interne, precum și reziliența democratică a statelor candidate la UE; recomandă să se facă bilanțul lecțiilor învățate în cei 25 de ani de implicare în Balcanii de Vest, cu un accent reînnoit pe asigurarea unor progrese concrete și a unor reforme transformatoare care să accelereze progresele țărilor pe drumul spre aderarea la UE și să contribuie la un viitor mai sigur pentru Europa; recunoaște rolul comun al UE și al Regatului Unit în susținerea Acordului de pace de la </w:t>
      </w:r>
      <w:proofErr w:type="spellStart"/>
      <w:r w:rsidRPr="00236F36">
        <w:t>Dayton</w:t>
      </w:r>
      <w:proofErr w:type="spellEnd"/>
      <w:r w:rsidRPr="00236F36">
        <w:t xml:space="preserve"> și a anexelor la acesta; </w:t>
      </w:r>
    </w:p>
    <w:p w14:paraId="6E0FC60E" w14:textId="77777777" w:rsidR="0028437D" w:rsidRPr="00236F36" w:rsidRDefault="0028437D" w:rsidP="0028437D">
      <w:pPr>
        <w:pStyle w:val="NormalHanging12a"/>
        <w:rPr>
          <w:szCs w:val="24"/>
        </w:rPr>
      </w:pPr>
      <w:r w:rsidRPr="00236F36">
        <w:t>269.</w:t>
      </w:r>
      <w:r w:rsidRPr="00236F36">
        <w:tab/>
        <w:t>roagă UE și Regatul Unit să colaboreze în vederea unei păci durabile în Orientul Mijlociu, inclusiv prin sprijinirea unei tranziții politice și protecția tuturor minorităților din Siria și prin combaterea impunității tuturor părților vinovate de încălcări ale dreptului internațional umanitar în Siria; salută cooperarea trainică și angajamentele UE și ale Regatului Unit de a depune eforturi pentru încetarea focului în Gaza și solicită de urgență eliberarea tuturor ostaticilor rămași, precum și angajamentul față de o soluție bazată pe coexistența a două state suverane și democratice, care să conviețuiască în pace și securitate garantate și cu respectarea deplină a dreptului internațional;</w:t>
      </w:r>
    </w:p>
    <w:p w14:paraId="6E2E02A4" w14:textId="77777777" w:rsidR="0028437D" w:rsidRPr="00236F36" w:rsidRDefault="0028437D" w:rsidP="0028437D">
      <w:pPr>
        <w:pStyle w:val="NormalHanging12a"/>
        <w:rPr>
          <w:szCs w:val="24"/>
        </w:rPr>
      </w:pPr>
      <w:r w:rsidRPr="00236F36">
        <w:t>270.</w:t>
      </w:r>
      <w:r w:rsidRPr="00236F36">
        <w:tab/>
      </w:r>
      <w:bookmarkStart w:id="26" w:name="_Hlk194523598"/>
      <w:r w:rsidRPr="00236F36">
        <w:t xml:space="preserve">îndeamnă UE și Regatul Unit să implementeze degrabă Parteneriatul pentru securitate și apărare și să acționeze pe baza lui, valorificându-i la maximum potențialul prin angajamente și acțiuni concrete pentru a-și atinge toate beneficiile în toată gama sa de domenii, inclusiv printr-un cadru interinstituțional în cadrul Consiliului de parteneriat UE-Regatul Unit și al dialogului de politică externă dintre UE și Regatul Unit; reține că mai rămâne de negociat condițiile bugetare și de reglementare ale parteneriatului, ținând seama de importanța autonomiei decizionale a UE; </w:t>
      </w:r>
    </w:p>
    <w:bookmarkEnd w:id="26"/>
    <w:p w14:paraId="76283BA5" w14:textId="77777777" w:rsidR="0028437D" w:rsidRPr="00236F36" w:rsidRDefault="0028437D" w:rsidP="0028437D">
      <w:pPr>
        <w:pStyle w:val="NormalHanging12a"/>
        <w:jc w:val="center"/>
      </w:pPr>
      <w:r w:rsidRPr="00236F36">
        <w:t>°</w:t>
      </w:r>
    </w:p>
    <w:p w14:paraId="008522B4" w14:textId="77777777" w:rsidR="0028437D" w:rsidRPr="00236F36" w:rsidRDefault="0028437D" w:rsidP="0028437D">
      <w:pPr>
        <w:pStyle w:val="NormalHanging12a"/>
        <w:jc w:val="center"/>
      </w:pPr>
      <w:r w:rsidRPr="00236F36">
        <w:t>°</w:t>
      </w:r>
      <w:r w:rsidRPr="00236F36">
        <w:tab/>
        <w:t>°</w:t>
      </w:r>
    </w:p>
    <w:p w14:paraId="0E910D50" w14:textId="77777777" w:rsidR="0028437D" w:rsidRPr="00236F36" w:rsidRDefault="0028437D" w:rsidP="0028437D">
      <w:pPr>
        <w:pStyle w:val="NormalHanging12a"/>
      </w:pPr>
      <w:r w:rsidRPr="00236F36">
        <w:lastRenderedPageBreak/>
        <w:t>271.</w:t>
      </w:r>
      <w:r w:rsidRPr="00236F36">
        <w:tab/>
        <w:t>încredințează Președintei sarcina de a transmite prezenta rezoluție Consiliului, Comisiei, Vicepreședintei Comisiei/Înaltei Reprezentante a Uniunii pentru afaceri externe și politica de securitate, guvernelor și parlamentelor statelor membre, precum și Guvernului și Parlamentului Regatului Unit.</w:t>
      </w:r>
    </w:p>
    <w:p w14:paraId="40AF7346" w14:textId="77777777" w:rsidR="0003785D" w:rsidRPr="00236F36" w:rsidRDefault="0003785D" w:rsidP="0028437D">
      <w:pPr>
        <w:pStyle w:val="NormalHanging12a"/>
        <w:rPr>
          <w:szCs w:val="24"/>
        </w:rPr>
      </w:pPr>
    </w:p>
    <w:sectPr w:rsidR="0003785D" w:rsidRPr="00236F36" w:rsidSect="000378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B9F80" w14:textId="77777777" w:rsidR="006D6C5D" w:rsidRPr="00592FE8" w:rsidRDefault="006D6C5D">
      <w:r w:rsidRPr="00592FE8">
        <w:separator/>
      </w:r>
    </w:p>
  </w:endnote>
  <w:endnote w:type="continuationSeparator" w:id="0">
    <w:p w14:paraId="51411590" w14:textId="77777777" w:rsidR="006D6C5D" w:rsidRPr="00592FE8" w:rsidRDefault="006D6C5D">
      <w:r w:rsidRPr="00592F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70AD" w14:textId="77777777" w:rsidR="00064002" w:rsidRPr="00592F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A6AC4" w14:textId="77777777" w:rsidR="00064002" w:rsidRPr="00592F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04A96" w14:textId="77777777" w:rsidR="00064002" w:rsidRPr="00592F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1291D" w14:textId="77777777" w:rsidR="006D6C5D" w:rsidRPr="00592FE8" w:rsidRDefault="006D6C5D">
      <w:r w:rsidRPr="00592FE8">
        <w:separator/>
      </w:r>
    </w:p>
  </w:footnote>
  <w:footnote w:type="continuationSeparator" w:id="0">
    <w:p w14:paraId="5EDC5BC2" w14:textId="77777777" w:rsidR="006D6C5D" w:rsidRPr="00592FE8" w:rsidRDefault="006D6C5D">
      <w:r w:rsidRPr="00592FE8">
        <w:continuationSeparator/>
      </w:r>
    </w:p>
  </w:footnote>
  <w:footnote w:id="1">
    <w:p w14:paraId="0394A2C7" w14:textId="28903627"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L 149, 30.4.2021, p. 10, ELI: </w:t>
      </w:r>
      <w:hyperlink r:id="rId1" w:history="1">
        <w:r w:rsidRPr="00592FE8">
          <w:rPr>
            <w:rStyle w:val="Hyperlink"/>
            <w:sz w:val="24"/>
            <w:lang w:val="ro-RO"/>
          </w:rPr>
          <w:t>http://data.europa.eu/eli/agree_internation/2021/689(1)/oj</w:t>
        </w:r>
      </w:hyperlink>
      <w:r w:rsidRPr="00592FE8">
        <w:rPr>
          <w:sz w:val="24"/>
          <w:lang w:val="ro-RO"/>
        </w:rPr>
        <w:t>.</w:t>
      </w:r>
    </w:p>
  </w:footnote>
  <w:footnote w:id="2">
    <w:p w14:paraId="78355161" w14:textId="4D5A2814"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L 29, 31.1.2020, p. 7, ELI: </w:t>
      </w:r>
      <w:hyperlink r:id="rId2" w:history="1">
        <w:r w:rsidRPr="00592FE8">
          <w:rPr>
            <w:rStyle w:val="Hyperlink"/>
            <w:sz w:val="24"/>
            <w:lang w:val="ro-RO"/>
          </w:rPr>
          <w:t>http://data.europa.eu/eli/treaty/withd_2020/sign</w:t>
        </w:r>
      </w:hyperlink>
      <w:r w:rsidRPr="00592FE8">
        <w:rPr>
          <w:sz w:val="24"/>
          <w:lang w:val="ro-RO"/>
        </w:rPr>
        <w:t xml:space="preserve">. </w:t>
      </w:r>
    </w:p>
  </w:footnote>
  <w:footnote w:id="3">
    <w:p w14:paraId="307FF312" w14:textId="05A3EEBE"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A se vedea 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r w:rsidRPr="00DF6F52">
        <w:rPr>
          <w:sz w:val="24"/>
          <w:lang w:val="ro-RO"/>
        </w:rPr>
        <w:t>JO L 102, 17.4.2023, p. 87</w:t>
      </w:r>
      <w:r w:rsidRPr="00592FE8">
        <w:rPr>
          <w:sz w:val="24"/>
          <w:lang w:val="ro-RO"/>
        </w:rPr>
        <w:t>).</w:t>
      </w:r>
    </w:p>
  </w:footnote>
  <w:footnote w:id="4">
    <w:p w14:paraId="379CC4B1" w14:textId="358CEEA9"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C, C/2025/4388, 9.9.2025, ELI: </w:t>
      </w:r>
      <w:hyperlink r:id="rId3" w:history="1">
        <w:r w:rsidRPr="00592FE8">
          <w:rPr>
            <w:rStyle w:val="Hyperlink"/>
            <w:sz w:val="24"/>
            <w:lang w:val="ro-RO"/>
          </w:rPr>
          <w:t>http://data.europa.eu/eli/C/2025/4388/oj</w:t>
        </w:r>
      </w:hyperlink>
      <w:r w:rsidRPr="00592FE8">
        <w:rPr>
          <w:sz w:val="24"/>
          <w:lang w:val="ro-RO"/>
        </w:rPr>
        <w:t xml:space="preserve">. </w:t>
      </w:r>
    </w:p>
  </w:footnote>
  <w:footnote w:id="5">
    <w:p w14:paraId="14329B43" w14:textId="49A081C2"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C, C/2025/4389, 9.9.2025, ELI: </w:t>
      </w:r>
      <w:hyperlink r:id="rId4" w:history="1">
        <w:r w:rsidRPr="00592FE8">
          <w:rPr>
            <w:rStyle w:val="Hyperlink"/>
            <w:sz w:val="24"/>
            <w:lang w:val="ro-RO"/>
          </w:rPr>
          <w:t>http://data.europa.eu/eli/C/2025/4389/oj</w:t>
        </w:r>
      </w:hyperlink>
      <w:r w:rsidRPr="00592FE8">
        <w:rPr>
          <w:sz w:val="24"/>
          <w:lang w:val="ro-RO"/>
        </w:rPr>
        <w:t xml:space="preserve">. </w:t>
      </w:r>
    </w:p>
  </w:footnote>
  <w:footnote w:id="6">
    <w:p w14:paraId="747B0E76" w14:textId="3DA410DC"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L 357, 8.10.2021, p. 1, ELI: </w:t>
      </w:r>
      <w:hyperlink r:id="rId5" w:history="1">
        <w:r w:rsidRPr="00592FE8">
          <w:rPr>
            <w:rStyle w:val="Hyperlink"/>
            <w:sz w:val="24"/>
            <w:lang w:val="ro-RO"/>
          </w:rPr>
          <w:t>http://data.europa.eu/eli/reg/2021/1755/o.j</w:t>
        </w:r>
      </w:hyperlink>
      <w:r w:rsidRPr="00592FE8">
        <w:rPr>
          <w:sz w:val="24"/>
          <w:lang w:val="ro-RO"/>
        </w:rPr>
        <w:t xml:space="preserve"> </w:t>
      </w:r>
    </w:p>
  </w:footnote>
  <w:footnote w:id="7">
    <w:p w14:paraId="2FE6BCC1" w14:textId="3CDA4E7F" w:rsidR="0028437D" w:rsidRPr="00592FE8" w:rsidRDefault="0028437D" w:rsidP="00592FE8">
      <w:pPr>
        <w:pStyle w:val="FootnoteText"/>
        <w:ind w:left="567" w:hanging="567"/>
        <w:rPr>
          <w:bCs/>
          <w:iCs/>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JO L, 2024/2509, 26.9.2024,</w:t>
      </w:r>
      <w:r w:rsidRPr="00592FE8">
        <w:rPr>
          <w:i/>
          <w:sz w:val="24"/>
          <w:lang w:val="ro-RO"/>
        </w:rPr>
        <w:t> </w:t>
      </w:r>
      <w:r w:rsidRPr="00592FE8">
        <w:rPr>
          <w:sz w:val="24"/>
          <w:lang w:val="ro-RO"/>
        </w:rPr>
        <w:t xml:space="preserve">ELI: </w:t>
      </w:r>
      <w:hyperlink r:id="rId6" w:history="1">
        <w:r w:rsidRPr="00592FE8">
          <w:rPr>
            <w:rStyle w:val="Hyperlink"/>
            <w:sz w:val="24"/>
            <w:lang w:val="ro-RO"/>
          </w:rPr>
          <w:t>http://data.europa.eu/eli/reg/2024/2509/oj</w:t>
        </w:r>
      </w:hyperlink>
      <w:r w:rsidRPr="00592FE8">
        <w:rPr>
          <w:sz w:val="24"/>
          <w:lang w:val="ro-RO"/>
        </w:rPr>
        <w:t>.</w:t>
      </w:r>
    </w:p>
  </w:footnote>
  <w:footnote w:id="8">
    <w:p w14:paraId="41E40391" w14:textId="54F3D175"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L 83, 22.3.2023, p. 1, ELI: </w:t>
      </w:r>
      <w:hyperlink r:id="rId7" w:history="1">
        <w:r w:rsidRPr="00592FE8">
          <w:rPr>
            <w:rStyle w:val="Hyperlink"/>
            <w:sz w:val="24"/>
            <w:lang w:val="ro-RO"/>
          </w:rPr>
          <w:t>http://data.europa.eu/eli/reg/2023/657/oj</w:t>
        </w:r>
      </w:hyperlink>
      <w:r w:rsidRPr="00592FE8">
        <w:rPr>
          <w:sz w:val="24"/>
          <w:lang w:val="ro-RO"/>
        </w:rPr>
        <w:t>.</w:t>
      </w:r>
    </w:p>
  </w:footnote>
  <w:footnote w:id="9">
    <w:p w14:paraId="6369A824" w14:textId="1ECFCD96"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C, C/2024/4222, 24.7.2024, ELI: </w:t>
      </w:r>
      <w:hyperlink r:id="rId8" w:history="1">
        <w:r w:rsidRPr="00592FE8">
          <w:rPr>
            <w:rStyle w:val="Hyperlink"/>
            <w:sz w:val="24"/>
            <w:lang w:val="ro-RO"/>
          </w:rPr>
          <w:t>http://data.europa.eu/eli/C/2024/4222/oj</w:t>
        </w:r>
      </w:hyperlink>
      <w:r w:rsidRPr="00592FE8">
        <w:rPr>
          <w:sz w:val="24"/>
          <w:lang w:val="ro-RO"/>
        </w:rPr>
        <w:t xml:space="preserve">. </w:t>
      </w:r>
    </w:p>
  </w:footnote>
  <w:footnote w:id="10">
    <w:p w14:paraId="67645E71" w14:textId="414D258E"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C, C/2025/3151, 20.6.2025, ELI: </w:t>
      </w:r>
      <w:hyperlink r:id="rId9" w:history="1">
        <w:r w:rsidRPr="00592FE8">
          <w:rPr>
            <w:rStyle w:val="Hyperlink"/>
            <w:sz w:val="24"/>
            <w:lang w:val="ro-RO"/>
          </w:rPr>
          <w:t>http://data.europa.eu/eli/C/2025/3151/oj</w:t>
        </w:r>
      </w:hyperlink>
      <w:r w:rsidRPr="00592FE8">
        <w:rPr>
          <w:sz w:val="24"/>
          <w:lang w:val="ro-RO"/>
        </w:rPr>
        <w:t xml:space="preserve">. </w:t>
      </w:r>
    </w:p>
  </w:footnote>
  <w:footnote w:id="11">
    <w:p w14:paraId="10880E70" w14:textId="5BC7F738" w:rsidR="0028437D" w:rsidRPr="00592FE8" w:rsidRDefault="0028437D" w:rsidP="00592FE8">
      <w:pPr>
        <w:pStyle w:val="FootnoteText"/>
        <w:ind w:left="567" w:hanging="567"/>
        <w:rPr>
          <w:b/>
          <w:bCs/>
          <w:i/>
          <w:iCs/>
          <w:sz w:val="24"/>
          <w:lang w:val="ro-RO"/>
        </w:rPr>
      </w:pPr>
      <w:r w:rsidRPr="00592FE8">
        <w:rPr>
          <w:rStyle w:val="FootnoteReference"/>
          <w:sz w:val="24"/>
          <w:szCs w:val="22"/>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Curtea Permanentă de Arbitraj, cauza 2024-45, </w:t>
      </w:r>
      <w:hyperlink r:id="rId10" w:history="1">
        <w:r w:rsidRPr="00592FE8">
          <w:rPr>
            <w:rStyle w:val="Hyperlink"/>
            <w:sz w:val="24"/>
            <w:lang w:val="ro-RO"/>
          </w:rPr>
          <w:t>https://pca-cpa.org/en/cases/334/</w:t>
        </w:r>
      </w:hyperlink>
      <w:r w:rsidRPr="00592FE8">
        <w:rPr>
          <w:sz w:val="24"/>
          <w:lang w:val="ro-RO"/>
        </w:rPr>
        <w:t>.</w:t>
      </w:r>
      <w:r w:rsidRPr="00592FE8">
        <w:rPr>
          <w:b/>
          <w:i/>
          <w:sz w:val="24"/>
          <w:lang w:val="ro-RO"/>
        </w:rPr>
        <w:t xml:space="preserve"> </w:t>
      </w:r>
    </w:p>
  </w:footnote>
  <w:footnote w:id="12">
    <w:p w14:paraId="4E9E9C0E" w14:textId="12F3D668"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L 91, 29.3.2023, p. 89, ELI: </w:t>
      </w:r>
      <w:hyperlink r:id="rId11" w:history="1">
        <w:r w:rsidRPr="00592FE8">
          <w:rPr>
            <w:rStyle w:val="Hyperlink"/>
            <w:sz w:val="24"/>
            <w:lang w:val="ro-RO"/>
          </w:rPr>
          <w:t>http://data.europa.eu/eli/dec/2023/698/oj</w:t>
        </w:r>
      </w:hyperlink>
      <w:r w:rsidRPr="00592FE8">
        <w:rPr>
          <w:sz w:val="24"/>
          <w:lang w:val="ro-RO"/>
        </w:rPr>
        <w:t>.</w:t>
      </w:r>
    </w:p>
  </w:footnote>
  <w:footnote w:id="13">
    <w:p w14:paraId="35D595DC" w14:textId="36CF8A38"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L 179, 14.7.2023, p. 147, ELI: </w:t>
      </w:r>
      <w:hyperlink r:id="rId12" w:history="1">
        <w:r w:rsidRPr="00592FE8">
          <w:rPr>
            <w:rStyle w:val="Hyperlink"/>
            <w:sz w:val="24"/>
            <w:lang w:val="ro-RO"/>
          </w:rPr>
          <w:t>http://data.europa.eu/eli/dec/2023/1460/oj</w:t>
        </w:r>
      </w:hyperlink>
      <w:r w:rsidRPr="00592FE8">
        <w:rPr>
          <w:sz w:val="24"/>
          <w:lang w:val="ro-RO"/>
        </w:rPr>
        <w:t>.</w:t>
      </w:r>
    </w:p>
  </w:footnote>
  <w:footnote w:id="14">
    <w:p w14:paraId="5DE2EB6B" w14:textId="5078C0E2" w:rsidR="0028437D" w:rsidRPr="00592FE8" w:rsidRDefault="0028437D" w:rsidP="00592FE8">
      <w:pPr>
        <w:pStyle w:val="FootnoteText"/>
        <w:ind w:left="567" w:hanging="567"/>
        <w:rPr>
          <w:bCs/>
          <w:iCs/>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IMA, </w:t>
      </w:r>
      <w:hyperlink r:id="rId13" w:history="1">
        <w:r w:rsidRPr="00592FE8">
          <w:rPr>
            <w:rStyle w:val="Hyperlink"/>
            <w:sz w:val="24"/>
            <w:lang w:val="ro-RO"/>
          </w:rPr>
          <w:t>‘</w:t>
        </w:r>
        <w:proofErr w:type="spellStart"/>
        <w:r w:rsidRPr="00592FE8">
          <w:rPr>
            <w:rStyle w:val="Hyperlink"/>
            <w:sz w:val="24"/>
            <w:lang w:val="ro-RO"/>
          </w:rPr>
          <w:t>Complaints</w:t>
        </w:r>
        <w:proofErr w:type="spellEnd"/>
        <w:r w:rsidRPr="00592FE8">
          <w:rPr>
            <w:rStyle w:val="Hyperlink"/>
            <w:sz w:val="24"/>
            <w:lang w:val="ro-RO"/>
          </w:rPr>
          <w:t xml:space="preserve"> </w:t>
        </w:r>
        <w:proofErr w:type="spellStart"/>
        <w:r w:rsidRPr="00592FE8">
          <w:rPr>
            <w:rStyle w:val="Hyperlink"/>
            <w:sz w:val="24"/>
            <w:lang w:val="ro-RO"/>
          </w:rPr>
          <w:t>to</w:t>
        </w:r>
        <w:proofErr w:type="spellEnd"/>
        <w:r w:rsidRPr="00592FE8">
          <w:rPr>
            <w:rStyle w:val="Hyperlink"/>
            <w:sz w:val="24"/>
            <w:lang w:val="ro-RO"/>
          </w:rPr>
          <w:t xml:space="preserve"> </w:t>
        </w:r>
        <w:proofErr w:type="spellStart"/>
        <w:r w:rsidRPr="00592FE8">
          <w:rPr>
            <w:rStyle w:val="Hyperlink"/>
            <w:sz w:val="24"/>
            <w:lang w:val="ro-RO"/>
          </w:rPr>
          <w:t>the</w:t>
        </w:r>
        <w:proofErr w:type="spellEnd"/>
        <w:r w:rsidRPr="00592FE8">
          <w:rPr>
            <w:rStyle w:val="Hyperlink"/>
            <w:sz w:val="24"/>
            <w:lang w:val="ro-RO"/>
          </w:rPr>
          <w:t xml:space="preserve"> IMA:</w:t>
        </w:r>
      </w:hyperlink>
      <w:hyperlink r:id="rId14" w:history="1">
        <w:r w:rsidRPr="00592FE8">
          <w:rPr>
            <w:rStyle w:val="Hyperlink"/>
            <w:sz w:val="24"/>
            <w:lang w:val="ro-RO"/>
          </w:rPr>
          <w:t xml:space="preserve"> 1 </w:t>
        </w:r>
        <w:proofErr w:type="spellStart"/>
        <w:r w:rsidRPr="00592FE8">
          <w:rPr>
            <w:rStyle w:val="Hyperlink"/>
            <w:sz w:val="24"/>
            <w:lang w:val="ro-RO"/>
          </w:rPr>
          <w:t>January</w:t>
        </w:r>
        <w:proofErr w:type="spellEnd"/>
        <w:r w:rsidRPr="00592FE8">
          <w:rPr>
            <w:rStyle w:val="Hyperlink"/>
            <w:sz w:val="24"/>
            <w:lang w:val="ro-RO"/>
          </w:rPr>
          <w:t xml:space="preserve"> 2023 – 30 June 2023’</w:t>
        </w:r>
      </w:hyperlink>
      <w:r w:rsidRPr="00592FE8">
        <w:rPr>
          <w:sz w:val="24"/>
          <w:lang w:val="ro-RO"/>
        </w:rPr>
        <w:t xml:space="preserve">. </w:t>
      </w:r>
    </w:p>
  </w:footnote>
  <w:footnote w:id="15">
    <w:p w14:paraId="656E412F" w14:textId="0154CE09" w:rsidR="0028437D" w:rsidRPr="00592FE8" w:rsidRDefault="0028437D" w:rsidP="00592FE8">
      <w:pPr>
        <w:pStyle w:val="FootnoteText"/>
        <w:ind w:left="567" w:hanging="567"/>
        <w:rPr>
          <w:sz w:val="24"/>
          <w:lang w:val="ro-RO"/>
        </w:rPr>
      </w:pPr>
      <w:r w:rsidRPr="00592FE8">
        <w:rPr>
          <w:rStyle w:val="FootnoteReference"/>
          <w:bCs/>
          <w:iCs/>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IMA, ‘</w:t>
      </w:r>
      <w:hyperlink r:id="rId15" w:history="1">
        <w:r w:rsidRPr="00592FE8">
          <w:rPr>
            <w:rStyle w:val="Hyperlink"/>
            <w:sz w:val="24"/>
            <w:lang w:val="ro-RO"/>
          </w:rPr>
          <w:t xml:space="preserve">IMA focus on </w:t>
        </w:r>
        <w:proofErr w:type="spellStart"/>
        <w:r w:rsidRPr="00592FE8">
          <w:rPr>
            <w:rStyle w:val="Hyperlink"/>
            <w:sz w:val="24"/>
            <w:lang w:val="ro-RO"/>
          </w:rPr>
          <w:t>citizens</w:t>
        </w:r>
        <w:proofErr w:type="spellEnd"/>
        <w:r w:rsidRPr="00592FE8">
          <w:rPr>
            <w:rStyle w:val="Hyperlink"/>
            <w:sz w:val="24"/>
            <w:lang w:val="ro-RO"/>
          </w:rPr>
          <w:t xml:space="preserve">’ </w:t>
        </w:r>
        <w:proofErr w:type="spellStart"/>
        <w:r w:rsidRPr="00592FE8">
          <w:rPr>
            <w:rStyle w:val="Hyperlink"/>
            <w:sz w:val="24"/>
            <w:lang w:val="ro-RO"/>
          </w:rPr>
          <w:t>rights</w:t>
        </w:r>
        <w:proofErr w:type="spellEnd"/>
        <w:r w:rsidRPr="00592FE8">
          <w:rPr>
            <w:rStyle w:val="Hyperlink"/>
            <w:sz w:val="24"/>
            <w:lang w:val="ro-RO"/>
          </w:rPr>
          <w:t xml:space="preserve"> in </w:t>
        </w:r>
        <w:proofErr w:type="spellStart"/>
        <w:r w:rsidRPr="00592FE8">
          <w:rPr>
            <w:rStyle w:val="Hyperlink"/>
            <w:sz w:val="24"/>
            <w:lang w:val="ro-RO"/>
          </w:rPr>
          <w:t>Northern</w:t>
        </w:r>
        <w:proofErr w:type="spellEnd"/>
        <w:r w:rsidRPr="00592FE8">
          <w:rPr>
            <w:rStyle w:val="Hyperlink"/>
            <w:sz w:val="24"/>
            <w:lang w:val="ro-RO"/>
          </w:rPr>
          <w:t xml:space="preserve"> </w:t>
        </w:r>
        <w:proofErr w:type="spellStart"/>
        <w:r w:rsidRPr="00592FE8">
          <w:rPr>
            <w:rStyle w:val="Hyperlink"/>
            <w:sz w:val="24"/>
            <w:lang w:val="ro-RO"/>
          </w:rPr>
          <w:t>Ireland</w:t>
        </w:r>
        <w:proofErr w:type="spellEnd"/>
        <w:r w:rsidRPr="00592FE8">
          <w:rPr>
            <w:rStyle w:val="Hyperlink"/>
            <w:sz w:val="24"/>
            <w:lang w:val="ro-RO"/>
          </w:rPr>
          <w:t>’</w:t>
        </w:r>
      </w:hyperlink>
      <w:r w:rsidRPr="00592FE8">
        <w:rPr>
          <w:sz w:val="24"/>
          <w:lang w:val="ro-RO"/>
        </w:rPr>
        <w:t xml:space="preserve">. </w:t>
      </w:r>
    </w:p>
  </w:footnote>
  <w:footnote w:id="16">
    <w:p w14:paraId="51C795B2" w14:textId="5C3F2783"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Declarația Comisiei, „O agendă reînnoită pentru cooperarea dintre Uniunea Europeană și Regatul Unit – înțelegere comună”, 19 mai 2025, </w:t>
      </w:r>
      <w:hyperlink r:id="rId16" w:history="1">
        <w:r w:rsidRPr="00592FE8">
          <w:rPr>
            <w:rStyle w:val="Hyperlink"/>
            <w:sz w:val="24"/>
            <w:lang w:val="ro-RO"/>
          </w:rPr>
          <w:t>https://ec.europa.eu/commission/presscorner/detail/en/statement_25_1267</w:t>
        </w:r>
      </w:hyperlink>
    </w:p>
  </w:footnote>
  <w:footnote w:id="17">
    <w:p w14:paraId="70C69D89" w14:textId="6E1830E8"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cu excepția cetățenilor irlandezi.</w:t>
      </w:r>
    </w:p>
  </w:footnote>
  <w:footnote w:id="18">
    <w:p w14:paraId="0E9682BD" w14:textId="2BB7F08F"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Guvernul Regatului Unit, „</w:t>
      </w:r>
      <w:hyperlink r:id="rId17" w:history="1">
        <w:r w:rsidRPr="00592FE8">
          <w:rPr>
            <w:rStyle w:val="Hyperlink"/>
            <w:sz w:val="24"/>
            <w:lang w:val="ro-RO"/>
          </w:rPr>
          <w:t xml:space="preserve">Turing Scheme </w:t>
        </w:r>
        <w:proofErr w:type="spellStart"/>
        <w:r w:rsidRPr="00592FE8">
          <w:rPr>
            <w:rStyle w:val="Hyperlink"/>
            <w:sz w:val="24"/>
            <w:lang w:val="ro-RO"/>
          </w:rPr>
          <w:t>funding</w:t>
        </w:r>
        <w:proofErr w:type="spellEnd"/>
        <w:r w:rsidRPr="00592FE8">
          <w:rPr>
            <w:rStyle w:val="Hyperlink"/>
            <w:sz w:val="24"/>
            <w:lang w:val="ro-RO"/>
          </w:rPr>
          <w:t xml:space="preserve"> </w:t>
        </w:r>
        <w:proofErr w:type="spellStart"/>
        <w:r w:rsidRPr="00592FE8">
          <w:rPr>
            <w:rStyle w:val="Hyperlink"/>
            <w:sz w:val="24"/>
            <w:lang w:val="ro-RO"/>
          </w:rPr>
          <w:t>results</w:t>
        </w:r>
        <w:proofErr w:type="spellEnd"/>
        <w:r w:rsidRPr="00592FE8">
          <w:rPr>
            <w:rStyle w:val="Hyperlink"/>
            <w:sz w:val="24"/>
            <w:lang w:val="ro-RO"/>
          </w:rPr>
          <w:t xml:space="preserve"> for </w:t>
        </w:r>
        <w:proofErr w:type="spellStart"/>
        <w:r w:rsidRPr="00592FE8">
          <w:rPr>
            <w:rStyle w:val="Hyperlink"/>
            <w:sz w:val="24"/>
            <w:lang w:val="ro-RO"/>
          </w:rPr>
          <w:t>the</w:t>
        </w:r>
        <w:proofErr w:type="spellEnd"/>
        <w:r w:rsidRPr="00592FE8">
          <w:rPr>
            <w:rStyle w:val="Hyperlink"/>
            <w:sz w:val="24"/>
            <w:lang w:val="ro-RO"/>
          </w:rPr>
          <w:t xml:space="preserve"> 2022-2023 academic </w:t>
        </w:r>
        <w:proofErr w:type="spellStart"/>
        <w:r w:rsidRPr="00592FE8">
          <w:rPr>
            <w:rStyle w:val="Hyperlink"/>
            <w:sz w:val="24"/>
            <w:lang w:val="ro-RO"/>
          </w:rPr>
          <w:t>year</w:t>
        </w:r>
        <w:proofErr w:type="spellEnd"/>
        <w:r w:rsidRPr="00592FE8">
          <w:rPr>
            <w:rStyle w:val="Hyperlink"/>
            <w:sz w:val="24"/>
            <w:lang w:val="ro-RO"/>
          </w:rPr>
          <w:t>”</w:t>
        </w:r>
      </w:hyperlink>
      <w:r w:rsidRPr="00592FE8">
        <w:rPr>
          <w:sz w:val="24"/>
          <w:lang w:val="ro-RO"/>
        </w:rPr>
        <w:t xml:space="preserve">. </w:t>
      </w:r>
    </w:p>
  </w:footnote>
  <w:footnote w:id="19">
    <w:p w14:paraId="3F224AC7" w14:textId="3A1B10B5"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University UK International, „</w:t>
      </w:r>
      <w:proofErr w:type="spellStart"/>
      <w:r w:rsidRPr="00592FE8">
        <w:rPr>
          <w:sz w:val="24"/>
          <w:lang w:val="ro-RO"/>
        </w:rPr>
        <w:t>Gone</w:t>
      </w:r>
      <w:proofErr w:type="spellEnd"/>
      <w:r w:rsidRPr="00592FE8">
        <w:rPr>
          <w:sz w:val="24"/>
          <w:lang w:val="ro-RO"/>
        </w:rPr>
        <w:t xml:space="preserve"> International: </w:t>
      </w:r>
      <w:proofErr w:type="spellStart"/>
      <w:r w:rsidRPr="00592FE8">
        <w:rPr>
          <w:sz w:val="24"/>
          <w:lang w:val="ro-RO"/>
        </w:rPr>
        <w:t>Expanding</w:t>
      </w:r>
      <w:proofErr w:type="spellEnd"/>
      <w:r w:rsidRPr="00592FE8">
        <w:rPr>
          <w:sz w:val="24"/>
          <w:lang w:val="ro-RO"/>
        </w:rPr>
        <w:t xml:space="preserve"> </w:t>
      </w:r>
      <w:proofErr w:type="spellStart"/>
      <w:r w:rsidRPr="00592FE8">
        <w:rPr>
          <w:sz w:val="24"/>
          <w:lang w:val="ro-RO"/>
        </w:rPr>
        <w:t>Opportunities</w:t>
      </w:r>
      <w:proofErr w:type="spellEnd"/>
      <w:r w:rsidRPr="00592FE8">
        <w:rPr>
          <w:sz w:val="24"/>
          <w:lang w:val="ro-RO"/>
        </w:rPr>
        <w:t xml:space="preserve">” </w:t>
      </w:r>
      <w:hyperlink r:id="rId18" w:history="1">
        <w:r w:rsidRPr="00592FE8">
          <w:rPr>
            <w:rStyle w:val="Hyperlink"/>
            <w:sz w:val="24"/>
            <w:lang w:val="ro-RO"/>
          </w:rPr>
          <w:t>https://dera.ioe.ac.uk/id/eprint/31640/1/Gone%20International_expanding%20opportunities_digital.pdf</w:t>
        </w:r>
      </w:hyperlink>
      <w:r w:rsidRPr="00592FE8">
        <w:rPr>
          <w:rStyle w:val="Hyperlink"/>
          <w:sz w:val="24"/>
          <w:lang w:val="ro-RO"/>
        </w:rPr>
        <w:t>.</w:t>
      </w:r>
    </w:p>
  </w:footnote>
  <w:footnote w:id="20">
    <w:p w14:paraId="219B7E06" w14:textId="6E81227D"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Spania, Franța și Germania - cele mai populare trei destinații Erasmus+ pentru studenții din Regatul Unit - au înregistrat o scădere dramatică de 43 % a numărului mediu de participanți la învățământul superior din Regatul Unit în cadrul programului Turing, (The British Academy, „The Turing Scheme – </w:t>
      </w:r>
      <w:proofErr w:type="spellStart"/>
      <w:r w:rsidRPr="00592FE8">
        <w:rPr>
          <w:sz w:val="24"/>
          <w:lang w:val="ro-RO"/>
        </w:rPr>
        <w:t>Understanding</w:t>
      </w:r>
      <w:proofErr w:type="spellEnd"/>
      <w:r w:rsidRPr="00592FE8">
        <w:rPr>
          <w:sz w:val="24"/>
          <w:lang w:val="ro-RO"/>
        </w:rPr>
        <w:t xml:space="preserve"> </w:t>
      </w:r>
      <w:proofErr w:type="spellStart"/>
      <w:r w:rsidRPr="00592FE8">
        <w:rPr>
          <w:sz w:val="24"/>
          <w:lang w:val="ro-RO"/>
        </w:rPr>
        <w:t>impacts</w:t>
      </w:r>
      <w:proofErr w:type="spellEnd"/>
      <w:r w:rsidRPr="00592FE8">
        <w:rPr>
          <w:sz w:val="24"/>
          <w:lang w:val="ro-RO"/>
        </w:rPr>
        <w:t xml:space="preserve"> </w:t>
      </w:r>
      <w:proofErr w:type="spellStart"/>
      <w:r w:rsidRPr="00592FE8">
        <w:rPr>
          <w:sz w:val="24"/>
          <w:lang w:val="ro-RO"/>
        </w:rPr>
        <w:t>and</w:t>
      </w:r>
      <w:proofErr w:type="spellEnd"/>
      <w:r w:rsidRPr="00592FE8">
        <w:rPr>
          <w:sz w:val="24"/>
          <w:lang w:val="ro-RO"/>
        </w:rPr>
        <w:t xml:space="preserve"> </w:t>
      </w:r>
      <w:proofErr w:type="spellStart"/>
      <w:r w:rsidRPr="00592FE8">
        <w:rPr>
          <w:sz w:val="24"/>
          <w:lang w:val="ro-RO"/>
        </w:rPr>
        <w:t>implications</w:t>
      </w:r>
      <w:proofErr w:type="spellEnd"/>
      <w:r w:rsidRPr="00592FE8">
        <w:rPr>
          <w:sz w:val="24"/>
          <w:lang w:val="ro-RO"/>
        </w:rPr>
        <w:t xml:space="preserve">” (The British Academy, Programul Turing - impacturi și implicații), noiembrie 2023, </w:t>
      </w:r>
      <w:hyperlink r:id="rId19" w:history="1">
        <w:r w:rsidRPr="00592FE8">
          <w:rPr>
            <w:rStyle w:val="Hyperlink"/>
            <w:sz w:val="24"/>
            <w:lang w:val="ro-RO"/>
          </w:rPr>
          <w:t>https://www.thebritishacademy.ac.uk/documents/5022/The_Turing_Scheme_-_Understanding_Impacts_and_Implications.pdf</w:t>
        </w:r>
      </w:hyperlink>
      <w:r w:rsidRPr="00592FE8">
        <w:rPr>
          <w:sz w:val="24"/>
          <w:lang w:val="ro-RO"/>
        </w:rPr>
        <w:t>.</w:t>
      </w:r>
    </w:p>
  </w:footnote>
  <w:footnote w:id="21">
    <w:p w14:paraId="653E7BD4" w14:textId="1F674257"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Agenția de statistică privind învățământul superior „Regatul Unit, 2022/23 – „</w:t>
      </w:r>
      <w:proofErr w:type="spellStart"/>
      <w:r w:rsidRPr="00592FE8">
        <w:rPr>
          <w:sz w:val="24"/>
          <w:lang w:val="ro-RO"/>
        </w:rPr>
        <w:t>Where</w:t>
      </w:r>
      <w:proofErr w:type="spellEnd"/>
      <w:r w:rsidRPr="00592FE8">
        <w:rPr>
          <w:sz w:val="24"/>
          <w:lang w:val="ro-RO"/>
        </w:rPr>
        <w:t xml:space="preserve"> </w:t>
      </w:r>
      <w:proofErr w:type="spellStart"/>
      <w:r w:rsidRPr="00592FE8">
        <w:rPr>
          <w:sz w:val="24"/>
          <w:lang w:val="ro-RO"/>
        </w:rPr>
        <w:t>Students</w:t>
      </w:r>
      <w:proofErr w:type="spellEnd"/>
      <w:r w:rsidRPr="00592FE8">
        <w:rPr>
          <w:sz w:val="24"/>
          <w:lang w:val="ro-RO"/>
        </w:rPr>
        <w:t xml:space="preserve"> come </w:t>
      </w:r>
      <w:proofErr w:type="spellStart"/>
      <w:r w:rsidRPr="00592FE8">
        <w:rPr>
          <w:sz w:val="24"/>
          <w:lang w:val="ro-RO"/>
        </w:rPr>
        <w:t>from</w:t>
      </w:r>
      <w:proofErr w:type="spellEnd"/>
      <w:r w:rsidRPr="00592FE8">
        <w:rPr>
          <w:sz w:val="24"/>
          <w:lang w:val="ro-RO"/>
        </w:rPr>
        <w:t xml:space="preserve"> </w:t>
      </w:r>
      <w:proofErr w:type="spellStart"/>
      <w:r w:rsidRPr="00592FE8">
        <w:rPr>
          <w:sz w:val="24"/>
          <w:lang w:val="ro-RO"/>
        </w:rPr>
        <w:t>and</w:t>
      </w:r>
      <w:proofErr w:type="spellEnd"/>
      <w:r w:rsidRPr="00592FE8">
        <w:rPr>
          <w:sz w:val="24"/>
          <w:lang w:val="ro-RO"/>
        </w:rPr>
        <w:t xml:space="preserve"> </w:t>
      </w:r>
      <w:proofErr w:type="spellStart"/>
      <w:r w:rsidRPr="00592FE8">
        <w:rPr>
          <w:sz w:val="24"/>
          <w:lang w:val="ro-RO"/>
        </w:rPr>
        <w:t>go</w:t>
      </w:r>
      <w:proofErr w:type="spellEnd"/>
      <w:r w:rsidRPr="00592FE8">
        <w:rPr>
          <w:sz w:val="24"/>
          <w:lang w:val="ro-RO"/>
        </w:rPr>
        <w:t xml:space="preserve"> </w:t>
      </w:r>
      <w:proofErr w:type="spellStart"/>
      <w:r w:rsidRPr="00592FE8">
        <w:rPr>
          <w:sz w:val="24"/>
          <w:lang w:val="ro-RO"/>
        </w:rPr>
        <w:t>to</w:t>
      </w:r>
      <w:proofErr w:type="spellEnd"/>
      <w:r w:rsidRPr="00592FE8">
        <w:rPr>
          <w:sz w:val="24"/>
          <w:lang w:val="ro-RO"/>
        </w:rPr>
        <w:t xml:space="preserve"> </w:t>
      </w:r>
      <w:proofErr w:type="spellStart"/>
      <w:r w:rsidRPr="00592FE8">
        <w:rPr>
          <w:sz w:val="24"/>
          <w:lang w:val="ro-RO"/>
        </w:rPr>
        <w:t>study</w:t>
      </w:r>
      <w:proofErr w:type="spellEnd"/>
      <w:r w:rsidRPr="00592FE8">
        <w:rPr>
          <w:sz w:val="24"/>
          <w:lang w:val="ro-RO"/>
        </w:rPr>
        <w:t xml:space="preserve">” (De unde provin studenții și unde se duc să studieze), 8 august 2024, </w:t>
      </w:r>
      <w:hyperlink r:id="rId20" w:history="1">
        <w:r w:rsidRPr="00592FE8">
          <w:rPr>
            <w:rStyle w:val="Hyperlink"/>
            <w:sz w:val="24"/>
            <w:lang w:val="ro-RO"/>
          </w:rPr>
          <w:t>https://www.hesa.ac.uk/news/08-08-2024/sb269-higher-education-student-statistics/location</w:t>
        </w:r>
      </w:hyperlink>
      <w:r w:rsidRPr="00592FE8">
        <w:rPr>
          <w:sz w:val="24"/>
          <w:lang w:val="ro-RO"/>
        </w:rPr>
        <w:t xml:space="preserve">. </w:t>
      </w:r>
    </w:p>
  </w:footnote>
  <w:footnote w:id="22">
    <w:p w14:paraId="29215114" w14:textId="6721F3DA"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Universitatea Țării Galilor, „Wales </w:t>
      </w:r>
      <w:proofErr w:type="spellStart"/>
      <w:r w:rsidRPr="00592FE8">
        <w:rPr>
          <w:sz w:val="24"/>
          <w:lang w:val="ro-RO"/>
        </w:rPr>
        <w:t>beyond</w:t>
      </w:r>
      <w:proofErr w:type="spellEnd"/>
      <w:r w:rsidRPr="00592FE8">
        <w:rPr>
          <w:sz w:val="24"/>
          <w:lang w:val="ro-RO"/>
        </w:rPr>
        <w:t xml:space="preserve"> </w:t>
      </w:r>
      <w:proofErr w:type="spellStart"/>
      <w:r w:rsidRPr="00592FE8">
        <w:rPr>
          <w:sz w:val="24"/>
          <w:lang w:val="ro-RO"/>
        </w:rPr>
        <w:t>borders</w:t>
      </w:r>
      <w:proofErr w:type="spellEnd"/>
      <w:r w:rsidRPr="00592FE8">
        <w:rPr>
          <w:sz w:val="24"/>
          <w:lang w:val="ro-RO"/>
        </w:rPr>
        <w:t xml:space="preserve">”  </w:t>
      </w:r>
    </w:p>
  </w:footnote>
  <w:footnote w:id="23">
    <w:p w14:paraId="7E3036AA" w14:textId="14FC7494"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Guvernul scoțian, „</w:t>
      </w:r>
      <w:proofErr w:type="spellStart"/>
      <w:r w:rsidRPr="00592FE8">
        <w:rPr>
          <w:sz w:val="24"/>
          <w:lang w:val="ro-RO"/>
        </w:rPr>
        <w:t>Scottish</w:t>
      </w:r>
      <w:proofErr w:type="spellEnd"/>
      <w:r w:rsidRPr="00592FE8">
        <w:rPr>
          <w:sz w:val="24"/>
          <w:lang w:val="ro-RO"/>
        </w:rPr>
        <w:t xml:space="preserve"> </w:t>
      </w:r>
      <w:proofErr w:type="spellStart"/>
      <w:r w:rsidRPr="00592FE8">
        <w:rPr>
          <w:sz w:val="24"/>
          <w:lang w:val="ro-RO"/>
        </w:rPr>
        <w:t>Education</w:t>
      </w:r>
      <w:proofErr w:type="spellEnd"/>
      <w:r w:rsidRPr="00592FE8">
        <w:rPr>
          <w:sz w:val="24"/>
          <w:lang w:val="ro-RO"/>
        </w:rPr>
        <w:t xml:space="preserve"> Exchange </w:t>
      </w:r>
      <w:proofErr w:type="spellStart"/>
      <w:r w:rsidRPr="00592FE8">
        <w:rPr>
          <w:sz w:val="24"/>
          <w:lang w:val="ro-RO"/>
        </w:rPr>
        <w:t>Programme</w:t>
      </w:r>
      <w:proofErr w:type="spellEnd"/>
      <w:r w:rsidRPr="00592FE8">
        <w:rPr>
          <w:sz w:val="24"/>
          <w:lang w:val="ro-RO"/>
        </w:rPr>
        <w:t xml:space="preserve"> – Test </w:t>
      </w:r>
      <w:proofErr w:type="spellStart"/>
      <w:r w:rsidRPr="00592FE8">
        <w:rPr>
          <w:sz w:val="24"/>
          <w:lang w:val="ro-RO"/>
        </w:rPr>
        <w:t>and</w:t>
      </w:r>
      <w:proofErr w:type="spellEnd"/>
      <w:r w:rsidRPr="00592FE8">
        <w:rPr>
          <w:sz w:val="24"/>
          <w:lang w:val="ro-RO"/>
        </w:rPr>
        <w:t xml:space="preserve"> </w:t>
      </w:r>
      <w:proofErr w:type="spellStart"/>
      <w:r w:rsidRPr="00592FE8">
        <w:rPr>
          <w:sz w:val="24"/>
          <w:lang w:val="ro-RO"/>
        </w:rPr>
        <w:t>Learn</w:t>
      </w:r>
      <w:proofErr w:type="spellEnd"/>
      <w:r w:rsidRPr="00592FE8">
        <w:rPr>
          <w:sz w:val="24"/>
          <w:lang w:val="ro-RO"/>
        </w:rPr>
        <w:t xml:space="preserve">: </w:t>
      </w:r>
      <w:proofErr w:type="spellStart"/>
      <w:r w:rsidRPr="00592FE8">
        <w:rPr>
          <w:sz w:val="24"/>
          <w:lang w:val="ro-RO"/>
        </w:rPr>
        <w:t>funded</w:t>
      </w:r>
      <w:proofErr w:type="spellEnd"/>
      <w:r w:rsidRPr="00592FE8">
        <w:rPr>
          <w:sz w:val="24"/>
          <w:lang w:val="ro-RO"/>
        </w:rPr>
        <w:t xml:space="preserve"> </w:t>
      </w:r>
      <w:proofErr w:type="spellStart"/>
      <w:r w:rsidRPr="00592FE8">
        <w:rPr>
          <w:sz w:val="24"/>
          <w:lang w:val="ro-RO"/>
        </w:rPr>
        <w:t>projects</w:t>
      </w:r>
      <w:proofErr w:type="spellEnd"/>
      <w:r w:rsidRPr="00592FE8">
        <w:rPr>
          <w:sz w:val="24"/>
          <w:lang w:val="ro-RO"/>
        </w:rPr>
        <w:t xml:space="preserve">”, 15 ianuarie 2025.  </w:t>
      </w:r>
    </w:p>
  </w:footnote>
  <w:footnote w:id="24">
    <w:p w14:paraId="1AAE2620" w14:textId="103BBC92"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Guvernul Irlandei, „Minister Harris </w:t>
      </w:r>
      <w:proofErr w:type="spellStart"/>
      <w:r w:rsidRPr="00592FE8">
        <w:rPr>
          <w:sz w:val="24"/>
          <w:lang w:val="ro-RO"/>
        </w:rPr>
        <w:t>announces</w:t>
      </w:r>
      <w:proofErr w:type="spellEnd"/>
      <w:r w:rsidRPr="00592FE8">
        <w:rPr>
          <w:sz w:val="24"/>
          <w:lang w:val="ro-RO"/>
        </w:rPr>
        <w:t xml:space="preserve"> </w:t>
      </w:r>
      <w:proofErr w:type="spellStart"/>
      <w:r w:rsidRPr="00592FE8">
        <w:rPr>
          <w:sz w:val="24"/>
          <w:lang w:val="ro-RO"/>
        </w:rPr>
        <w:t>mobility</w:t>
      </w:r>
      <w:proofErr w:type="spellEnd"/>
      <w:r w:rsidRPr="00592FE8">
        <w:rPr>
          <w:sz w:val="24"/>
          <w:lang w:val="ro-RO"/>
        </w:rPr>
        <w:t xml:space="preserve"> </w:t>
      </w:r>
      <w:proofErr w:type="spellStart"/>
      <w:r w:rsidRPr="00592FE8">
        <w:rPr>
          <w:sz w:val="24"/>
          <w:lang w:val="ro-RO"/>
        </w:rPr>
        <w:t>funding</w:t>
      </w:r>
      <w:proofErr w:type="spellEnd"/>
      <w:r w:rsidRPr="00592FE8">
        <w:rPr>
          <w:sz w:val="24"/>
          <w:lang w:val="ro-RO"/>
        </w:rPr>
        <w:t xml:space="preserve"> for </w:t>
      </w:r>
      <w:proofErr w:type="spellStart"/>
      <w:r w:rsidRPr="00592FE8">
        <w:rPr>
          <w:sz w:val="24"/>
          <w:lang w:val="ro-RO"/>
        </w:rPr>
        <w:t>Northern</w:t>
      </w:r>
      <w:proofErr w:type="spellEnd"/>
      <w:r w:rsidRPr="00592FE8">
        <w:rPr>
          <w:sz w:val="24"/>
          <w:lang w:val="ro-RO"/>
        </w:rPr>
        <w:t xml:space="preserve"> </w:t>
      </w:r>
      <w:proofErr w:type="spellStart"/>
      <w:r w:rsidRPr="00592FE8">
        <w:rPr>
          <w:sz w:val="24"/>
          <w:lang w:val="ro-RO"/>
        </w:rPr>
        <w:t>Ireland</w:t>
      </w:r>
      <w:proofErr w:type="spellEnd"/>
      <w:r w:rsidRPr="00592FE8">
        <w:rPr>
          <w:sz w:val="24"/>
          <w:lang w:val="ro-RO"/>
        </w:rPr>
        <w:t xml:space="preserve"> </w:t>
      </w:r>
      <w:proofErr w:type="spellStart"/>
      <w:r w:rsidRPr="00592FE8">
        <w:rPr>
          <w:sz w:val="24"/>
          <w:lang w:val="ro-RO"/>
        </w:rPr>
        <w:t>higher</w:t>
      </w:r>
      <w:proofErr w:type="spellEnd"/>
      <w:r w:rsidRPr="00592FE8">
        <w:rPr>
          <w:sz w:val="24"/>
          <w:lang w:val="ro-RO"/>
        </w:rPr>
        <w:t xml:space="preserve"> </w:t>
      </w:r>
      <w:proofErr w:type="spellStart"/>
      <w:r w:rsidRPr="00592FE8">
        <w:rPr>
          <w:sz w:val="24"/>
          <w:lang w:val="ro-RO"/>
        </w:rPr>
        <w:t>education</w:t>
      </w:r>
      <w:proofErr w:type="spellEnd"/>
      <w:r w:rsidRPr="00592FE8">
        <w:rPr>
          <w:sz w:val="24"/>
          <w:lang w:val="ro-RO"/>
        </w:rPr>
        <w:t xml:space="preserve"> </w:t>
      </w:r>
      <w:proofErr w:type="spellStart"/>
      <w:r w:rsidRPr="00592FE8">
        <w:rPr>
          <w:sz w:val="24"/>
          <w:lang w:val="ro-RO"/>
        </w:rPr>
        <w:t>students</w:t>
      </w:r>
      <w:proofErr w:type="spellEnd"/>
      <w:r w:rsidRPr="00592FE8">
        <w:rPr>
          <w:sz w:val="24"/>
          <w:lang w:val="ro-RO"/>
        </w:rPr>
        <w:t xml:space="preserve">” (Ministrul Harris anunță finanțarea mobilității pentru studenții învățământului superior din Irlanda de Nord), 27 iulie 2023. </w:t>
      </w:r>
    </w:p>
  </w:footnote>
  <w:footnote w:id="25">
    <w:p w14:paraId="25F95199" w14:textId="38CA920D"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Guvernul Regatului Unit, „International </w:t>
      </w:r>
      <w:proofErr w:type="spellStart"/>
      <w:r w:rsidRPr="00592FE8">
        <w:rPr>
          <w:sz w:val="24"/>
          <w:lang w:val="ro-RO"/>
        </w:rPr>
        <w:t>Education</w:t>
      </w:r>
      <w:proofErr w:type="spellEnd"/>
      <w:r w:rsidRPr="00592FE8">
        <w:rPr>
          <w:sz w:val="24"/>
          <w:lang w:val="ro-RO"/>
        </w:rPr>
        <w:t xml:space="preserve"> </w:t>
      </w:r>
      <w:proofErr w:type="spellStart"/>
      <w:r w:rsidRPr="00592FE8">
        <w:rPr>
          <w:sz w:val="24"/>
          <w:lang w:val="ro-RO"/>
        </w:rPr>
        <w:t>Strategy</w:t>
      </w:r>
      <w:proofErr w:type="spellEnd"/>
      <w:r w:rsidRPr="00592FE8">
        <w:rPr>
          <w:sz w:val="24"/>
          <w:lang w:val="ro-RO"/>
        </w:rPr>
        <w:t xml:space="preserve">: 2021 update” (Strategia de educație internațională: actualizare 2021), 6 februarie 2021, </w:t>
      </w:r>
      <w:hyperlink r:id="rId21" w:history="1">
        <w:r w:rsidRPr="00592FE8">
          <w:rPr>
            <w:rStyle w:val="Hyperlink"/>
            <w:sz w:val="24"/>
            <w:lang w:val="ro-RO"/>
          </w:rPr>
          <w:t>https://www.gov.uk/government/publications/international-education-strategy-2021-update</w:t>
        </w:r>
      </w:hyperlink>
      <w:r w:rsidRPr="00592FE8">
        <w:rPr>
          <w:sz w:val="24"/>
          <w:lang w:val="ro-RO"/>
        </w:rPr>
        <w:t xml:space="preserve">. </w:t>
      </w:r>
    </w:p>
  </w:footnote>
  <w:footnote w:id="26">
    <w:p w14:paraId="68BC285B" w14:textId="017D82BC"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JO C 34, 31.1.2020, p.</w:t>
      </w:r>
      <w:r w:rsidR="00741254">
        <w:rPr>
          <w:sz w:val="24"/>
          <w:lang w:val="ro-RO"/>
        </w:rPr>
        <w:t xml:space="preserve"> </w:t>
      </w:r>
      <w:r w:rsidRPr="00592FE8">
        <w:rPr>
          <w:sz w:val="24"/>
          <w:lang w:val="ro-RO"/>
        </w:rPr>
        <w:t xml:space="preserve">1, ELI: </w:t>
      </w:r>
      <w:hyperlink r:id="rId22" w:history="1">
        <w:r w:rsidRPr="00592FE8">
          <w:rPr>
            <w:rStyle w:val="Hyperlink"/>
            <w:sz w:val="24"/>
            <w:lang w:val="ro-RO"/>
          </w:rPr>
          <w:t>http://data.europa.eu/eli/treaty/withd_2020/dcl_1/sign</w:t>
        </w:r>
      </w:hyperlink>
      <w:r w:rsidRPr="00592FE8">
        <w:rPr>
          <w:sz w:val="24"/>
          <w:lang w:val="ro-RO"/>
        </w:rPr>
        <w:t xml:space="preserve">.    </w:t>
      </w:r>
    </w:p>
  </w:footnote>
  <w:footnote w:id="27">
    <w:p w14:paraId="156519BB" w14:textId="2BF9B895"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Directiva 2010/13/UE a Parlamentului European și a Consiliului din 10 martie 2010 privind coordonarea anumitor dispoziții stabilite prin acte cu putere de lege sau acte administrative în cadrul statelor membre cu privire la furnizarea de servicii mass-media audiovizuale (Directiva serviciilor mass-media audiovizuale) (JO L 95, 15.4.2010, p. 1, ELI: </w:t>
      </w:r>
      <w:hyperlink r:id="rId23" w:history="1">
        <w:r w:rsidRPr="00592FE8">
          <w:rPr>
            <w:rStyle w:val="Hyperlink"/>
            <w:sz w:val="24"/>
            <w:lang w:val="ro-RO"/>
          </w:rPr>
          <w:t>http://data.europa.eu/eli/dir/2010/13/oj</w:t>
        </w:r>
      </w:hyperlink>
      <w:r w:rsidRPr="00592FE8">
        <w:rPr>
          <w:sz w:val="24"/>
          <w:lang w:val="ro-RO"/>
        </w:rPr>
        <w:t>).</w:t>
      </w:r>
    </w:p>
  </w:footnote>
  <w:footnote w:id="28">
    <w:p w14:paraId="6298D946" w14:textId="568906B4"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JO C 384 I, 12.11.2019, p. 178, ELI: </w:t>
      </w:r>
      <w:hyperlink r:id="rId24" w:history="1">
        <w:r w:rsidRPr="00592FE8">
          <w:rPr>
            <w:rStyle w:val="Hyperlink"/>
            <w:sz w:val="24"/>
            <w:lang w:val="ro-RO"/>
          </w:rPr>
          <w:t>https://eur-lex.europa.eu/legal-content/RO/TXT/?uri=CELEX:12019W/DCL(01)</w:t>
        </w:r>
      </w:hyperlink>
      <w:r w:rsidRPr="00592FE8">
        <w:rPr>
          <w:sz w:val="24"/>
          <w:lang w:val="ro-RO"/>
        </w:rPr>
        <w:t>.</w:t>
      </w:r>
    </w:p>
  </w:footnote>
  <w:footnote w:id="29">
    <w:p w14:paraId="1CD43111" w14:textId="7789BE9A"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w:t>
      </w:r>
      <w:r w:rsidRPr="00592FE8">
        <w:rPr>
          <w:color w:val="000000" w:themeColor="text1"/>
          <w:sz w:val="24"/>
          <w:lang w:val="ro-RO"/>
        </w:rPr>
        <w:t xml:space="preserve"> </w:t>
      </w:r>
      <w:hyperlink r:id="rId25" w:history="1">
        <w:r w:rsidRPr="00592FE8">
          <w:rPr>
            <w:rStyle w:val="Hyperlink"/>
            <w:sz w:val="24"/>
            <w:lang w:val="ro-RO"/>
          </w:rPr>
          <w:t>http://data.europa.eu/eli/reg/2024/1689/oj</w:t>
        </w:r>
      </w:hyperlink>
      <w:r w:rsidRPr="00592FE8">
        <w:rPr>
          <w:color w:val="000000" w:themeColor="text1"/>
          <w:sz w:val="24"/>
          <w:lang w:val="ro-RO"/>
        </w:rPr>
        <w:t>).</w:t>
      </w:r>
    </w:p>
  </w:footnote>
  <w:footnote w:id="30">
    <w:p w14:paraId="136B1C77" w14:textId="1F2D8597"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 ELI: </w:t>
      </w:r>
      <w:hyperlink r:id="rId26" w:history="1">
        <w:r w:rsidRPr="00592FE8">
          <w:rPr>
            <w:rStyle w:val="Hyperlink"/>
            <w:sz w:val="24"/>
            <w:lang w:val="ro-RO"/>
          </w:rPr>
          <w:t>http://data.europa.eu/eli/reg/2016/679/oj</w:t>
        </w:r>
      </w:hyperlink>
      <w:r w:rsidRPr="00592FE8">
        <w:rPr>
          <w:sz w:val="24"/>
          <w:lang w:val="ro-RO"/>
        </w:rPr>
        <w:t xml:space="preserve">). </w:t>
      </w:r>
    </w:p>
  </w:footnote>
  <w:footnote w:id="31">
    <w:p w14:paraId="0F2FB90E" w14:textId="0929DEF7"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 ELI:</w:t>
      </w:r>
      <w:r w:rsidRPr="00592FE8">
        <w:rPr>
          <w:color w:val="000000" w:themeColor="text1"/>
          <w:sz w:val="24"/>
          <w:lang w:val="ro-RO"/>
        </w:rPr>
        <w:t xml:space="preserve"> </w:t>
      </w:r>
      <w:hyperlink r:id="rId27" w:history="1">
        <w:r w:rsidRPr="00592FE8">
          <w:rPr>
            <w:rStyle w:val="Hyperlink"/>
            <w:color w:val="000000" w:themeColor="text1"/>
            <w:sz w:val="24"/>
            <w:lang w:val="ro-RO"/>
          </w:rPr>
          <w:t>http://data.europa.eu/eli/reg/2022/1925/oj</w:t>
        </w:r>
      </w:hyperlink>
      <w:r w:rsidRPr="00592FE8">
        <w:rPr>
          <w:sz w:val="24"/>
          <w:lang w:val="ro-RO"/>
        </w:rPr>
        <w:t>).</w:t>
      </w:r>
    </w:p>
  </w:footnote>
  <w:footnote w:id="32">
    <w:p w14:paraId="34DB0DED" w14:textId="199AD15C"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shd w:val="clear" w:color="auto" w:fill="FFFFFF"/>
          <w:lang w:val="ro-RO"/>
        </w:rPr>
        <w:t xml:space="preserve"> </w:t>
      </w:r>
      <w:r w:rsidR="00592FE8" w:rsidRPr="00592FE8">
        <w:rPr>
          <w:sz w:val="24"/>
          <w:shd w:val="clear" w:color="auto" w:fill="FFFFFF"/>
          <w:lang w:val="ro-RO"/>
        </w:rPr>
        <w:tab/>
      </w:r>
      <w:r w:rsidRPr="00592FE8">
        <w:rPr>
          <w:sz w:val="24"/>
          <w:shd w:val="clear" w:color="auto" w:fill="FFFFFF"/>
          <w:lang w:val="ro-RO"/>
        </w:rPr>
        <w:t>Regulamentul (UE) 2022/2065 al Parlamentului European și al Consiliului din 19 octombrie 2022 privind o piață unică pentru serviciile digitale și de modificare a Directivei 2000/31/CE (Regulamentul privind serviciile digitale)</w:t>
      </w:r>
      <w:r w:rsidRPr="00592FE8">
        <w:rPr>
          <w:sz w:val="24"/>
          <w:lang w:val="ro-RO"/>
        </w:rPr>
        <w:t xml:space="preserve"> (</w:t>
      </w:r>
      <w:r w:rsidRPr="00592FE8">
        <w:rPr>
          <w:sz w:val="24"/>
          <w:shd w:val="clear" w:color="auto" w:fill="FFFFFF"/>
          <w:lang w:val="ro-RO"/>
        </w:rPr>
        <w:t>JO L 277, 27.10.2022, p. 1, ELI: </w:t>
      </w:r>
      <w:hyperlink r:id="rId28" w:tooltip="Oferă acces la acest document prin identificatorul său uniform de resurse ELI." w:history="1">
        <w:r w:rsidRPr="00592FE8">
          <w:rPr>
            <w:sz w:val="24"/>
            <w:u w:val="single"/>
            <w:shd w:val="clear" w:color="auto" w:fill="FFFFFF"/>
            <w:lang w:val="ro-RO"/>
          </w:rPr>
          <w:t>http://data.europa.eu/eli/reg/2022/2065/oj</w:t>
        </w:r>
      </w:hyperlink>
      <w:r w:rsidRPr="00592FE8">
        <w:rPr>
          <w:sz w:val="24"/>
          <w:lang w:val="ro-RO"/>
        </w:rPr>
        <w:t>)</w:t>
      </w:r>
      <w:r w:rsidRPr="00592FE8">
        <w:rPr>
          <w:b/>
          <w:i/>
          <w:sz w:val="24"/>
          <w:lang w:val="ro-RO"/>
        </w:rPr>
        <w:t>.</w:t>
      </w:r>
    </w:p>
  </w:footnote>
  <w:footnote w:id="33">
    <w:p w14:paraId="52B20DA5" w14:textId="3AF14D1F" w:rsidR="0028437D" w:rsidRPr="00592FE8" w:rsidRDefault="0028437D" w:rsidP="00592FE8">
      <w:pPr>
        <w:pStyle w:val="FootnoteText"/>
        <w:ind w:left="567" w:hanging="567"/>
        <w:rPr>
          <w:bCs/>
          <w:iCs/>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Regulamentul (UE) 2023/1114 al Parlamentului European și al Consiliului din 31 mai 2023 privind piețele </w:t>
      </w:r>
      <w:proofErr w:type="spellStart"/>
      <w:r w:rsidRPr="00592FE8">
        <w:rPr>
          <w:sz w:val="24"/>
          <w:lang w:val="ro-RO"/>
        </w:rPr>
        <w:t>criptoactivelor</w:t>
      </w:r>
      <w:proofErr w:type="spellEnd"/>
      <w:r w:rsidRPr="00592FE8">
        <w:rPr>
          <w:sz w:val="24"/>
          <w:lang w:val="ro-RO"/>
        </w:rPr>
        <w:t xml:space="preserve"> și de modificare a Regulamentelor (UE) nr. 1093/2010 și (UE) nr. 1095/2010 și a Directivelor 2013/36/UE și (UE) 2019/1937, JO L 150, 9.6.2023, p. 40, ELI: </w:t>
      </w:r>
      <w:hyperlink r:id="rId29" w:history="1">
        <w:r w:rsidRPr="00592FE8">
          <w:rPr>
            <w:rStyle w:val="Hyperlink"/>
            <w:sz w:val="24"/>
            <w:lang w:val="ro-RO"/>
          </w:rPr>
          <w:t>http://data.europa.eu/eli/reg/2023/1114/oj</w:t>
        </w:r>
      </w:hyperlink>
      <w:r w:rsidRPr="00592FE8">
        <w:rPr>
          <w:rStyle w:val="Hyperlink"/>
          <w:sz w:val="24"/>
          <w:lang w:val="ro-RO"/>
        </w:rPr>
        <w:t>)</w:t>
      </w:r>
      <w:r w:rsidRPr="00592FE8">
        <w:rPr>
          <w:sz w:val="24"/>
          <w:lang w:val="ro-RO"/>
        </w:rPr>
        <w:t>.</w:t>
      </w:r>
    </w:p>
  </w:footnote>
  <w:footnote w:id="34">
    <w:p w14:paraId="13C256E6" w14:textId="66A33100"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Regulamentul (UE) nr. 648/2012 al Parlamentului European și al Consiliului din 4 iulie 2012 privind instrumentele financiare derivate </w:t>
      </w:r>
      <w:proofErr w:type="spellStart"/>
      <w:r w:rsidRPr="00592FE8">
        <w:rPr>
          <w:sz w:val="24"/>
          <w:lang w:val="ro-RO"/>
        </w:rPr>
        <w:t>extrabursiere</w:t>
      </w:r>
      <w:proofErr w:type="spellEnd"/>
      <w:r w:rsidRPr="00592FE8">
        <w:rPr>
          <w:sz w:val="24"/>
          <w:lang w:val="ro-RO"/>
        </w:rPr>
        <w:t xml:space="preserve">, </w:t>
      </w:r>
      <w:proofErr w:type="spellStart"/>
      <w:r w:rsidRPr="00592FE8">
        <w:rPr>
          <w:sz w:val="24"/>
          <w:lang w:val="ro-RO"/>
        </w:rPr>
        <w:t>contrapărțile</w:t>
      </w:r>
      <w:proofErr w:type="spellEnd"/>
      <w:r w:rsidRPr="00592FE8">
        <w:rPr>
          <w:sz w:val="24"/>
          <w:lang w:val="ro-RO"/>
        </w:rPr>
        <w:t xml:space="preserve"> centrale și registrele centrale de tranzacții, JO L 201, 27.7.2012, p. 1, ELI: </w:t>
      </w:r>
      <w:hyperlink r:id="rId30" w:history="1">
        <w:r w:rsidRPr="00592FE8">
          <w:rPr>
            <w:rStyle w:val="Hyperlink"/>
            <w:sz w:val="24"/>
            <w:lang w:val="ro-RO"/>
          </w:rPr>
          <w:t>http://data.europa.eu/eli/reg/2012/648/oj</w:t>
        </w:r>
      </w:hyperlink>
      <w:r w:rsidRPr="00592FE8">
        <w:rPr>
          <w:rStyle w:val="Hyperlink"/>
          <w:sz w:val="24"/>
          <w:lang w:val="ro-RO"/>
        </w:rPr>
        <w:t>)</w:t>
      </w:r>
      <w:r w:rsidRPr="00592FE8">
        <w:rPr>
          <w:sz w:val="24"/>
          <w:lang w:val="ro-RO"/>
        </w:rPr>
        <w:t>.</w:t>
      </w:r>
    </w:p>
  </w:footnote>
  <w:footnote w:id="35">
    <w:p w14:paraId="218C74DF" w14:textId="781FCEFB"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Directiva 2011/61/UE a Parlamentului European și a Consiliului din 8 iunie 2011 privind administratorii fondurilor de investiții alternative și de modificare a Directivelor 2003/41/CE și 2009/65/CE și a Regulamentelor (CE) nr. 1060/2009 și (UE) nr. 1095/2010, JO L 174, 1.7.2011, p. 1, ELI: </w:t>
      </w:r>
      <w:hyperlink r:id="rId31" w:history="1">
        <w:r w:rsidRPr="00592FE8">
          <w:rPr>
            <w:rStyle w:val="Hyperlink"/>
            <w:sz w:val="24"/>
            <w:lang w:val="ro-RO"/>
          </w:rPr>
          <w:t>http://data.europa.eu/eli/dir/2011/61/oj</w:t>
        </w:r>
      </w:hyperlink>
      <w:r w:rsidRPr="00592FE8">
        <w:rPr>
          <w:rStyle w:val="Hyperlink"/>
          <w:sz w:val="24"/>
          <w:lang w:val="ro-RO"/>
        </w:rPr>
        <w:t>)</w:t>
      </w:r>
      <w:r w:rsidRPr="00592FE8">
        <w:rPr>
          <w:sz w:val="24"/>
          <w:lang w:val="ro-RO"/>
        </w:rPr>
        <w:t>.</w:t>
      </w:r>
    </w:p>
  </w:footnote>
  <w:footnote w:id="36">
    <w:p w14:paraId="246C5526" w14:textId="7C09C3A9"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Guvernul Regatului Unit și Comisia Europeană (2023), Proces-verbal: Cea de a treia reuniune a Comitetului de parteneriat pentru comerț în temeiul Acordului comercial și de cooperare dintre Regatul Unit și UE, 7 decembrie 2023, Londra și format virtual (găzduit în Regatul Unit); Grupurile consultative interne ale UE și Regatului Unit pentru Acordul comercial de cooperare UE-Regatul Unit, declarație comună, 19 septembrie 2024.</w:t>
      </w:r>
    </w:p>
  </w:footnote>
  <w:footnote w:id="37">
    <w:p w14:paraId="6B0B46E1" w14:textId="3B905D86"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 ELI: </w:t>
      </w:r>
      <w:hyperlink r:id="rId32" w:history="1">
        <w:r w:rsidRPr="00592FE8">
          <w:rPr>
            <w:rStyle w:val="Hyperlink"/>
            <w:sz w:val="24"/>
            <w:lang w:val="ro-RO"/>
          </w:rPr>
          <w:t>http://data.europa.eu/eli/reg/2006/1907/oj</w:t>
        </w:r>
      </w:hyperlink>
      <w:r w:rsidRPr="00592FE8">
        <w:rPr>
          <w:rStyle w:val="Hyperlink"/>
          <w:sz w:val="24"/>
          <w:lang w:val="ro-RO"/>
        </w:rPr>
        <w:t>).</w:t>
      </w:r>
    </w:p>
  </w:footnote>
  <w:footnote w:id="38">
    <w:p w14:paraId="240E1C5F" w14:textId="470D1D98" w:rsidR="0028437D" w:rsidRPr="00592FE8" w:rsidRDefault="0028437D" w:rsidP="00453D02">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Directiva 2011/24/UE a Parlamentului European și a Consiliului din 9 martie 2011 privind aplicarea drepturilor pacienților în cadrul asistenței medicale transfrontaliere.</w:t>
      </w:r>
      <w:r w:rsidR="00453D02">
        <w:rPr>
          <w:sz w:val="24"/>
          <w:lang w:val="ro-RO"/>
        </w:rPr>
        <w:t xml:space="preserve"> </w:t>
      </w:r>
      <w:r w:rsidRPr="00592FE8">
        <w:rPr>
          <w:sz w:val="24"/>
          <w:lang w:val="ro-RO"/>
        </w:rPr>
        <w:t>(JO L 88, 4.4.2011, p. 45, ELI: </w:t>
      </w:r>
      <w:r w:rsidR="00741254">
        <w:fldChar w:fldCharType="begin"/>
      </w:r>
      <w:r w:rsidR="00741254" w:rsidRPr="00741254">
        <w:rPr>
          <w:lang w:val="ro-RO"/>
        </w:rPr>
        <w:instrText>HYPERLINK "http://data.europa.eu/eli/dir/2011/24/oj" \o "Oferă acces la acest document prin identificatorul său uniform de resurse ELI."</w:instrText>
      </w:r>
      <w:r w:rsidR="00741254">
        <w:fldChar w:fldCharType="separate"/>
      </w:r>
      <w:r w:rsidRPr="00592FE8">
        <w:rPr>
          <w:rStyle w:val="Hyperlink"/>
          <w:sz w:val="24"/>
          <w:lang w:val="ro-RO"/>
        </w:rPr>
        <w:t>http://data.europa.eu/eli/dir/2011/24/oj</w:t>
      </w:r>
      <w:r w:rsidR="00741254">
        <w:rPr>
          <w:rStyle w:val="Hyperlink"/>
          <w:sz w:val="24"/>
          <w:lang w:val="ro-RO"/>
        </w:rPr>
        <w:fldChar w:fldCharType="end"/>
      </w:r>
      <w:r w:rsidRPr="00592FE8">
        <w:rPr>
          <w:sz w:val="24"/>
          <w:lang w:val="ro-RO"/>
        </w:rPr>
        <w:t>).</w:t>
      </w:r>
    </w:p>
  </w:footnote>
  <w:footnote w:id="39">
    <w:p w14:paraId="4C63365D" w14:textId="0CACD1B5"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JO L 118, 20.4.2022, p. 4, ELI: </w:t>
      </w:r>
      <w:hyperlink r:id="rId33" w:tooltip="Oferă acces la acest document prin identificatorul său uniform de resurse ELI." w:history="1">
        <w:r w:rsidRPr="00592FE8">
          <w:rPr>
            <w:rStyle w:val="Hyperlink"/>
            <w:sz w:val="24"/>
            <w:lang w:val="ro-RO"/>
          </w:rPr>
          <w:t>http://data.europa.eu/eli/dir/2022/642/oj</w:t>
        </w:r>
      </w:hyperlink>
      <w:r w:rsidRPr="00592FE8">
        <w:rPr>
          <w:sz w:val="24"/>
          <w:lang w:val="ro-RO"/>
        </w:rPr>
        <w:t>.</w:t>
      </w:r>
    </w:p>
  </w:footnote>
  <w:footnote w:id="40">
    <w:p w14:paraId="15295D10" w14:textId="08189F6A"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1, ELI: </w:t>
      </w:r>
      <w:hyperlink r:id="rId34" w:tooltip="Oferă acces la acest document prin identificatorul său uniform de resurse ELI." w:history="1">
        <w:r w:rsidRPr="00592FE8">
          <w:rPr>
            <w:sz w:val="24"/>
            <w:lang w:val="ro-RO"/>
          </w:rPr>
          <w:t>http://data.europa.eu/eli/reg/2017/2394/oj</w:t>
        </w:r>
      </w:hyperlink>
      <w:r w:rsidRPr="00592FE8">
        <w:rPr>
          <w:sz w:val="24"/>
          <w:lang w:val="ro-RO"/>
        </w:rPr>
        <w:t>).</w:t>
      </w:r>
    </w:p>
  </w:footnote>
  <w:footnote w:id="41">
    <w:p w14:paraId="6EE3E907" w14:textId="5EEE7040" w:rsidR="0028437D" w:rsidRPr="00592FE8" w:rsidRDefault="0028437D" w:rsidP="00592FE8">
      <w:pPr>
        <w:pStyle w:val="NormalHanging12a"/>
        <w:spacing w:after="0"/>
      </w:pPr>
      <w:r w:rsidRPr="00592FE8">
        <w:rPr>
          <w:rStyle w:val="FootnoteReference"/>
        </w:rPr>
        <w:footnoteRef/>
      </w:r>
      <w:r w:rsidR="00592FE8" w:rsidRPr="00592FE8">
        <w:t xml:space="preserve"> </w:t>
      </w:r>
      <w:r w:rsidR="00592FE8" w:rsidRPr="00592FE8">
        <w:tab/>
      </w:r>
      <w:r w:rsidRPr="00592FE8">
        <w:t xml:space="preserve">Regulamentul (CE) nr. 1008/2008 al Parlamentului European și al Consiliului din 24 septembrie 2008 privind normele comune pentru operarea serviciilor aeriene în Comunitate (JO L 293, 31.10.2008, p. 3, ELI: </w:t>
      </w:r>
      <w:hyperlink r:id="rId35" w:history="1">
        <w:r w:rsidRPr="00592FE8">
          <w:rPr>
            <w:rStyle w:val="Hyperlink"/>
          </w:rPr>
          <w:t>http://data.europa.eu/eli/reg/2008/1008/oj</w:t>
        </w:r>
      </w:hyperlink>
      <w:r w:rsidRPr="00592FE8">
        <w:t>).</w:t>
      </w:r>
    </w:p>
  </w:footnote>
  <w:footnote w:id="42">
    <w:p w14:paraId="386FB6EB" w14:textId="687605F1"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Directiva (UE) 2024/3237 a Parlamentului European și a Consiliului din 19 decembrie 2024 de modificare a Directivei (UE) 2015/413 de facilitare a schimbului transfrontalier de informații privind încălcările normelor de circulație care afectează siguranța rutieră (JO L, 2024/3237, 30.12.2024, ELI: </w:t>
      </w:r>
      <w:hyperlink r:id="rId36" w:history="1">
        <w:r w:rsidRPr="00592FE8">
          <w:rPr>
            <w:rStyle w:val="Hyperlink"/>
            <w:sz w:val="24"/>
            <w:lang w:val="ro-RO"/>
          </w:rPr>
          <w:t>http://data.europa.eu/eli/dir/2024/3237/oj</w:t>
        </w:r>
      </w:hyperlink>
      <w:r w:rsidRPr="00592FE8">
        <w:rPr>
          <w:rStyle w:val="Hyperlink"/>
          <w:sz w:val="24"/>
          <w:lang w:val="ro-RO"/>
        </w:rPr>
        <w:t>)</w:t>
      </w:r>
      <w:r w:rsidRPr="00592FE8">
        <w:rPr>
          <w:sz w:val="24"/>
          <w:lang w:val="ro-RO"/>
        </w:rPr>
        <w:t>.</w:t>
      </w:r>
    </w:p>
  </w:footnote>
  <w:footnote w:id="43">
    <w:p w14:paraId="30C91523" w14:textId="12CECB17"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Decizia de punere în aplicare (UE) 2022/1973 a Comisiei din 11 octombrie 2022 privind recunoașterea Regatului Unit în temeiul Directivei (UE) 2022/993 în ceea ce privește sistemul de formare și certificare a navigatorilor (JO L 270, 18.10.2022, p. 99, ELI: </w:t>
      </w:r>
      <w:hyperlink r:id="rId37" w:tooltip="Oferă acces la acest document prin identificatorul său uniform de resurse ELI." w:history="1">
        <w:r w:rsidRPr="00592FE8">
          <w:rPr>
            <w:rStyle w:val="Hyperlink"/>
            <w:sz w:val="24"/>
            <w:lang w:val="ro-RO"/>
          </w:rPr>
          <w:t>http://data.europa.eu/eli/dec_impl/2022/1973/oj</w:t>
        </w:r>
      </w:hyperlink>
      <w:r w:rsidRPr="00592FE8">
        <w:rPr>
          <w:rStyle w:val="Hyperlink"/>
          <w:sz w:val="24"/>
          <w:lang w:val="ro-RO"/>
        </w:rPr>
        <w:t>)</w:t>
      </w:r>
      <w:r w:rsidRPr="00592FE8">
        <w:rPr>
          <w:sz w:val="24"/>
          <w:lang w:val="ro-RO"/>
        </w:rPr>
        <w:t xml:space="preserve">. </w:t>
      </w:r>
    </w:p>
  </w:footnote>
  <w:footnote w:id="44">
    <w:p w14:paraId="2D3CA94C" w14:textId="3CA49B74"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Directiva (UE) 2022/993 a Parlamentului European și a Consiliului din 8 iunie 2022 privind nivelul minim de formare a navigatorilor (JO L 169, 27.6.2022, p. 45, ELI: </w:t>
      </w:r>
      <w:hyperlink r:id="rId38" w:history="1">
        <w:r w:rsidRPr="00592FE8">
          <w:rPr>
            <w:rStyle w:val="Hyperlink"/>
            <w:sz w:val="24"/>
            <w:lang w:val="ro-RO"/>
          </w:rPr>
          <w:t>http://data.europa.eu/eli/dir/2022/993/oj</w:t>
        </w:r>
      </w:hyperlink>
      <w:r w:rsidRPr="00592FE8">
        <w:rPr>
          <w:sz w:val="24"/>
          <w:lang w:val="ro-RO"/>
        </w:rPr>
        <w:t>).</w:t>
      </w:r>
    </w:p>
  </w:footnote>
  <w:footnote w:id="45">
    <w:p w14:paraId="0B378A53" w14:textId="3AE46D9F"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Directiva 2014/36/UE a Parlamentului European și a Consiliului din 26 februarie 2014 privind condițiile de intrare și de ședere a resortisanților țărilor terțe în scopul ocupării unui loc de muncă în calitate de lucrători sezonieri (JO L 94, 28.3.2014, p. 375, ELI: </w:t>
      </w:r>
      <w:hyperlink r:id="rId39" w:history="1">
        <w:r w:rsidRPr="00592FE8">
          <w:rPr>
            <w:rStyle w:val="Hyperlink"/>
            <w:color w:val="0563C1"/>
            <w:sz w:val="24"/>
            <w:lang w:val="ro-RO"/>
          </w:rPr>
          <w:t>http://data.europa.eu/eli/dir/2014/36/oj)</w:t>
        </w:r>
      </w:hyperlink>
      <w:r w:rsidRPr="00592FE8">
        <w:rPr>
          <w:sz w:val="24"/>
          <w:lang w:val="ro-RO"/>
        </w:rPr>
        <w:t>.</w:t>
      </w:r>
    </w:p>
  </w:footnote>
  <w:footnote w:id="46">
    <w:p w14:paraId="6CC25117" w14:textId="1FB4DF93"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color w:val="000000" w:themeColor="text1"/>
          <w:sz w:val="24"/>
          <w:lang w:val="ro-RO"/>
        </w:rPr>
        <w:t xml:space="preserve"> </w:t>
      </w:r>
      <w:r w:rsidR="00592FE8" w:rsidRPr="00592FE8">
        <w:rPr>
          <w:color w:val="000000" w:themeColor="text1"/>
          <w:sz w:val="24"/>
          <w:lang w:val="ro-RO"/>
        </w:rPr>
        <w:tab/>
      </w:r>
      <w:r w:rsidRPr="00592FE8">
        <w:rPr>
          <w:color w:val="000000" w:themeColor="text1"/>
          <w:sz w:val="24"/>
          <w:lang w:val="ro-RO"/>
        </w:rPr>
        <w:t xml:space="preserve">JO C, C/2024/6341, 7.11.2024, ELI: </w:t>
      </w:r>
      <w:hyperlink r:id="rId40" w:history="1">
        <w:r w:rsidRPr="00592FE8">
          <w:rPr>
            <w:rStyle w:val="Hyperlink"/>
            <w:sz w:val="24"/>
            <w:lang w:val="ro-RO"/>
          </w:rPr>
          <w:t>http://data.europa.eu/eli/C/2024/6341/oj</w:t>
        </w:r>
      </w:hyperlink>
      <w:r w:rsidRPr="00592FE8">
        <w:rPr>
          <w:color w:val="000000" w:themeColor="text1"/>
          <w:sz w:val="24"/>
          <w:lang w:val="ro-RO"/>
        </w:rPr>
        <w:t>.</w:t>
      </w:r>
    </w:p>
  </w:footnote>
  <w:footnote w:id="47">
    <w:p w14:paraId="75ADCF5F" w14:textId="6EFF7C09"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 ELI:</w:t>
      </w:r>
      <w:r w:rsidRPr="00592FE8">
        <w:rPr>
          <w:color w:val="000000" w:themeColor="text1"/>
          <w:sz w:val="24"/>
          <w:lang w:val="ro-RO"/>
        </w:rPr>
        <w:t xml:space="preserve"> </w:t>
      </w:r>
      <w:hyperlink r:id="rId41" w:history="1">
        <w:r w:rsidRPr="00592FE8">
          <w:rPr>
            <w:rStyle w:val="Hyperlink"/>
            <w:color w:val="000000" w:themeColor="text1"/>
            <w:sz w:val="24"/>
            <w:lang w:val="ro-RO"/>
          </w:rPr>
          <w:t>http://data.europa.eu/eli/reg/2021/695/oj</w:t>
        </w:r>
      </w:hyperlink>
      <w:r w:rsidRPr="00592FE8">
        <w:rPr>
          <w:sz w:val="24"/>
          <w:lang w:val="ro-RO"/>
        </w:rPr>
        <w:t>).</w:t>
      </w:r>
    </w:p>
  </w:footnote>
  <w:footnote w:id="48">
    <w:p w14:paraId="27F95EA2" w14:textId="5645CC05"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Recomandare de decizie a Consiliului din 18 aprilie 2024 de autorizare a deschiderii negocierilor pentru un acord între Uniunea Europeană și Regatul Unit al Marii Britanii și Irlandei de Nord privind mobilitatea tinerilor (COM(2024)0169).</w:t>
      </w:r>
    </w:p>
  </w:footnote>
  <w:footnote w:id="49">
    <w:p w14:paraId="24B02EB7" w14:textId="6B35EB36"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cu excepția cetățenilor irlandezi.</w:t>
      </w:r>
    </w:p>
  </w:footnote>
  <w:footnote w:id="50">
    <w:p w14:paraId="15FCEF5C" w14:textId="617C25D5"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Sistemul scoțian de învățământ superior diferă de restul Regatului Unit, motiv pentru care este considerat o entitate separată în Procesul de la Bologna [Spațiul european al învățământului superior, „Regatul Unit (Scoția)”, </w:t>
      </w:r>
      <w:hyperlink r:id="rId42" w:history="1">
        <w:r w:rsidRPr="00592FE8">
          <w:rPr>
            <w:rStyle w:val="Hyperlink"/>
            <w:sz w:val="24"/>
            <w:lang w:val="ro-RO"/>
          </w:rPr>
          <w:t>https://ehea.info/page-united-kingdom-scotland</w:t>
        </w:r>
      </w:hyperlink>
      <w:r w:rsidRPr="00592FE8">
        <w:rPr>
          <w:rStyle w:val="Hyperlink"/>
          <w:sz w:val="24"/>
          <w:lang w:val="ro-RO"/>
        </w:rPr>
        <w:t>.</w:t>
      </w:r>
    </w:p>
  </w:footnote>
  <w:footnote w:id="51">
    <w:p w14:paraId="23775DD6" w14:textId="22390B91"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Decizia-cadru a Consiliului </w:t>
      </w:r>
      <w:r w:rsidR="00741254" w:rsidRPr="00741254">
        <w:rPr>
          <w:sz w:val="24"/>
          <w:lang w:val="ro-RO"/>
        </w:rPr>
        <w:t>2002/584/JAI</w:t>
      </w:r>
      <w:r w:rsidR="00741254">
        <w:rPr>
          <w:sz w:val="24"/>
          <w:lang w:val="ro-RO"/>
        </w:rPr>
        <w:t xml:space="preserve"> </w:t>
      </w:r>
      <w:r w:rsidRPr="00592FE8">
        <w:rPr>
          <w:sz w:val="24"/>
          <w:lang w:val="ro-RO"/>
        </w:rPr>
        <w:t xml:space="preserve">din 13 iunie 2002 privind mandatul european de arestare și procedurile de predare între statele membre (JO L 190, 18.7.2002, p. 1, ELI: </w:t>
      </w:r>
      <w:hyperlink r:id="rId43" w:history="1">
        <w:r w:rsidRPr="00592FE8">
          <w:rPr>
            <w:rStyle w:val="Hyperlink"/>
            <w:sz w:val="24"/>
            <w:lang w:val="ro-RO"/>
          </w:rPr>
          <w:t>http://data.europa.eu/eli/dec_framw/2002/584/oj</w:t>
        </w:r>
      </w:hyperlink>
      <w:r w:rsidRPr="00592FE8">
        <w:rPr>
          <w:rStyle w:val="Hyperlink"/>
          <w:sz w:val="24"/>
          <w:lang w:val="ro-RO"/>
        </w:rPr>
        <w:t>)</w:t>
      </w:r>
      <w:r w:rsidRPr="00592FE8">
        <w:rPr>
          <w:sz w:val="24"/>
          <w:lang w:val="ro-RO"/>
        </w:rPr>
        <w:t>.</w:t>
      </w:r>
    </w:p>
  </w:footnote>
  <w:footnote w:id="52">
    <w:p w14:paraId="3557A42C" w14:textId="7A0DADF9"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Hotărârea Curții de Justiție din 29 iulie 2024 în cauza C-202/24 [</w:t>
      </w:r>
      <w:proofErr w:type="spellStart"/>
      <w:r w:rsidRPr="00592FE8">
        <w:rPr>
          <w:sz w:val="24"/>
          <w:lang w:val="ro-RO"/>
        </w:rPr>
        <w:t>Alchaster</w:t>
      </w:r>
      <w:proofErr w:type="spellEnd"/>
      <w:r w:rsidRPr="00592FE8">
        <w:rPr>
          <w:sz w:val="24"/>
          <w:lang w:val="ro-RO"/>
        </w:rPr>
        <w:t>], ECLI:EU:C:2024:649.</w:t>
      </w:r>
    </w:p>
  </w:footnote>
  <w:footnote w:id="53">
    <w:p w14:paraId="7E42061F" w14:textId="74A36B7C" w:rsidR="0028437D" w:rsidRPr="00592FE8" w:rsidRDefault="0028437D" w:rsidP="00592FE8">
      <w:pPr>
        <w:pStyle w:val="FootnoteText"/>
        <w:ind w:left="567" w:hanging="567"/>
        <w:rPr>
          <w:sz w:val="24"/>
          <w:lang w:val="ro-RO"/>
        </w:rPr>
      </w:pPr>
      <w:r w:rsidRPr="00592FE8">
        <w:rPr>
          <w:rStyle w:val="FootnoteReference"/>
          <w:sz w:val="24"/>
          <w:lang w:val="ro-RO"/>
        </w:rPr>
        <w:footnoteRef/>
      </w:r>
      <w:r w:rsidR="00592FE8" w:rsidRPr="00592FE8">
        <w:rPr>
          <w:sz w:val="24"/>
          <w:lang w:val="ro-RO"/>
        </w:rPr>
        <w:t xml:space="preserve"> </w:t>
      </w:r>
      <w:r w:rsidR="00592FE8" w:rsidRPr="00592FE8">
        <w:rPr>
          <w:sz w:val="24"/>
          <w:lang w:val="ro-RO"/>
        </w:rPr>
        <w:tab/>
      </w:r>
      <w:r w:rsidRPr="00592FE8">
        <w:rPr>
          <w:sz w:val="24"/>
          <w:lang w:val="ro-RO"/>
        </w:rPr>
        <w:t xml:space="preserve">Regulamentul (UE) 2025/1106 al Consiliului din 27 mai 2025 de instituire a Instrumentului „Acțiunea pentru securitatea Europei” (SAFE) prin consolidarea industriei europene de apărare ( JO L, 2025/1106, 28.5.2025, ELI:  </w:t>
      </w:r>
      <w:hyperlink r:id="rId44" w:history="1">
        <w:r w:rsidRPr="00592FE8">
          <w:rPr>
            <w:rStyle w:val="Hyperlink"/>
            <w:sz w:val="24"/>
            <w:lang w:val="ro-RO"/>
          </w:rPr>
          <w:t>http://data.europa.eu/eli/reg/2025/1106/oj</w:t>
        </w:r>
      </w:hyperlink>
      <w:r w:rsidRPr="00592FE8">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F164" w14:textId="77777777" w:rsidR="00064002" w:rsidRPr="00592F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B437D" w14:textId="77777777" w:rsidR="00064002" w:rsidRPr="00592F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4276" w14:textId="77777777" w:rsidR="00064002" w:rsidRPr="00592F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83538D7"/>
    <w:multiLevelType w:val="hybridMultilevel"/>
    <w:tmpl w:val="B4A836B6"/>
    <w:lvl w:ilvl="0" w:tplc="4BC89AEE">
      <w:start w:val="1"/>
      <w:numFmt w:val="bullet"/>
      <w:pStyle w:val="Normal12aBullet1"/>
      <w:lvlText w:val=""/>
      <w:lvlJc w:val="left"/>
      <w:pPr>
        <w:ind w:left="720" w:hanging="360"/>
      </w:pPr>
      <w:rPr>
        <w:rFonts w:ascii="Symbol" w:hAnsi="Symbol" w:hint="default"/>
      </w:rPr>
    </w:lvl>
    <w:lvl w:ilvl="1" w:tplc="01CC3FB4" w:tentative="1">
      <w:start w:val="1"/>
      <w:numFmt w:val="bullet"/>
      <w:lvlText w:val="o"/>
      <w:lvlJc w:val="left"/>
      <w:pPr>
        <w:ind w:left="1440" w:hanging="360"/>
      </w:pPr>
      <w:rPr>
        <w:rFonts w:ascii="Courier New" w:hAnsi="Courier New" w:cs="Courier New" w:hint="default"/>
      </w:rPr>
    </w:lvl>
    <w:lvl w:ilvl="2" w:tplc="4DE2411E" w:tentative="1">
      <w:start w:val="1"/>
      <w:numFmt w:val="bullet"/>
      <w:lvlText w:val=""/>
      <w:lvlJc w:val="left"/>
      <w:pPr>
        <w:ind w:left="2160" w:hanging="360"/>
      </w:pPr>
      <w:rPr>
        <w:rFonts w:ascii="Wingdings" w:hAnsi="Wingdings" w:hint="default"/>
      </w:rPr>
    </w:lvl>
    <w:lvl w:ilvl="3" w:tplc="6CBCF1A2" w:tentative="1">
      <w:start w:val="1"/>
      <w:numFmt w:val="bullet"/>
      <w:lvlText w:val=""/>
      <w:lvlJc w:val="left"/>
      <w:pPr>
        <w:ind w:left="2880" w:hanging="360"/>
      </w:pPr>
      <w:rPr>
        <w:rFonts w:ascii="Symbol" w:hAnsi="Symbol" w:hint="default"/>
      </w:rPr>
    </w:lvl>
    <w:lvl w:ilvl="4" w:tplc="5C30FF60" w:tentative="1">
      <w:start w:val="1"/>
      <w:numFmt w:val="bullet"/>
      <w:lvlText w:val="o"/>
      <w:lvlJc w:val="left"/>
      <w:pPr>
        <w:ind w:left="3600" w:hanging="360"/>
      </w:pPr>
      <w:rPr>
        <w:rFonts w:ascii="Courier New" w:hAnsi="Courier New" w:cs="Courier New" w:hint="default"/>
      </w:rPr>
    </w:lvl>
    <w:lvl w:ilvl="5" w:tplc="961C5B4C" w:tentative="1">
      <w:start w:val="1"/>
      <w:numFmt w:val="bullet"/>
      <w:lvlText w:val=""/>
      <w:lvlJc w:val="left"/>
      <w:pPr>
        <w:ind w:left="4320" w:hanging="360"/>
      </w:pPr>
      <w:rPr>
        <w:rFonts w:ascii="Wingdings" w:hAnsi="Wingdings" w:hint="default"/>
      </w:rPr>
    </w:lvl>
    <w:lvl w:ilvl="6" w:tplc="0C48911E" w:tentative="1">
      <w:start w:val="1"/>
      <w:numFmt w:val="bullet"/>
      <w:lvlText w:val=""/>
      <w:lvlJc w:val="left"/>
      <w:pPr>
        <w:ind w:left="5040" w:hanging="360"/>
      </w:pPr>
      <w:rPr>
        <w:rFonts w:ascii="Symbol" w:hAnsi="Symbol" w:hint="default"/>
      </w:rPr>
    </w:lvl>
    <w:lvl w:ilvl="7" w:tplc="C100AAAA" w:tentative="1">
      <w:start w:val="1"/>
      <w:numFmt w:val="bullet"/>
      <w:lvlText w:val="o"/>
      <w:lvlJc w:val="left"/>
      <w:pPr>
        <w:ind w:left="5760" w:hanging="360"/>
      </w:pPr>
      <w:rPr>
        <w:rFonts w:ascii="Courier New" w:hAnsi="Courier New" w:cs="Courier New" w:hint="default"/>
      </w:rPr>
    </w:lvl>
    <w:lvl w:ilvl="8" w:tplc="B80C538C" w:tentative="1">
      <w:start w:val="1"/>
      <w:numFmt w:val="bullet"/>
      <w:lvlText w:val=""/>
      <w:lvlJc w:val="left"/>
      <w:pPr>
        <w:ind w:left="6480" w:hanging="360"/>
      </w:pPr>
      <w:rPr>
        <w:rFonts w:ascii="Wingdings" w:hAnsi="Wingdings" w:hint="default"/>
      </w:rPr>
    </w:lvl>
  </w:abstractNum>
  <w:num w:numId="1" w16cid:durableId="125243770">
    <w:abstractNumId w:val="0"/>
  </w:num>
  <w:num w:numId="2" w16cid:durableId="2048603379">
    <w:abstractNumId w:val="1"/>
  </w:num>
  <w:num w:numId="3" w16cid:durableId="72977027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RO"/>
    <w:docVar w:name="dvnumam" w:val="317"/>
    <w:docVar w:name="dvpe" w:val="768.086"/>
    <w:docVar w:name="dvrapporteur" w:val="Raportori: "/>
    <w:docVar w:name="dvtitre" w:val="Rezoluția Parlamentului European din 27 noiembrie 2025 referitoare la punerea în aplicare a Acordului comercial și de cooperare dintre UE și Regatul Unit(2024/2108(INI))"/>
  </w:docVars>
  <w:rsids>
    <w:rsidRoot w:val="006D6C5D"/>
    <w:rsid w:val="00002272"/>
    <w:rsid w:val="00016C5C"/>
    <w:rsid w:val="0003785D"/>
    <w:rsid w:val="00064002"/>
    <w:rsid w:val="000677B9"/>
    <w:rsid w:val="000831BA"/>
    <w:rsid w:val="000A42CC"/>
    <w:rsid w:val="000E7DD9"/>
    <w:rsid w:val="0010095E"/>
    <w:rsid w:val="00125B37"/>
    <w:rsid w:val="00187494"/>
    <w:rsid w:val="001C523E"/>
    <w:rsid w:val="001F32AE"/>
    <w:rsid w:val="00236F36"/>
    <w:rsid w:val="002767FF"/>
    <w:rsid w:val="0028437D"/>
    <w:rsid w:val="00295514"/>
    <w:rsid w:val="002B18FE"/>
    <w:rsid w:val="002B32B0"/>
    <w:rsid w:val="002B5493"/>
    <w:rsid w:val="00343214"/>
    <w:rsid w:val="00361C00"/>
    <w:rsid w:val="0036446E"/>
    <w:rsid w:val="00395FA1"/>
    <w:rsid w:val="003E15D4"/>
    <w:rsid w:val="0041083C"/>
    <w:rsid w:val="00411CCE"/>
    <w:rsid w:val="0041666E"/>
    <w:rsid w:val="00421060"/>
    <w:rsid w:val="00453D02"/>
    <w:rsid w:val="00471C19"/>
    <w:rsid w:val="004867E3"/>
    <w:rsid w:val="00494A28"/>
    <w:rsid w:val="004C0004"/>
    <w:rsid w:val="004C1B70"/>
    <w:rsid w:val="004C5D52"/>
    <w:rsid w:val="004D2DBD"/>
    <w:rsid w:val="0050519A"/>
    <w:rsid w:val="005072A1"/>
    <w:rsid w:val="00514517"/>
    <w:rsid w:val="00545827"/>
    <w:rsid w:val="00560270"/>
    <w:rsid w:val="00592FE8"/>
    <w:rsid w:val="005C2568"/>
    <w:rsid w:val="005F1B17"/>
    <w:rsid w:val="006037C0"/>
    <w:rsid w:val="006631B6"/>
    <w:rsid w:val="00671102"/>
    <w:rsid w:val="00680577"/>
    <w:rsid w:val="006D6C5D"/>
    <w:rsid w:val="006F74FA"/>
    <w:rsid w:val="00731ADD"/>
    <w:rsid w:val="00734777"/>
    <w:rsid w:val="00741254"/>
    <w:rsid w:val="00747932"/>
    <w:rsid w:val="00751A4A"/>
    <w:rsid w:val="00756632"/>
    <w:rsid w:val="00762C74"/>
    <w:rsid w:val="00786EC0"/>
    <w:rsid w:val="007D1690"/>
    <w:rsid w:val="007E22AD"/>
    <w:rsid w:val="007F2CBA"/>
    <w:rsid w:val="00817416"/>
    <w:rsid w:val="00842779"/>
    <w:rsid w:val="00865F67"/>
    <w:rsid w:val="0087745A"/>
    <w:rsid w:val="00881A7B"/>
    <w:rsid w:val="008840E5"/>
    <w:rsid w:val="00887B3E"/>
    <w:rsid w:val="008C2AC6"/>
    <w:rsid w:val="008D3608"/>
    <w:rsid w:val="00924ED7"/>
    <w:rsid w:val="00930C23"/>
    <w:rsid w:val="0093193B"/>
    <w:rsid w:val="009509D8"/>
    <w:rsid w:val="00950B64"/>
    <w:rsid w:val="00981893"/>
    <w:rsid w:val="00A1687D"/>
    <w:rsid w:val="00A43E52"/>
    <w:rsid w:val="00A4678D"/>
    <w:rsid w:val="00A778C7"/>
    <w:rsid w:val="00A97AB1"/>
    <w:rsid w:val="00AB441E"/>
    <w:rsid w:val="00AB6293"/>
    <w:rsid w:val="00AE0928"/>
    <w:rsid w:val="00AF3B82"/>
    <w:rsid w:val="00B12E95"/>
    <w:rsid w:val="00B22876"/>
    <w:rsid w:val="00B558F0"/>
    <w:rsid w:val="00B674BF"/>
    <w:rsid w:val="00B77E95"/>
    <w:rsid w:val="00B91628"/>
    <w:rsid w:val="00BC018B"/>
    <w:rsid w:val="00BD48FE"/>
    <w:rsid w:val="00BD7BD8"/>
    <w:rsid w:val="00BE6ADC"/>
    <w:rsid w:val="00C05BFE"/>
    <w:rsid w:val="00C23CD4"/>
    <w:rsid w:val="00C46579"/>
    <w:rsid w:val="00C61C0C"/>
    <w:rsid w:val="00C941CB"/>
    <w:rsid w:val="00CA75B5"/>
    <w:rsid w:val="00CC2357"/>
    <w:rsid w:val="00CF071A"/>
    <w:rsid w:val="00D058B8"/>
    <w:rsid w:val="00D56C11"/>
    <w:rsid w:val="00D834A0"/>
    <w:rsid w:val="00D872DF"/>
    <w:rsid w:val="00D91E21"/>
    <w:rsid w:val="00DA7FCD"/>
    <w:rsid w:val="00DF6F52"/>
    <w:rsid w:val="00E365E1"/>
    <w:rsid w:val="00E820A4"/>
    <w:rsid w:val="00EB006A"/>
    <w:rsid w:val="00EB4772"/>
    <w:rsid w:val="00ED169E"/>
    <w:rsid w:val="00ED4235"/>
    <w:rsid w:val="00F04346"/>
    <w:rsid w:val="00F075DC"/>
    <w:rsid w:val="00F149E9"/>
    <w:rsid w:val="00F5134D"/>
    <w:rsid w:val="00F571D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FE38B"/>
  <w15:chartTrackingRefBased/>
  <w15:docId w15:val="{1E581D33-7435-4375-BBAF-C1F2F3486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uiPriority="10" w:qFormat="1"/>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8437D"/>
    <w:rPr>
      <w:b/>
      <w:kern w:val="28"/>
      <w:sz w:val="28"/>
      <w:lang w:val="fr-FR" w:eastAsia="fr-FR"/>
    </w:rPr>
  </w:style>
  <w:style w:type="character" w:customStyle="1" w:styleId="Heading2Char">
    <w:name w:val="Heading 2 Char"/>
    <w:basedOn w:val="DefaultParagraphFont"/>
    <w:link w:val="Heading2"/>
    <w:semiHidden/>
    <w:rsid w:val="0028437D"/>
    <w:rPr>
      <w:sz w:val="24"/>
      <w:lang w:val="fr-FR" w:eastAsia="fr-FR"/>
    </w:rPr>
  </w:style>
  <w:style w:type="character" w:customStyle="1" w:styleId="Heading3Char">
    <w:name w:val="Heading 3 Char"/>
    <w:basedOn w:val="DefaultParagraphFont"/>
    <w:link w:val="Heading3"/>
    <w:semiHidden/>
    <w:rsid w:val="0028437D"/>
    <w:rPr>
      <w:rFonts w:ascii="Arial" w:hAnsi="Arial"/>
      <w:sz w:val="24"/>
      <w:lang w:val="fr-FR" w:eastAsia="fr-FR"/>
    </w:rPr>
  </w:style>
  <w:style w:type="character" w:customStyle="1" w:styleId="Heading4Char">
    <w:name w:val="Heading 4 Char"/>
    <w:basedOn w:val="DefaultParagraphFont"/>
    <w:link w:val="Heading4"/>
    <w:semiHidden/>
    <w:rsid w:val="0028437D"/>
    <w:rPr>
      <w:sz w:val="24"/>
      <w:lang w:val="en-US" w:eastAsia="fr-FR"/>
    </w:rPr>
  </w:style>
  <w:style w:type="character" w:customStyle="1" w:styleId="Heading5Char">
    <w:name w:val="Heading 5 Char"/>
    <w:basedOn w:val="DefaultParagraphFont"/>
    <w:link w:val="Heading5"/>
    <w:semiHidden/>
    <w:rsid w:val="0028437D"/>
    <w:rPr>
      <w:sz w:val="24"/>
      <w:lang w:val="en-US" w:eastAsia="fr-FR"/>
    </w:rPr>
  </w:style>
  <w:style w:type="character" w:customStyle="1" w:styleId="Heading6Char">
    <w:name w:val="Heading 6 Char"/>
    <w:basedOn w:val="DefaultParagraphFont"/>
    <w:link w:val="Heading6"/>
    <w:semiHidden/>
    <w:rsid w:val="0028437D"/>
    <w:rPr>
      <w:i/>
      <w:sz w:val="22"/>
      <w:lang w:val="ro-RO"/>
    </w:rPr>
  </w:style>
  <w:style w:type="character" w:customStyle="1" w:styleId="Heading7Char">
    <w:name w:val="Heading 7 Char"/>
    <w:basedOn w:val="DefaultParagraphFont"/>
    <w:link w:val="Heading7"/>
    <w:semiHidden/>
    <w:rsid w:val="0028437D"/>
    <w:rPr>
      <w:rFonts w:ascii="Arial" w:hAnsi="Arial"/>
      <w:sz w:val="24"/>
      <w:lang w:val="ro-RO"/>
    </w:rPr>
  </w:style>
  <w:style w:type="character" w:customStyle="1" w:styleId="Heading8Char">
    <w:name w:val="Heading 8 Char"/>
    <w:basedOn w:val="DefaultParagraphFont"/>
    <w:link w:val="Heading8"/>
    <w:semiHidden/>
    <w:rsid w:val="0028437D"/>
    <w:rPr>
      <w:rFonts w:ascii="Arial" w:hAnsi="Arial"/>
      <w:i/>
      <w:sz w:val="24"/>
      <w:lang w:val="ro-RO"/>
    </w:rPr>
  </w:style>
  <w:style w:type="character" w:customStyle="1" w:styleId="Heading9Char">
    <w:name w:val="Heading 9 Char"/>
    <w:basedOn w:val="DefaultParagraphFont"/>
    <w:link w:val="Heading9"/>
    <w:semiHidden/>
    <w:rsid w:val="0028437D"/>
    <w:rPr>
      <w:rFonts w:ascii="Arial" w:hAnsi="Arial"/>
      <w:b/>
      <w:i/>
      <w:sz w:val="18"/>
      <w:lang w:val="ro-RO"/>
    </w:rPr>
  </w:style>
  <w:style w:type="paragraph" w:styleId="TOCHeading">
    <w:name w:val="TOC Heading"/>
    <w:basedOn w:val="Normal"/>
    <w:next w:val="Normal"/>
    <w:unhideWhenUsed/>
    <w:qFormat/>
    <w:rsid w:val="0028437D"/>
    <w:pPr>
      <w:widowControl/>
      <w:spacing w:after="240"/>
    </w:pPr>
    <w:rPr>
      <w:lang w:val="en-GB"/>
    </w:rPr>
  </w:style>
  <w:style w:type="paragraph" w:customStyle="1" w:styleId="EPFooter2">
    <w:name w:val="EPFooter2"/>
    <w:basedOn w:val="Normal"/>
    <w:next w:val="Normal"/>
    <w:rsid w:val="0028437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8437D"/>
    <w:pPr>
      <w:widowControl/>
      <w:spacing w:after="240"/>
    </w:pPr>
  </w:style>
  <w:style w:type="paragraph" w:customStyle="1" w:styleId="TOCPage">
    <w:name w:val="TOC Page"/>
    <w:basedOn w:val="Normal"/>
    <w:next w:val="TOC1"/>
    <w:rsid w:val="0028437D"/>
    <w:pPr>
      <w:keepNext/>
      <w:widowControl/>
      <w:spacing w:after="240"/>
      <w:jc w:val="right"/>
    </w:pPr>
    <w:rPr>
      <w:rFonts w:ascii="Arial" w:hAnsi="Arial"/>
      <w:b/>
    </w:rPr>
  </w:style>
  <w:style w:type="paragraph" w:customStyle="1" w:styleId="PageHeading">
    <w:name w:val="PageHeading"/>
    <w:basedOn w:val="Normal"/>
    <w:qFormat/>
    <w:rsid w:val="0028437D"/>
    <w:pPr>
      <w:keepNext/>
      <w:widowControl/>
      <w:spacing w:after="480"/>
      <w:jc w:val="center"/>
    </w:pPr>
    <w:rPr>
      <w:rFonts w:ascii="Arial" w:hAnsi="Arial" w:cs="Arial"/>
      <w:b/>
    </w:rPr>
  </w:style>
  <w:style w:type="paragraph" w:customStyle="1" w:styleId="NormalBold">
    <w:name w:val="NormalBold"/>
    <w:basedOn w:val="Normal"/>
    <w:link w:val="NormalBoldChar"/>
    <w:rsid w:val="0028437D"/>
    <w:pPr>
      <w:widowControl/>
    </w:pPr>
    <w:rPr>
      <w:b/>
    </w:rPr>
  </w:style>
  <w:style w:type="paragraph" w:customStyle="1" w:styleId="NormalHanging12a">
    <w:name w:val="NormalHanging12a"/>
    <w:basedOn w:val="Normal"/>
    <w:link w:val="NormalHanging12aChar"/>
    <w:qFormat/>
    <w:rsid w:val="0028437D"/>
    <w:pPr>
      <w:widowControl/>
      <w:spacing w:after="240"/>
      <w:ind w:left="567" w:hanging="567"/>
    </w:pPr>
  </w:style>
  <w:style w:type="paragraph" w:customStyle="1" w:styleId="CoverNormal24a">
    <w:name w:val="CoverNormal24a"/>
    <w:basedOn w:val="Normal"/>
    <w:rsid w:val="0028437D"/>
    <w:pPr>
      <w:widowControl/>
      <w:spacing w:after="480"/>
      <w:ind w:left="1417"/>
    </w:pPr>
  </w:style>
  <w:style w:type="paragraph" w:customStyle="1" w:styleId="CoverNormal">
    <w:name w:val="CoverNormal"/>
    <w:basedOn w:val="Normal"/>
    <w:rsid w:val="0028437D"/>
    <w:pPr>
      <w:widowControl/>
      <w:ind w:left="1418"/>
    </w:pPr>
  </w:style>
  <w:style w:type="paragraph" w:customStyle="1" w:styleId="CoverReference">
    <w:name w:val="CoverReference"/>
    <w:basedOn w:val="Normal"/>
    <w:rsid w:val="0028437D"/>
    <w:pPr>
      <w:widowControl/>
      <w:spacing w:before="1080"/>
      <w:jc w:val="right"/>
    </w:pPr>
    <w:rPr>
      <w:rFonts w:ascii="Arial" w:hAnsi="Arial" w:cs="Arial"/>
      <w:b/>
    </w:rPr>
  </w:style>
  <w:style w:type="paragraph" w:customStyle="1" w:styleId="CoverDocType24a">
    <w:name w:val="CoverDocType24a"/>
    <w:basedOn w:val="Normal"/>
    <w:rsid w:val="0028437D"/>
    <w:pPr>
      <w:widowControl/>
      <w:spacing w:after="480"/>
      <w:ind w:left="1418"/>
    </w:pPr>
    <w:rPr>
      <w:rFonts w:ascii="Arial" w:hAnsi="Arial"/>
      <w:b/>
      <w:sz w:val="48"/>
    </w:rPr>
  </w:style>
  <w:style w:type="paragraph" w:customStyle="1" w:styleId="CoverDate">
    <w:name w:val="CoverDate"/>
    <w:basedOn w:val="Normal"/>
    <w:rsid w:val="0028437D"/>
    <w:pPr>
      <w:widowControl/>
      <w:spacing w:before="240" w:after="1200"/>
    </w:pPr>
  </w:style>
  <w:style w:type="paragraph" w:styleId="Header">
    <w:name w:val="header"/>
    <w:basedOn w:val="Normal"/>
    <w:link w:val="HeaderChar"/>
    <w:rsid w:val="0028437D"/>
    <w:pPr>
      <w:widowControl/>
      <w:tabs>
        <w:tab w:val="center" w:pos="4513"/>
        <w:tab w:val="right" w:pos="9026"/>
      </w:tabs>
    </w:pPr>
  </w:style>
  <w:style w:type="character" w:customStyle="1" w:styleId="HeaderChar">
    <w:name w:val="Header Char"/>
    <w:basedOn w:val="DefaultParagraphFont"/>
    <w:link w:val="Header"/>
    <w:rsid w:val="0028437D"/>
    <w:rPr>
      <w:sz w:val="24"/>
      <w:lang w:val="ro-RO"/>
    </w:rPr>
  </w:style>
  <w:style w:type="paragraph" w:customStyle="1" w:styleId="EPBody">
    <w:name w:val="EPBody"/>
    <w:basedOn w:val="Normal"/>
    <w:rsid w:val="0028437D"/>
    <w:pPr>
      <w:widowControl/>
      <w:jc w:val="center"/>
    </w:pPr>
    <w:rPr>
      <w:rFonts w:ascii="Arial" w:hAnsi="Arial" w:cs="Arial"/>
      <w:i/>
      <w:sz w:val="22"/>
      <w:szCs w:val="22"/>
    </w:rPr>
  </w:style>
  <w:style w:type="paragraph" w:customStyle="1" w:styleId="Subheading">
    <w:name w:val="Subheading"/>
    <w:basedOn w:val="Normal"/>
    <w:rsid w:val="0028437D"/>
    <w:pPr>
      <w:widowControl/>
      <w:spacing w:before="480" w:after="240"/>
    </w:pPr>
    <w:rPr>
      <w:b/>
      <w:i/>
    </w:rPr>
  </w:style>
  <w:style w:type="paragraph" w:customStyle="1" w:styleId="EPFooter">
    <w:name w:val="EPFooter"/>
    <w:basedOn w:val="Normal"/>
    <w:rsid w:val="0028437D"/>
    <w:pPr>
      <w:widowControl/>
      <w:tabs>
        <w:tab w:val="center" w:pos="4535"/>
        <w:tab w:val="right" w:pos="9071"/>
      </w:tabs>
      <w:spacing w:before="240" w:after="240"/>
    </w:pPr>
    <w:rPr>
      <w:color w:val="010000"/>
      <w:sz w:val="22"/>
    </w:rPr>
  </w:style>
  <w:style w:type="paragraph" w:customStyle="1" w:styleId="EPComma">
    <w:name w:val="EPComma"/>
    <w:basedOn w:val="Normal"/>
    <w:rsid w:val="0028437D"/>
    <w:pPr>
      <w:widowControl/>
      <w:spacing w:before="480" w:after="240"/>
    </w:pPr>
  </w:style>
  <w:style w:type="character" w:styleId="Hyperlink">
    <w:name w:val="Hyperlink"/>
    <w:basedOn w:val="DefaultParagraphFont"/>
    <w:unhideWhenUsed/>
    <w:qFormat/>
    <w:rsid w:val="0028437D"/>
    <w:rPr>
      <w:color w:val="0563C1" w:themeColor="hyperlink"/>
      <w:u w:val="single"/>
    </w:rPr>
  </w:style>
  <w:style w:type="paragraph" w:styleId="CommentText">
    <w:name w:val="annotation text"/>
    <w:basedOn w:val="Normal"/>
    <w:link w:val="CommentTextChar"/>
    <w:unhideWhenUsed/>
    <w:rsid w:val="0028437D"/>
    <w:pPr>
      <w:widowControl/>
    </w:pPr>
    <w:rPr>
      <w:sz w:val="20"/>
    </w:rPr>
  </w:style>
  <w:style w:type="character" w:customStyle="1" w:styleId="CommentTextChar">
    <w:name w:val="Comment Text Char"/>
    <w:basedOn w:val="DefaultParagraphFont"/>
    <w:link w:val="CommentText"/>
    <w:rsid w:val="0028437D"/>
    <w:rPr>
      <w:lang w:val="ro-RO"/>
    </w:rPr>
  </w:style>
  <w:style w:type="character" w:customStyle="1" w:styleId="NormalHanging12aChar">
    <w:name w:val="NormalHanging12a Char"/>
    <w:basedOn w:val="DefaultParagraphFont"/>
    <w:link w:val="NormalHanging12a"/>
    <w:locked/>
    <w:rsid w:val="0028437D"/>
    <w:rPr>
      <w:sz w:val="24"/>
      <w:lang w:val="ro-RO"/>
    </w:rPr>
  </w:style>
  <w:style w:type="character" w:styleId="CommentReference">
    <w:name w:val="annotation reference"/>
    <w:basedOn w:val="DefaultParagraphFont"/>
    <w:unhideWhenUsed/>
    <w:rsid w:val="0028437D"/>
    <w:rPr>
      <w:sz w:val="16"/>
      <w:szCs w:val="16"/>
    </w:rPr>
  </w:style>
  <w:style w:type="paragraph" w:styleId="BalloonText">
    <w:name w:val="Balloon Text"/>
    <w:basedOn w:val="Normal"/>
    <w:link w:val="BalloonTextChar"/>
    <w:unhideWhenUsed/>
    <w:rsid w:val="0028437D"/>
    <w:pPr>
      <w:widowControl/>
    </w:pPr>
    <w:rPr>
      <w:rFonts w:ascii="Segoe UI" w:hAnsi="Segoe UI" w:cs="Segoe UI"/>
      <w:sz w:val="18"/>
      <w:szCs w:val="18"/>
    </w:rPr>
  </w:style>
  <w:style w:type="character" w:customStyle="1" w:styleId="BalloonTextChar">
    <w:name w:val="Balloon Text Char"/>
    <w:basedOn w:val="DefaultParagraphFont"/>
    <w:link w:val="BalloonText"/>
    <w:rsid w:val="0028437D"/>
    <w:rPr>
      <w:rFonts w:ascii="Segoe UI" w:hAnsi="Segoe UI" w:cs="Segoe UI"/>
      <w:sz w:val="18"/>
      <w:szCs w:val="18"/>
      <w:lang w:val="ro-RO"/>
    </w:rPr>
  </w:style>
  <w:style w:type="paragraph" w:styleId="CommentSubject">
    <w:name w:val="annotation subject"/>
    <w:basedOn w:val="CommentText"/>
    <w:next w:val="CommentText"/>
    <w:link w:val="CommentSubjectChar"/>
    <w:unhideWhenUsed/>
    <w:rsid w:val="0028437D"/>
    <w:rPr>
      <w:b/>
      <w:bCs/>
    </w:rPr>
  </w:style>
  <w:style w:type="character" w:customStyle="1" w:styleId="CommentSubjectChar">
    <w:name w:val="Comment Subject Char"/>
    <w:basedOn w:val="CommentTextChar"/>
    <w:link w:val="CommentSubject"/>
    <w:rsid w:val="0028437D"/>
    <w:rPr>
      <w:b/>
      <w:bCs/>
      <w:lang w:val="ro-RO"/>
    </w:rPr>
  </w:style>
  <w:style w:type="character" w:styleId="FollowedHyperlink">
    <w:name w:val="FollowedHyperlink"/>
    <w:basedOn w:val="DefaultParagraphFont"/>
    <w:rsid w:val="0028437D"/>
    <w:rPr>
      <w:color w:val="954F72" w:themeColor="followedHyperlink"/>
      <w:u w:val="single"/>
    </w:rPr>
  </w:style>
  <w:style w:type="paragraph" w:styleId="Revision">
    <w:name w:val="Revision"/>
    <w:hidden/>
    <w:uiPriority w:val="99"/>
    <w:semiHidden/>
    <w:rsid w:val="0028437D"/>
    <w:rPr>
      <w:sz w:val="24"/>
    </w:rPr>
  </w:style>
  <w:style w:type="character" w:styleId="UnresolvedMention">
    <w:name w:val="Unresolved Mention"/>
    <w:basedOn w:val="DefaultParagraphFont"/>
    <w:uiPriority w:val="99"/>
    <w:semiHidden/>
    <w:unhideWhenUsed/>
    <w:rsid w:val="0028437D"/>
    <w:rPr>
      <w:color w:val="605E5C"/>
      <w:shd w:val="clear" w:color="auto" w:fill="E1DFDD"/>
    </w:rPr>
  </w:style>
  <w:style w:type="paragraph" w:styleId="Title">
    <w:name w:val="Title"/>
    <w:basedOn w:val="Normal"/>
    <w:next w:val="Normal"/>
    <w:link w:val="TitleChar"/>
    <w:uiPriority w:val="10"/>
    <w:qFormat/>
    <w:rsid w:val="0028437D"/>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28437D"/>
    <w:rPr>
      <w:rFonts w:ascii="Arial" w:eastAsiaTheme="majorEastAsia" w:hAnsi="Arial" w:cs="Arial"/>
      <w:b/>
      <w:bCs/>
      <w:kern w:val="28"/>
      <w:sz w:val="32"/>
      <w:szCs w:val="32"/>
      <w:lang w:val="ro-RO" w:eastAsia="en-US"/>
      <w14:ligatures w14:val="standardContextual"/>
    </w:rPr>
  </w:style>
  <w:style w:type="character" w:styleId="Emphasis">
    <w:name w:val="Emphasis"/>
    <w:basedOn w:val="DefaultParagraphFont"/>
    <w:uiPriority w:val="20"/>
    <w:qFormat/>
    <w:rsid w:val="0028437D"/>
    <w:rPr>
      <w:i/>
      <w:iCs/>
    </w:rPr>
  </w:style>
  <w:style w:type="paragraph" w:customStyle="1" w:styleId="RollCallVotes">
    <w:name w:val="RollCallVotes"/>
    <w:basedOn w:val="Normal"/>
    <w:rsid w:val="0028437D"/>
    <w:pPr>
      <w:widowControl/>
      <w:spacing w:before="120" w:after="120"/>
      <w:jc w:val="center"/>
    </w:pPr>
    <w:rPr>
      <w:b/>
      <w:bCs/>
      <w:snapToGrid w:val="0"/>
      <w:sz w:val="16"/>
      <w:lang w:eastAsia="en-US"/>
    </w:rPr>
  </w:style>
  <w:style w:type="paragraph" w:customStyle="1" w:styleId="RollCallTabs">
    <w:name w:val="RollCallTabs"/>
    <w:basedOn w:val="Normal"/>
    <w:qFormat/>
    <w:rsid w:val="0028437D"/>
    <w:pPr>
      <w:widowControl/>
      <w:tabs>
        <w:tab w:val="center" w:pos="284"/>
        <w:tab w:val="left" w:pos="426"/>
      </w:tabs>
    </w:pPr>
    <w:rPr>
      <w:snapToGrid w:val="0"/>
      <w:lang w:eastAsia="en-US"/>
    </w:rPr>
  </w:style>
  <w:style w:type="paragraph" w:customStyle="1" w:styleId="RollCallSymbols14pt">
    <w:name w:val="RollCallSymbols14pt"/>
    <w:basedOn w:val="Normal"/>
    <w:rsid w:val="0028437D"/>
    <w:pPr>
      <w:widowControl/>
      <w:spacing w:before="120" w:after="120"/>
      <w:jc w:val="center"/>
    </w:pPr>
    <w:rPr>
      <w:rFonts w:ascii="Arial" w:hAnsi="Arial"/>
      <w:b/>
      <w:bCs/>
      <w:snapToGrid w:val="0"/>
      <w:sz w:val="28"/>
      <w:lang w:eastAsia="en-US"/>
    </w:rPr>
  </w:style>
  <w:style w:type="paragraph" w:customStyle="1" w:styleId="RollCallTable">
    <w:name w:val="RollCallTable"/>
    <w:basedOn w:val="Normal"/>
    <w:rsid w:val="0028437D"/>
    <w:pPr>
      <w:widowControl/>
      <w:spacing w:before="120" w:after="120"/>
    </w:pPr>
    <w:rPr>
      <w:snapToGrid w:val="0"/>
      <w:sz w:val="16"/>
      <w:lang w:eastAsia="en-US"/>
    </w:rPr>
  </w:style>
  <w:style w:type="paragraph" w:customStyle="1" w:styleId="PageHeadingNotTOC">
    <w:name w:val="PageHeadingNotTOC"/>
    <w:basedOn w:val="Normal"/>
    <w:link w:val="PageHeadingNotTOCChar"/>
    <w:rsid w:val="0028437D"/>
    <w:pPr>
      <w:keepNext/>
      <w:widowControl/>
      <w:spacing w:after="480"/>
      <w:jc w:val="center"/>
    </w:pPr>
    <w:rPr>
      <w:rFonts w:ascii="Arial" w:hAnsi="Arial" w:cs="Arial"/>
      <w:b/>
    </w:rPr>
  </w:style>
  <w:style w:type="paragraph" w:customStyle="1" w:styleId="Normal6a">
    <w:name w:val="Normal6a"/>
    <w:basedOn w:val="Normal"/>
    <w:rsid w:val="0028437D"/>
    <w:pPr>
      <w:widowControl/>
      <w:spacing w:after="120"/>
    </w:pPr>
  </w:style>
  <w:style w:type="paragraph" w:customStyle="1" w:styleId="AmColumnHeading">
    <w:name w:val="AmColumnHeading"/>
    <w:basedOn w:val="Normal"/>
    <w:rsid w:val="0028437D"/>
    <w:pPr>
      <w:widowControl/>
      <w:spacing w:after="240"/>
      <w:jc w:val="center"/>
    </w:pPr>
    <w:rPr>
      <w:i/>
    </w:rPr>
  </w:style>
  <w:style w:type="paragraph" w:customStyle="1" w:styleId="AmNumberTabs">
    <w:name w:val="AmNumberTabs"/>
    <w:basedOn w:val="Normal"/>
    <w:rsid w:val="0028437D"/>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8437D"/>
    <w:pPr>
      <w:widowControl/>
      <w:spacing w:before="240"/>
    </w:pPr>
    <w:rPr>
      <w:b/>
    </w:rPr>
  </w:style>
  <w:style w:type="paragraph" w:customStyle="1" w:styleId="Arial14CentreBold">
    <w:name w:val="Arial14CentreBold"/>
    <w:basedOn w:val="Normal"/>
    <w:qFormat/>
    <w:rsid w:val="0028437D"/>
    <w:pPr>
      <w:widowControl/>
      <w:jc w:val="center"/>
    </w:pPr>
    <w:rPr>
      <w:rFonts w:ascii="Arial" w:hAnsi="Arial"/>
      <w:b/>
      <w:sz w:val="28"/>
    </w:rPr>
  </w:style>
  <w:style w:type="character" w:customStyle="1" w:styleId="EPFooter2Motto">
    <w:name w:val="EPFooter2Motto"/>
    <w:uiPriority w:val="1"/>
    <w:qFormat/>
    <w:rsid w:val="0028437D"/>
    <w:rPr>
      <w:rFonts w:ascii="Arial" w:hAnsi="Arial"/>
      <w:b/>
      <w:i/>
      <w:color w:val="C0C0C0"/>
      <w:sz w:val="22"/>
    </w:rPr>
  </w:style>
  <w:style w:type="paragraph" w:customStyle="1" w:styleId="ProcedureTable">
    <w:name w:val="ProcedureTable"/>
    <w:basedOn w:val="Normal"/>
    <w:rsid w:val="0028437D"/>
    <w:pPr>
      <w:widowControl/>
    </w:pPr>
    <w:rPr>
      <w:sz w:val="20"/>
    </w:rPr>
  </w:style>
  <w:style w:type="paragraph" w:customStyle="1" w:styleId="ProcedureTableBold">
    <w:name w:val="ProcedureTableBold"/>
    <w:basedOn w:val="Normal"/>
    <w:rsid w:val="0028437D"/>
    <w:pPr>
      <w:widowControl/>
    </w:pPr>
    <w:rPr>
      <w:b/>
      <w:sz w:val="20"/>
    </w:rPr>
  </w:style>
  <w:style w:type="paragraph" w:customStyle="1" w:styleId="NormalTab">
    <w:name w:val="NormalTab"/>
    <w:basedOn w:val="Normal"/>
    <w:rsid w:val="0028437D"/>
    <w:pPr>
      <w:widowControl/>
      <w:tabs>
        <w:tab w:val="center" w:pos="284"/>
        <w:tab w:val="left" w:pos="425"/>
      </w:tabs>
    </w:pPr>
  </w:style>
  <w:style w:type="paragraph" w:customStyle="1" w:styleId="Normal24a">
    <w:name w:val="Normal24a"/>
    <w:basedOn w:val="Normal"/>
    <w:link w:val="Normal24aChar"/>
    <w:rsid w:val="0028437D"/>
    <w:pPr>
      <w:widowControl/>
      <w:spacing w:after="480"/>
    </w:pPr>
    <w:rPr>
      <w:rFonts w:ascii="Arial" w:hAnsi="Arial" w:cs="Arial"/>
    </w:rPr>
  </w:style>
  <w:style w:type="character" w:customStyle="1" w:styleId="PageHeadingNotTOCChar">
    <w:name w:val="PageHeadingNotTOC Char"/>
    <w:basedOn w:val="DefaultParagraphFont"/>
    <w:link w:val="PageHeadingNotTOC"/>
    <w:rsid w:val="0028437D"/>
    <w:rPr>
      <w:rFonts w:ascii="Arial" w:hAnsi="Arial" w:cs="Arial"/>
      <w:b/>
      <w:sz w:val="24"/>
      <w:lang w:val="ro-RO"/>
    </w:rPr>
  </w:style>
  <w:style w:type="character" w:customStyle="1" w:styleId="Normal24aChar">
    <w:name w:val="Normal24a Char"/>
    <w:basedOn w:val="PageHeadingNotTOCChar"/>
    <w:link w:val="Normal24a"/>
    <w:rsid w:val="0028437D"/>
    <w:rPr>
      <w:rFonts w:ascii="Arial" w:hAnsi="Arial" w:cs="Arial"/>
      <w:b w:val="0"/>
      <w:sz w:val="24"/>
      <w:lang w:val="ro-RO"/>
    </w:rPr>
  </w:style>
  <w:style w:type="paragraph" w:customStyle="1" w:styleId="NormalBoldCenter">
    <w:name w:val="NormalBoldCenter"/>
    <w:basedOn w:val="Normal"/>
    <w:rsid w:val="0028437D"/>
    <w:pPr>
      <w:widowControl/>
      <w:jc w:val="center"/>
    </w:pPr>
    <w:rPr>
      <w:b/>
      <w:szCs w:val="24"/>
    </w:rPr>
  </w:style>
  <w:style w:type="paragraph" w:customStyle="1" w:styleId="Footprint12b">
    <w:name w:val="Footprint12b"/>
    <w:basedOn w:val="Normal"/>
    <w:rsid w:val="0028437D"/>
    <w:pPr>
      <w:widowControl/>
      <w:spacing w:before="240"/>
    </w:pPr>
    <w:rPr>
      <w:szCs w:val="24"/>
    </w:rPr>
  </w:style>
  <w:style w:type="paragraph" w:customStyle="1" w:styleId="NormalSingle">
    <w:name w:val="NormalSingle"/>
    <w:basedOn w:val="Normal"/>
    <w:qFormat/>
    <w:rsid w:val="0028437D"/>
    <w:pPr>
      <w:widowControl/>
    </w:pPr>
    <w:rPr>
      <w:szCs w:val="24"/>
    </w:rPr>
  </w:style>
  <w:style w:type="paragraph" w:customStyle="1" w:styleId="AmDocTypeTab">
    <w:name w:val="AmDocTypeTab"/>
    <w:basedOn w:val="Normal"/>
    <w:rsid w:val="0028437D"/>
    <w:pPr>
      <w:widowControl/>
      <w:tabs>
        <w:tab w:val="right" w:pos="9071"/>
      </w:tabs>
    </w:pPr>
    <w:rPr>
      <w:b/>
    </w:rPr>
  </w:style>
  <w:style w:type="paragraph" w:customStyle="1" w:styleId="AmOrLang">
    <w:name w:val="AmOrLang"/>
    <w:basedOn w:val="Normal"/>
    <w:rsid w:val="0028437D"/>
    <w:pPr>
      <w:widowControl/>
      <w:spacing w:before="240" w:after="240"/>
      <w:jc w:val="right"/>
    </w:pPr>
  </w:style>
  <w:style w:type="paragraph" w:customStyle="1" w:styleId="AmDateTab">
    <w:name w:val="AmDateTab"/>
    <w:basedOn w:val="Normal"/>
    <w:rsid w:val="0028437D"/>
    <w:pPr>
      <w:widowControl/>
      <w:tabs>
        <w:tab w:val="right" w:pos="9071"/>
      </w:tabs>
    </w:pPr>
  </w:style>
  <w:style w:type="paragraph" w:customStyle="1" w:styleId="AmJustText">
    <w:name w:val="AmJustText"/>
    <w:basedOn w:val="Normal"/>
    <w:rsid w:val="0028437D"/>
    <w:pPr>
      <w:widowControl/>
      <w:spacing w:after="240"/>
    </w:pPr>
    <w:rPr>
      <w:i/>
    </w:rPr>
  </w:style>
  <w:style w:type="paragraph" w:customStyle="1" w:styleId="AmCrossRef">
    <w:name w:val="AmCrossRef"/>
    <w:basedOn w:val="Normal"/>
    <w:rsid w:val="0028437D"/>
    <w:pPr>
      <w:widowControl/>
      <w:spacing w:before="240" w:after="240"/>
      <w:jc w:val="center"/>
    </w:pPr>
    <w:rPr>
      <w:i/>
    </w:rPr>
  </w:style>
  <w:style w:type="paragraph" w:customStyle="1" w:styleId="AmJustTitle">
    <w:name w:val="AmJustTitle"/>
    <w:basedOn w:val="Normal"/>
    <w:next w:val="AmJustText"/>
    <w:rsid w:val="0028437D"/>
    <w:pPr>
      <w:keepNext/>
      <w:widowControl/>
      <w:spacing w:before="240" w:after="240"/>
      <w:jc w:val="center"/>
    </w:pPr>
    <w:rPr>
      <w:i/>
    </w:rPr>
  </w:style>
  <w:style w:type="character" w:customStyle="1" w:styleId="Normal6Char">
    <w:name w:val="Normal6 Char"/>
    <w:basedOn w:val="DefaultParagraphFont"/>
    <w:link w:val="Normal6"/>
    <w:locked/>
    <w:rsid w:val="0028437D"/>
    <w:rPr>
      <w:sz w:val="24"/>
      <w:lang w:val="fr-FR"/>
    </w:rPr>
  </w:style>
  <w:style w:type="paragraph" w:customStyle="1" w:styleId="Normal6">
    <w:name w:val="Normal6"/>
    <w:basedOn w:val="Normal"/>
    <w:link w:val="Normal6Char"/>
    <w:rsid w:val="0028437D"/>
    <w:pPr>
      <w:widowControl/>
      <w:spacing w:after="120"/>
    </w:pPr>
    <w:rPr>
      <w:lang w:val="fr-FR"/>
    </w:rPr>
  </w:style>
  <w:style w:type="character" w:customStyle="1" w:styleId="NormalBoldChar">
    <w:name w:val="NormalBold Char"/>
    <w:basedOn w:val="DefaultParagraphFont"/>
    <w:link w:val="NormalBold"/>
    <w:locked/>
    <w:rsid w:val="0028437D"/>
    <w:rPr>
      <w:b/>
      <w:sz w:val="24"/>
      <w:lang w:val="ro-RO"/>
    </w:rPr>
  </w:style>
  <w:style w:type="paragraph" w:customStyle="1" w:styleId="ColumnHeading">
    <w:name w:val="ColumnHeading"/>
    <w:basedOn w:val="Normal"/>
    <w:rsid w:val="0028437D"/>
    <w:pPr>
      <w:widowControl/>
      <w:spacing w:after="240"/>
      <w:jc w:val="center"/>
    </w:pPr>
    <w:rPr>
      <w:i/>
      <w:lang w:val="fr-FR"/>
    </w:rPr>
  </w:style>
  <w:style w:type="paragraph" w:customStyle="1" w:styleId="AMNumberTabs0">
    <w:name w:val="AMNumberTabs"/>
    <w:basedOn w:val="Normal"/>
    <w:rsid w:val="0028437D"/>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28437D"/>
    <w:pPr>
      <w:jc w:val="right"/>
    </w:pPr>
  </w:style>
  <w:style w:type="paragraph" w:customStyle="1" w:styleId="doceo-line-height-base">
    <w:name w:val="doceo-line-height-base"/>
    <w:basedOn w:val="Normal"/>
    <w:rsid w:val="0028437D"/>
    <w:pPr>
      <w:widowControl/>
      <w:spacing w:before="100" w:beforeAutospacing="1" w:after="100" w:afterAutospacing="1"/>
    </w:pPr>
    <w:rPr>
      <w:szCs w:val="24"/>
    </w:rPr>
  </w:style>
  <w:style w:type="character" w:customStyle="1" w:styleId="doceo-font-family-base">
    <w:name w:val="doceo-font-family-base"/>
    <w:basedOn w:val="DefaultParagraphFont"/>
    <w:rsid w:val="0028437D"/>
  </w:style>
  <w:style w:type="paragraph" w:styleId="NormalWeb">
    <w:name w:val="Normal (Web)"/>
    <w:basedOn w:val="Normal"/>
    <w:uiPriority w:val="99"/>
    <w:unhideWhenUsed/>
    <w:rsid w:val="0028437D"/>
    <w:pPr>
      <w:widowControl/>
    </w:pPr>
    <w:rPr>
      <w:rFonts w:eastAsiaTheme="minorHAnsi"/>
      <w:szCs w:val="24"/>
    </w:rPr>
  </w:style>
  <w:style w:type="paragraph" w:customStyle="1" w:styleId="title-bold">
    <w:name w:val="title-bold"/>
    <w:basedOn w:val="Normal"/>
    <w:rsid w:val="0028437D"/>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28437D"/>
    <w:rPr>
      <w:color w:val="605E5C"/>
      <w:shd w:val="clear" w:color="auto" w:fill="E1DFDD"/>
    </w:rPr>
  </w:style>
  <w:style w:type="paragraph" w:customStyle="1" w:styleId="NormalBold12b12a">
    <w:name w:val="NormalBold12b12a"/>
    <w:basedOn w:val="Normal"/>
    <w:next w:val="NormalBold"/>
    <w:rsid w:val="0028437D"/>
    <w:pPr>
      <w:widowControl/>
      <w:spacing w:before="240" w:after="240"/>
    </w:pPr>
    <w:rPr>
      <w:b/>
      <w:szCs w:val="24"/>
      <w:lang w:eastAsia="en-US"/>
    </w:rPr>
  </w:style>
  <w:style w:type="paragraph" w:customStyle="1" w:styleId="Normal12">
    <w:name w:val="Normal12"/>
    <w:basedOn w:val="Normal"/>
    <w:qFormat/>
    <w:rsid w:val="0028437D"/>
    <w:pPr>
      <w:spacing w:after="240"/>
    </w:pPr>
  </w:style>
  <w:style w:type="character" w:customStyle="1" w:styleId="erpldocument-subtitle-author">
    <w:name w:val="erpl_document-subtitle-author"/>
    <w:basedOn w:val="DefaultParagraphFont"/>
    <w:rsid w:val="0028437D"/>
  </w:style>
  <w:style w:type="paragraph" w:customStyle="1" w:styleId="CoverDateNoRef">
    <w:name w:val="CoverDateNoRef"/>
    <w:basedOn w:val="Normal"/>
    <w:rsid w:val="0028437D"/>
    <w:pPr>
      <w:widowControl/>
      <w:spacing w:before="1560" w:after="1200"/>
    </w:pPr>
  </w:style>
  <w:style w:type="character" w:customStyle="1" w:styleId="Bold">
    <w:name w:val="Bold"/>
    <w:uiPriority w:val="1"/>
    <w:rsid w:val="0028437D"/>
    <w:rPr>
      <w:b/>
    </w:rPr>
  </w:style>
  <w:style w:type="character" w:customStyle="1" w:styleId="BoldItalic">
    <w:name w:val="BoldItalic"/>
    <w:uiPriority w:val="1"/>
    <w:rsid w:val="0028437D"/>
    <w:rPr>
      <w:b/>
      <w:i/>
      <w:u w:val="none"/>
    </w:rPr>
  </w:style>
  <w:style w:type="paragraph" w:customStyle="1" w:styleId="PGTitleEP">
    <w:name w:val="PG Title EP"/>
    <w:basedOn w:val="Normal"/>
    <w:rsid w:val="0028437D"/>
    <w:pPr>
      <w:widowControl/>
      <w:jc w:val="center"/>
    </w:pPr>
    <w:rPr>
      <w:rFonts w:ascii="Arial" w:hAnsi="Arial"/>
      <w:sz w:val="56"/>
    </w:rPr>
  </w:style>
  <w:style w:type="paragraph" w:customStyle="1" w:styleId="CoverNormal12a">
    <w:name w:val="CoverNormal12a"/>
    <w:basedOn w:val="Normal"/>
    <w:rsid w:val="0028437D"/>
    <w:pPr>
      <w:spacing w:after="240"/>
      <w:ind w:left="1418"/>
    </w:pPr>
  </w:style>
  <w:style w:type="paragraph" w:customStyle="1" w:styleId="CoverDocType">
    <w:name w:val="CoverDocType"/>
    <w:basedOn w:val="Normal"/>
    <w:rsid w:val="0028437D"/>
    <w:pPr>
      <w:ind w:left="1418"/>
    </w:pPr>
    <w:rPr>
      <w:rFonts w:ascii="Arial" w:hAnsi="Arial"/>
      <w:b/>
      <w:sz w:val="48"/>
    </w:rPr>
  </w:style>
  <w:style w:type="paragraph" w:customStyle="1" w:styleId="EPFooter2Landscape">
    <w:name w:val="EPFooter2Landscape"/>
    <w:qFormat/>
    <w:rsid w:val="0028437D"/>
    <w:pPr>
      <w:tabs>
        <w:tab w:val="center" w:pos="4536"/>
        <w:tab w:val="center" w:pos="9923"/>
        <w:tab w:val="right" w:pos="15026"/>
      </w:tabs>
    </w:pPr>
    <w:rPr>
      <w:rFonts w:ascii="Arial" w:hAnsi="Arial" w:cs="Arial"/>
      <w:b/>
      <w:sz w:val="48"/>
      <w:szCs w:val="22"/>
      <w:lang w:val="ro-RO"/>
    </w:rPr>
  </w:style>
  <w:style w:type="paragraph" w:customStyle="1" w:styleId="EPFooterLandscape">
    <w:name w:val="EPFooterLandscape"/>
    <w:qFormat/>
    <w:rsid w:val="0028437D"/>
    <w:pPr>
      <w:tabs>
        <w:tab w:val="center" w:pos="6804"/>
        <w:tab w:val="right" w:pos="15026"/>
      </w:tabs>
    </w:pPr>
    <w:rPr>
      <w:sz w:val="22"/>
      <w:lang w:val="ro-RO"/>
    </w:rPr>
  </w:style>
  <w:style w:type="character" w:customStyle="1" w:styleId="Italic">
    <w:name w:val="Italic"/>
    <w:uiPriority w:val="1"/>
    <w:rsid w:val="0028437D"/>
    <w:rPr>
      <w:i/>
    </w:rPr>
  </w:style>
  <w:style w:type="paragraph" w:customStyle="1" w:styleId="NormalCenter">
    <w:name w:val="NormalCenter"/>
    <w:basedOn w:val="Normal"/>
    <w:rsid w:val="0028437D"/>
    <w:pPr>
      <w:jc w:val="center"/>
    </w:pPr>
  </w:style>
  <w:style w:type="paragraph" w:customStyle="1" w:styleId="Normal12a12b">
    <w:name w:val="Normal12a12b"/>
    <w:basedOn w:val="Normal"/>
    <w:rsid w:val="0028437D"/>
    <w:pPr>
      <w:spacing w:before="240" w:after="240"/>
    </w:pPr>
  </w:style>
  <w:style w:type="character" w:customStyle="1" w:styleId="NormalBI">
    <w:name w:val="NormalBI"/>
    <w:basedOn w:val="DefaultParagraphFont"/>
    <w:uiPriority w:val="1"/>
    <w:qFormat/>
    <w:rsid w:val="0028437D"/>
    <w:rPr>
      <w:rFonts w:ascii="Times New Roman" w:hAnsi="Times New Roman"/>
      <w:b/>
      <w:i/>
      <w:sz w:val="24"/>
    </w:rPr>
  </w:style>
  <w:style w:type="paragraph" w:customStyle="1" w:styleId="Normal12aBullet1">
    <w:name w:val="Normal12aBullet1"/>
    <w:basedOn w:val="Normal12a"/>
    <w:qFormat/>
    <w:rsid w:val="0028437D"/>
    <w:pPr>
      <w:widowControl w:val="0"/>
      <w:numPr>
        <w:numId w:val="3"/>
      </w:numPr>
    </w:pPr>
  </w:style>
  <w:style w:type="paragraph" w:customStyle="1" w:styleId="NormalHanging12a1">
    <w:name w:val="NormalHanging12a1"/>
    <w:basedOn w:val="Normal"/>
    <w:qFormat/>
    <w:rsid w:val="0028437D"/>
    <w:pPr>
      <w:spacing w:after="240"/>
      <w:ind w:left="992" w:hanging="425"/>
    </w:pPr>
  </w:style>
  <w:style w:type="paragraph" w:customStyle="1" w:styleId="NormalHanging12a2">
    <w:name w:val="NormalHanging12a2"/>
    <w:basedOn w:val="Normal"/>
    <w:qFormat/>
    <w:rsid w:val="0028437D"/>
    <w:pPr>
      <w:spacing w:after="240"/>
      <w:ind w:left="1417" w:hanging="425"/>
    </w:pPr>
  </w:style>
  <w:style w:type="paragraph" w:customStyle="1" w:styleId="NormalHanging12a3">
    <w:name w:val="NormalHanging12a3"/>
    <w:basedOn w:val="NormalHanging12a2"/>
    <w:qFormat/>
    <w:rsid w:val="0028437D"/>
    <w:pPr>
      <w:ind w:left="1843"/>
    </w:pPr>
  </w:style>
  <w:style w:type="paragraph" w:customStyle="1" w:styleId="NormalHanging12a4">
    <w:name w:val="NormalHanging12a4"/>
    <w:basedOn w:val="NormalHanging12a3"/>
    <w:qFormat/>
    <w:rsid w:val="0028437D"/>
    <w:pPr>
      <w:ind w:left="2268"/>
    </w:pPr>
  </w:style>
  <w:style w:type="paragraph" w:customStyle="1" w:styleId="NormalHanging12a5">
    <w:name w:val="NormalHanging12a5"/>
    <w:basedOn w:val="NormalHanging12a4"/>
    <w:qFormat/>
    <w:rsid w:val="0028437D"/>
    <w:pPr>
      <w:ind w:left="2693"/>
    </w:pPr>
  </w:style>
  <w:style w:type="paragraph" w:customStyle="1" w:styleId="NormalHanging12a6">
    <w:name w:val="NormalHanging12a6"/>
    <w:basedOn w:val="NormalHanging12a5"/>
    <w:qFormat/>
    <w:rsid w:val="0028437D"/>
    <w:pPr>
      <w:ind w:left="3118"/>
    </w:pPr>
  </w:style>
  <w:style w:type="paragraph" w:customStyle="1" w:styleId="NormalHanging12a7">
    <w:name w:val="NormalHanging12a7"/>
    <w:basedOn w:val="NormalHanging12a6"/>
    <w:qFormat/>
    <w:rsid w:val="0028437D"/>
    <w:pPr>
      <w:ind w:left="3544"/>
    </w:pPr>
  </w:style>
  <w:style w:type="paragraph" w:customStyle="1" w:styleId="NormalHanging12a8">
    <w:name w:val="NormalHanging12a8"/>
    <w:basedOn w:val="NormalHanging12a7"/>
    <w:qFormat/>
    <w:rsid w:val="0028437D"/>
    <w:pPr>
      <w:ind w:left="3969"/>
    </w:pPr>
  </w:style>
  <w:style w:type="paragraph" w:customStyle="1" w:styleId="Normal12HangingCenter">
    <w:name w:val="Normal12HangingCenter"/>
    <w:basedOn w:val="Normal"/>
    <w:qFormat/>
    <w:rsid w:val="0028437D"/>
    <w:pPr>
      <w:spacing w:after="240"/>
      <w:ind w:left="567" w:hanging="567"/>
      <w:jc w:val="center"/>
    </w:pPr>
  </w:style>
  <w:style w:type="paragraph" w:customStyle="1" w:styleId="Normal12HangingJustified">
    <w:name w:val="Normal12HangingJustified"/>
    <w:basedOn w:val="Normal"/>
    <w:qFormat/>
    <w:rsid w:val="0028437D"/>
    <w:pPr>
      <w:spacing w:after="240"/>
      <w:ind w:left="714" w:hanging="357"/>
      <w:jc w:val="both"/>
    </w:pPr>
  </w:style>
  <w:style w:type="paragraph" w:customStyle="1" w:styleId="Normal2">
    <w:name w:val="Normal2"/>
    <w:next w:val="Normal"/>
    <w:qFormat/>
    <w:rsid w:val="0028437D"/>
    <w:pPr>
      <w:spacing w:line="120" w:lineRule="auto"/>
    </w:pPr>
    <w:rPr>
      <w:color w:val="000000"/>
      <w:sz w:val="4"/>
      <w:szCs w:val="24"/>
      <w:lang w:val="ro-RO"/>
    </w:rPr>
  </w:style>
  <w:style w:type="paragraph" w:customStyle="1" w:styleId="NormalBoldItalic6a">
    <w:name w:val="NormalBoldItalic6a"/>
    <w:basedOn w:val="Normal6a"/>
    <w:qFormat/>
    <w:rsid w:val="0028437D"/>
    <w:pPr>
      <w:widowControl w:val="0"/>
    </w:pPr>
    <w:rPr>
      <w:b/>
      <w:i/>
    </w:rPr>
  </w:style>
  <w:style w:type="paragraph" w:customStyle="1" w:styleId="NormalBoldItalicCenter6a">
    <w:name w:val="NormalBoldItalicCenter6a"/>
    <w:basedOn w:val="Normal6a"/>
    <w:qFormat/>
    <w:rsid w:val="0028437D"/>
    <w:pPr>
      <w:widowControl w:val="0"/>
      <w:jc w:val="center"/>
    </w:pPr>
    <w:rPr>
      <w:b/>
      <w:i/>
    </w:rPr>
  </w:style>
  <w:style w:type="paragraph" w:customStyle="1" w:styleId="NormalItalic6a">
    <w:name w:val="NormalItalic6a"/>
    <w:basedOn w:val="Normal6a"/>
    <w:qFormat/>
    <w:rsid w:val="0028437D"/>
    <w:pPr>
      <w:widowControl w:val="0"/>
    </w:pPr>
    <w:rPr>
      <w:i/>
    </w:rPr>
  </w:style>
  <w:style w:type="character" w:customStyle="1" w:styleId="Sub">
    <w:name w:val="Sub"/>
    <w:uiPriority w:val="1"/>
    <w:qFormat/>
    <w:rsid w:val="0028437D"/>
    <w:rPr>
      <w:vertAlign w:val="subscript"/>
    </w:rPr>
  </w:style>
  <w:style w:type="character" w:customStyle="1" w:styleId="SubBold">
    <w:name w:val="SubBold"/>
    <w:uiPriority w:val="1"/>
    <w:qFormat/>
    <w:rsid w:val="0028437D"/>
    <w:rPr>
      <w:b/>
      <w:vertAlign w:val="subscript"/>
    </w:rPr>
  </w:style>
  <w:style w:type="character" w:customStyle="1" w:styleId="SubBoldItalic">
    <w:name w:val="SubBoldItalic"/>
    <w:uiPriority w:val="1"/>
    <w:rsid w:val="0028437D"/>
    <w:rPr>
      <w:b/>
      <w:i/>
      <w:vertAlign w:val="subscript"/>
    </w:rPr>
  </w:style>
  <w:style w:type="character" w:customStyle="1" w:styleId="SubItalic">
    <w:name w:val="SubItalic"/>
    <w:uiPriority w:val="1"/>
    <w:qFormat/>
    <w:rsid w:val="0028437D"/>
    <w:rPr>
      <w:b/>
      <w:i/>
      <w:vertAlign w:val="subscript"/>
    </w:rPr>
  </w:style>
  <w:style w:type="character" w:customStyle="1" w:styleId="Sup">
    <w:name w:val="Sup"/>
    <w:uiPriority w:val="1"/>
    <w:rsid w:val="0028437D"/>
    <w:rPr>
      <w:vertAlign w:val="superscript"/>
    </w:rPr>
  </w:style>
  <w:style w:type="character" w:customStyle="1" w:styleId="SupBoldItalic">
    <w:name w:val="SupBoldItalic"/>
    <w:uiPriority w:val="1"/>
    <w:qFormat/>
    <w:rsid w:val="0028437D"/>
    <w:rPr>
      <w:b/>
      <w:i/>
      <w:vertAlign w:val="superscript"/>
    </w:rPr>
  </w:style>
  <w:style w:type="character" w:customStyle="1" w:styleId="Underline">
    <w:name w:val="Underline"/>
    <w:uiPriority w:val="1"/>
    <w:rsid w:val="0028437D"/>
    <w:rPr>
      <w:u w:val="single"/>
    </w:rPr>
  </w:style>
  <w:style w:type="character" w:customStyle="1" w:styleId="HideTermComment">
    <w:name w:val="HideTermComment"/>
    <w:uiPriority w:val="1"/>
    <w:qFormat/>
    <w:rsid w:val="0028437D"/>
    <w:rPr>
      <w:rFonts w:ascii="Arial" w:hAnsi="Arial"/>
      <w:vanish/>
      <w:color w:val="0066CC"/>
      <w:sz w:val="18"/>
    </w:rPr>
  </w:style>
  <w:style w:type="character" w:customStyle="1" w:styleId="HideTerminTermComment">
    <w:name w:val="HideTerminTermComment"/>
    <w:basedOn w:val="HideTermComment"/>
    <w:uiPriority w:val="1"/>
    <w:qFormat/>
    <w:rsid w:val="0028437D"/>
    <w:rPr>
      <w:rFonts w:ascii="Arial" w:hAnsi="Arial"/>
      <w:vanish/>
      <w:color w:val="538135" w:themeColor="accent6" w:themeShade="BF"/>
      <w:sz w:val="18"/>
    </w:rPr>
  </w:style>
  <w:style w:type="paragraph" w:customStyle="1" w:styleId="NormalCenter12a">
    <w:name w:val="NormalCenter12a"/>
    <w:basedOn w:val="Normal"/>
    <w:rsid w:val="0028437D"/>
    <w:pPr>
      <w:spacing w:after="240"/>
      <w:jc w:val="center"/>
    </w:pPr>
  </w:style>
  <w:style w:type="character" w:customStyle="1" w:styleId="BoldItalicUnderline">
    <w:name w:val="BoldItalicUnderline"/>
    <w:uiPriority w:val="1"/>
    <w:rsid w:val="0028437D"/>
    <w:rPr>
      <w:b/>
      <w:i/>
      <w:u w:val="single"/>
    </w:rPr>
  </w:style>
  <w:style w:type="character" w:customStyle="1" w:styleId="BoldUnderline">
    <w:name w:val="BoldUnderline"/>
    <w:uiPriority w:val="1"/>
    <w:rsid w:val="0028437D"/>
    <w:rPr>
      <w:b/>
      <w:u w:val="single"/>
    </w:rPr>
  </w:style>
  <w:style w:type="character" w:customStyle="1" w:styleId="ItalicUnderline">
    <w:name w:val="ItalicUnderline"/>
    <w:uiPriority w:val="1"/>
    <w:rsid w:val="0028437D"/>
    <w:rPr>
      <w:i/>
      <w:u w:val="single"/>
    </w:rPr>
  </w:style>
  <w:style w:type="character" w:customStyle="1" w:styleId="SubBoldItalicUnderline">
    <w:name w:val="SubBoldItalicUnderline"/>
    <w:uiPriority w:val="1"/>
    <w:rsid w:val="0028437D"/>
    <w:rPr>
      <w:b/>
      <w:i/>
      <w:u w:val="single"/>
      <w:vertAlign w:val="subscript"/>
    </w:rPr>
  </w:style>
  <w:style w:type="character" w:customStyle="1" w:styleId="SubBoldUnderline">
    <w:name w:val="SubBoldUnderline"/>
    <w:uiPriority w:val="1"/>
    <w:rsid w:val="0028437D"/>
    <w:rPr>
      <w:b/>
      <w:u w:val="single"/>
      <w:vertAlign w:val="subscript"/>
    </w:rPr>
  </w:style>
  <w:style w:type="character" w:customStyle="1" w:styleId="SubItalicUnderline">
    <w:name w:val="SubItalicUnderline"/>
    <w:uiPriority w:val="1"/>
    <w:rsid w:val="0028437D"/>
    <w:rPr>
      <w:i/>
      <w:u w:val="single"/>
      <w:vertAlign w:val="subscript"/>
    </w:rPr>
  </w:style>
  <w:style w:type="character" w:customStyle="1" w:styleId="SubUnderline">
    <w:name w:val="SubUnderline"/>
    <w:uiPriority w:val="1"/>
    <w:rsid w:val="0028437D"/>
    <w:rPr>
      <w:u w:val="single"/>
      <w:vertAlign w:val="subscript"/>
    </w:rPr>
  </w:style>
  <w:style w:type="character" w:customStyle="1" w:styleId="SupBold">
    <w:name w:val="SupBold"/>
    <w:uiPriority w:val="1"/>
    <w:rsid w:val="0028437D"/>
    <w:rPr>
      <w:b/>
      <w:vertAlign w:val="superscript"/>
    </w:rPr>
  </w:style>
  <w:style w:type="character" w:customStyle="1" w:styleId="SupBoldItalicUnderline">
    <w:name w:val="SupBoldItalicUnderline"/>
    <w:uiPriority w:val="1"/>
    <w:rsid w:val="0028437D"/>
    <w:rPr>
      <w:b/>
      <w:i/>
      <w:u w:val="single"/>
      <w:vertAlign w:val="superscript"/>
    </w:rPr>
  </w:style>
  <w:style w:type="character" w:customStyle="1" w:styleId="SupBoldUnderline">
    <w:name w:val="SupBoldUnderline"/>
    <w:uiPriority w:val="1"/>
    <w:rsid w:val="0028437D"/>
    <w:rPr>
      <w:b/>
      <w:u w:val="single"/>
      <w:vertAlign w:val="superscript"/>
    </w:rPr>
  </w:style>
  <w:style w:type="character" w:customStyle="1" w:styleId="SupItalic">
    <w:name w:val="SupItalic"/>
    <w:uiPriority w:val="1"/>
    <w:rsid w:val="0028437D"/>
    <w:rPr>
      <w:i/>
      <w:vertAlign w:val="superscript"/>
    </w:rPr>
  </w:style>
  <w:style w:type="character" w:customStyle="1" w:styleId="SupItalicUnderline">
    <w:name w:val="SupItalicUnderline"/>
    <w:uiPriority w:val="1"/>
    <w:rsid w:val="0028437D"/>
    <w:rPr>
      <w:i/>
      <w:u w:val="single"/>
      <w:vertAlign w:val="superscript"/>
    </w:rPr>
  </w:style>
  <w:style w:type="character" w:customStyle="1" w:styleId="SupUnderline">
    <w:name w:val="SupUnderline"/>
    <w:uiPriority w:val="1"/>
    <w:rsid w:val="0028437D"/>
    <w:rPr>
      <w:u w:val="single"/>
      <w:vertAlign w:val="superscript"/>
    </w:rPr>
  </w:style>
  <w:style w:type="paragraph" w:styleId="EndnoteText">
    <w:name w:val="endnote text"/>
    <w:basedOn w:val="Normal"/>
    <w:link w:val="EndnoteTextChar"/>
    <w:unhideWhenUsed/>
    <w:rsid w:val="0028437D"/>
    <w:rPr>
      <w:sz w:val="20"/>
    </w:rPr>
  </w:style>
  <w:style w:type="character" w:customStyle="1" w:styleId="EndnoteTextChar">
    <w:name w:val="Endnote Text Char"/>
    <w:basedOn w:val="DefaultParagraphFont"/>
    <w:link w:val="EndnoteText"/>
    <w:rsid w:val="0028437D"/>
    <w:rPr>
      <w:lang w:val="ro-RO"/>
    </w:rPr>
  </w:style>
  <w:style w:type="character" w:styleId="EndnoteReference">
    <w:name w:val="endnote reference"/>
    <w:basedOn w:val="DefaultParagraphFont"/>
    <w:unhideWhenUsed/>
    <w:rsid w:val="0028437D"/>
    <w:rPr>
      <w:vertAlign w:val="superscript"/>
    </w:rPr>
  </w:style>
  <w:style w:type="paragraph" w:styleId="Footer">
    <w:name w:val="footer"/>
    <w:basedOn w:val="Normal"/>
    <w:link w:val="FooterChar"/>
    <w:rsid w:val="0028437D"/>
    <w:pPr>
      <w:widowControl/>
      <w:tabs>
        <w:tab w:val="center" w:pos="4513"/>
        <w:tab w:val="right" w:pos="9026"/>
      </w:tabs>
    </w:pPr>
  </w:style>
  <w:style w:type="character" w:customStyle="1" w:styleId="FooterChar">
    <w:name w:val="Footer Char"/>
    <w:basedOn w:val="DefaultParagraphFont"/>
    <w:link w:val="Footer"/>
    <w:rsid w:val="0028437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14/36/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reg/2017/2394/oj" TargetMode="External"/><Relationship Id="rId42" Type="http://schemas.openxmlformats.org/officeDocument/2006/relationships/hyperlink" Target="https://ehea.info/page-united-kingdom-scotland"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ro/statement_25_1267" TargetMode="External"/><Relationship Id="rId20" Type="http://schemas.openxmlformats.org/officeDocument/2006/relationships/hyperlink" Target="https://www.hesa.ac.uk/news/08-08-2024/sb269-higher-education-student-statistics/location" TargetMode="External"/><Relationship Id="rId29" Type="http://schemas.openxmlformats.org/officeDocument/2006/relationships/hyperlink" Target="http://data.europa.eu/eli/reg/2023/1114/oj" TargetMode="External"/><Relationship Id="rId41" Type="http://schemas.openxmlformats.org/officeDocument/2006/relationships/hyperlink" Target="http://data.europa.eu/eli/reg/2021/69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s://eur-lex.europa.eu/legal-content/RO/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ec_impl/2022/1973/oj" TargetMode="External"/><Relationship Id="rId40" Type="http://schemas.openxmlformats.org/officeDocument/2006/relationships/hyperlink" Target="http://data.europa.eu/eli/C/2024/6341/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dir/2024/3237/oj" TargetMode="External"/><Relationship Id="rId10" Type="http://schemas.openxmlformats.org/officeDocument/2006/relationships/hyperlink" Target="https://pca-cpa.org/en/cases/334/"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reg/2025/1106/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08/1008/oj" TargetMode="External"/><Relationship Id="rId43" Type="http://schemas.openxmlformats.org/officeDocument/2006/relationships/hyperlink" Target="http://data.europa.eu/eli/dec_framw/2002/584/oj"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22/642/oj" TargetMode="External"/><Relationship Id="rId38" Type="http://schemas.openxmlformats.org/officeDocument/2006/relationships/hyperlink" Target="http://data.europa.eu/eli/dir/2022/9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32978</Words>
  <Characters>194114</Characters>
  <Application>Microsoft Office Word</Application>
  <DocSecurity>0</DocSecurity>
  <Lines>1617</Lines>
  <Paragraphs>453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2026-01-26T10:09:00Z</dcterms:created>
  <dcterms:modified xsi:type="dcterms:W3CDTF">2026-01-26T10:09:00Z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A10-0226/2025</vt:lpwstr>
  </property>
  <property fmtid="{D5CDD505-2E9C-101B-9397-08002B2CF9AE}" pid="4" name="&lt;Type&gt;">
    <vt:lpwstr>RR</vt:lpwstr>
  </property>
</Properties>
</file>