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2B22" w14:paraId="213CF0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1F7C00" w14:textId="77777777" w:rsidR="00751A4A" w:rsidRPr="00092B22" w:rsidRDefault="00116CAF" w:rsidP="0010095E">
            <w:pPr>
              <w:pStyle w:val="EPName"/>
            </w:pPr>
            <w:r w:rsidRPr="00092B22">
              <w:t>Evropský parlament</w:t>
            </w:r>
          </w:p>
          <w:p w14:paraId="5CE4D8A6" w14:textId="77777777" w:rsidR="00751A4A" w:rsidRPr="00092B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2B22">
              <w:t>2024</w:t>
            </w:r>
            <w:r w:rsidR="00817416" w:rsidRPr="00092B22">
              <w:t>-202</w:t>
            </w:r>
            <w:r w:rsidRPr="00092B22">
              <w:t>9</w:t>
            </w:r>
          </w:p>
        </w:tc>
        <w:tc>
          <w:tcPr>
            <w:tcW w:w="2268" w:type="dxa"/>
            <w:shd w:val="clear" w:color="auto" w:fill="auto"/>
          </w:tcPr>
          <w:p w14:paraId="5258518A" w14:textId="77777777" w:rsidR="00751A4A" w:rsidRPr="00092B22" w:rsidRDefault="00187494" w:rsidP="0010095E">
            <w:pPr>
              <w:pStyle w:val="EPLogo"/>
            </w:pPr>
            <w:r w:rsidRPr="00092B22">
              <w:rPr>
                <w:noProof/>
                <w:lang w:eastAsia="ja-JP"/>
              </w:rPr>
              <w:drawing>
                <wp:inline distT="0" distB="0" distL="0" distR="0" wp14:anchorId="63EE9AFB" wp14:editId="53BC78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F38D1D" w14:textId="77777777" w:rsidR="00D058B8" w:rsidRPr="00092B22" w:rsidRDefault="00D058B8" w:rsidP="004C5D52">
      <w:pPr>
        <w:pStyle w:val="LineTop"/>
      </w:pPr>
    </w:p>
    <w:p w14:paraId="4F796348" w14:textId="77777777" w:rsidR="00680577" w:rsidRPr="00092B22" w:rsidRDefault="00116CAF" w:rsidP="00680577">
      <w:pPr>
        <w:pStyle w:val="EPBodyTA1"/>
      </w:pPr>
      <w:r w:rsidRPr="00092B22">
        <w:t>PŘIJATÉ TEXTY</w:t>
      </w:r>
    </w:p>
    <w:p w14:paraId="7EE2A183" w14:textId="77777777" w:rsidR="00D058B8" w:rsidRPr="00092B22" w:rsidRDefault="00D058B8" w:rsidP="00D058B8">
      <w:pPr>
        <w:pStyle w:val="LineBottom"/>
      </w:pPr>
    </w:p>
    <w:p w14:paraId="575B0F0E" w14:textId="1BBB3BC2" w:rsidR="00116CAF" w:rsidRPr="00317F9B" w:rsidRDefault="00116CAF" w:rsidP="00116CAF">
      <w:pPr>
        <w:pStyle w:val="ATHeading1"/>
      </w:pPr>
      <w:bookmarkStart w:id="0" w:name="TANumber"/>
      <w:r w:rsidRPr="00317F9B">
        <w:t>P10_TA(2025)0</w:t>
      </w:r>
      <w:r w:rsidR="00F831AF">
        <w:t>3</w:t>
      </w:r>
      <w:r w:rsidRPr="00317F9B">
        <w:t>0</w:t>
      </w:r>
      <w:r w:rsidR="00F831AF">
        <w:t>9</w:t>
      </w:r>
      <w:bookmarkEnd w:id="0"/>
    </w:p>
    <w:p w14:paraId="5B5D7EA6" w14:textId="77777777" w:rsidR="00116CAF" w:rsidRPr="00317F9B" w:rsidRDefault="00116CAF" w:rsidP="00116CAF">
      <w:pPr>
        <w:pStyle w:val="ATHeading2"/>
      </w:pPr>
      <w:bookmarkStart w:id="1" w:name="title"/>
      <w:r w:rsidRPr="00317F9B">
        <w:t>Uplatňování ustanovení Smlouvy týkajících se zásad subsidiarity a proporcionality a úloha vnitrostátních parlamentů v legislativním procesu EU</w:t>
      </w:r>
      <w:bookmarkEnd w:id="1"/>
    </w:p>
    <w:p w14:paraId="2CD09C18" w14:textId="77777777" w:rsidR="00116CAF" w:rsidRPr="00092B22" w:rsidRDefault="00116CAF" w:rsidP="00116CAF">
      <w:pPr>
        <w:rPr>
          <w:i/>
          <w:vanish/>
        </w:rPr>
      </w:pPr>
      <w:r w:rsidRPr="00092B22">
        <w:rPr>
          <w:i/>
        </w:rPr>
        <w:fldChar w:fldCharType="begin"/>
      </w:r>
      <w:r w:rsidRPr="00092B22">
        <w:rPr>
          <w:i/>
        </w:rPr>
        <w:instrText xml:space="preserve"> TC"(</w:instrText>
      </w:r>
      <w:bookmarkStart w:id="2" w:name="DocNumber"/>
      <w:r w:rsidRPr="00092B22">
        <w:rPr>
          <w:i/>
        </w:rPr>
        <w:instrText>A10-0224/2025</w:instrText>
      </w:r>
      <w:bookmarkEnd w:id="2"/>
      <w:r w:rsidRPr="00092B22">
        <w:rPr>
          <w:i/>
        </w:rPr>
        <w:instrText xml:space="preserve"> - Zpravodajka: Marieke Ehlers)"\l3 \n&gt; \* MERGEFORMAT </w:instrText>
      </w:r>
      <w:r w:rsidRPr="00092B22">
        <w:rPr>
          <w:i/>
        </w:rPr>
        <w:fldChar w:fldCharType="end"/>
      </w:r>
    </w:p>
    <w:p w14:paraId="5A010CE0" w14:textId="77777777" w:rsidR="00116CAF" w:rsidRPr="00092B22" w:rsidRDefault="00116CAF" w:rsidP="00116CAF">
      <w:pPr>
        <w:rPr>
          <w:vanish/>
        </w:rPr>
      </w:pPr>
      <w:bookmarkStart w:id="3" w:name="Commission"/>
      <w:r w:rsidRPr="00092B22">
        <w:rPr>
          <w:vanish/>
        </w:rPr>
        <w:t>Výbor pro ústavní záležitosti</w:t>
      </w:r>
      <w:bookmarkEnd w:id="3"/>
    </w:p>
    <w:p w14:paraId="7557C424" w14:textId="77777777" w:rsidR="00116CAF" w:rsidRPr="00092B22" w:rsidRDefault="00116CAF" w:rsidP="00116CAF">
      <w:pPr>
        <w:rPr>
          <w:vanish/>
        </w:rPr>
      </w:pPr>
      <w:bookmarkStart w:id="4" w:name="PE"/>
      <w:r w:rsidRPr="00092B22">
        <w:rPr>
          <w:vanish/>
        </w:rPr>
        <w:t>PE768.159</w:t>
      </w:r>
      <w:bookmarkEnd w:id="4"/>
    </w:p>
    <w:p w14:paraId="430C7FF4" w14:textId="77777777" w:rsidR="00116CAF" w:rsidRPr="00317F9B" w:rsidRDefault="00116CAF" w:rsidP="00116CAF">
      <w:pPr>
        <w:pStyle w:val="ATHeading3"/>
      </w:pPr>
      <w:bookmarkStart w:id="5" w:name="Sujet"/>
      <w:r w:rsidRPr="00317F9B">
        <w:t>Usnesení Evropského parlamentu ze dne 27. listopadu 2025 o uplatňování ustanovení Smlouvy týkajících se zásad subsidiarity a proporcionality a úloha vnitrostátních parlamentů v legislativním procesu EU</w:t>
      </w:r>
      <w:bookmarkEnd w:id="5"/>
      <w:r w:rsidRPr="00317F9B">
        <w:t xml:space="preserve"> </w:t>
      </w:r>
      <w:bookmarkStart w:id="6" w:name="References"/>
      <w:r w:rsidRPr="00317F9B">
        <w:t>(2025/2042(INI))</w:t>
      </w:r>
      <w:bookmarkEnd w:id="6"/>
    </w:p>
    <w:p w14:paraId="08E18447" w14:textId="77777777" w:rsidR="00C71263" w:rsidRPr="00092B22" w:rsidRDefault="00C71263" w:rsidP="00317F9B">
      <w:pPr>
        <w:pStyle w:val="Normal12"/>
        <w:spacing w:before="480"/>
      </w:pPr>
      <w:r w:rsidRPr="00092B22">
        <w:rPr>
          <w:i/>
        </w:rPr>
        <w:t>Evropský parlament</w:t>
      </w:r>
      <w:r w:rsidRPr="00092B22">
        <w:t>,</w:t>
      </w:r>
    </w:p>
    <w:p w14:paraId="4E9C3F5B" w14:textId="06BB096C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Smlouvu o Evropské unii (</w:t>
      </w:r>
      <w:r w:rsidR="00092B22">
        <w:t>dále jen „</w:t>
      </w:r>
      <w:r w:rsidRPr="00092B22">
        <w:t>S</w:t>
      </w:r>
      <w:r w:rsidR="00092B22">
        <w:t xml:space="preserve">mlouva o </w:t>
      </w:r>
      <w:r w:rsidRPr="00092B22">
        <w:t>EU</w:t>
      </w:r>
      <w:r w:rsidR="00092B22">
        <w:t>“</w:t>
      </w:r>
      <w:r w:rsidRPr="00092B22">
        <w:t>), zejména na její článek 5 o svěření pravomocí, subsidiaritě a proporcionalitě, čl. 10 odst. 1 o zastupitelské demokracii, čl. 10 odst. 2 o zastoupení občanů EU, čl. 10 odst. 3 o právu občanů EU podílet se na demokratickém životě Unie, článek 11 o participativní demokracii a článek 12 o úloze vnitrostátních parlamentů,</w:t>
      </w:r>
    </w:p>
    <w:p w14:paraId="5B375C4D" w14:textId="0D8D3341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Protokol č. 1 k</w:t>
      </w:r>
      <w:r w:rsidR="00092B22">
        <w:t>e</w:t>
      </w:r>
      <w:r w:rsidRPr="00092B22">
        <w:t xml:space="preserve"> S</w:t>
      </w:r>
      <w:r w:rsidR="00092B22">
        <w:t xml:space="preserve">mlouvě o </w:t>
      </w:r>
      <w:r w:rsidRPr="00092B22">
        <w:t>EU a Smlouvě o fungování Evropské unie (</w:t>
      </w:r>
      <w:r w:rsidR="00092B22">
        <w:t>dále jen „</w:t>
      </w:r>
      <w:r w:rsidRPr="00092B22">
        <w:t>S</w:t>
      </w:r>
      <w:r w:rsidR="00092B22">
        <w:t xml:space="preserve">mlouva o fungování </w:t>
      </w:r>
      <w:r w:rsidRPr="00092B22">
        <w:t>EU</w:t>
      </w:r>
      <w:r w:rsidR="00092B22">
        <w:t>“</w:t>
      </w:r>
      <w:r w:rsidRPr="00092B22">
        <w:t>) o úloze vnitrostátních parlamentů v Evropské unii</w:t>
      </w:r>
      <w:r w:rsidRPr="00092B22">
        <w:rPr>
          <w:rStyle w:val="FootnoteReference"/>
        </w:rPr>
        <w:footnoteReference w:customMarkFollows="1" w:id="1"/>
        <w:t>1</w:t>
      </w:r>
      <w:r w:rsidRPr="00092B22">
        <w:t xml:space="preserve"> a na Protokol č. 2 k</w:t>
      </w:r>
      <w:r w:rsidR="00092B22">
        <w:t>e</w:t>
      </w:r>
      <w:r w:rsidRPr="00092B22">
        <w:t xml:space="preserve"> S</w:t>
      </w:r>
      <w:r w:rsidR="00092B22">
        <w:t xml:space="preserve">mlouvě o </w:t>
      </w:r>
      <w:r w:rsidRPr="00092B22">
        <w:t>EU a S</w:t>
      </w:r>
      <w:r w:rsidR="00092B22">
        <w:t xml:space="preserve">mlouvě o fungování </w:t>
      </w:r>
      <w:r w:rsidRPr="00092B22">
        <w:t>EU o používání zásad subsidiarity a proporcionality</w:t>
      </w:r>
      <w:r w:rsidRPr="00092B22">
        <w:rPr>
          <w:rStyle w:val="FootnoteReference"/>
        </w:rPr>
        <w:footnoteReference w:customMarkFollows="1" w:id="2"/>
        <w:t>2</w:t>
      </w:r>
      <w:r w:rsidRPr="00092B22">
        <w:t>,</w:t>
      </w:r>
    </w:p>
    <w:p w14:paraId="75DCD26E" w14:textId="7CF40918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články 2–6, 15 a 122 S</w:t>
      </w:r>
      <w:r w:rsidR="00092B22">
        <w:t xml:space="preserve">mlouvy o fungování </w:t>
      </w:r>
      <w:r w:rsidRPr="00092B22">
        <w:t>EU,</w:t>
      </w:r>
    </w:p>
    <w:p w14:paraId="3381CBB6" w14:textId="64243730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svá usnesení ze dne 7. května 2009 o vývoji vztahů mezi Evropským parlamentem a vnitrostátními parlamenty v rámci Lisabonské smlouvy</w:t>
      </w:r>
      <w:r w:rsidRPr="00092B22">
        <w:rPr>
          <w:rStyle w:val="FootnoteReference"/>
        </w:rPr>
        <w:footnoteReference w:customMarkFollows="1" w:id="3"/>
        <w:t>3</w:t>
      </w:r>
      <w:r w:rsidR="00593B2C" w:rsidRPr="00317F9B">
        <w:rPr>
          <w:rStyle w:val="FootnoteReference"/>
          <w:vertAlign w:val="baseline"/>
        </w:rPr>
        <w:t>,</w:t>
      </w:r>
      <w:r w:rsidR="00593B2C">
        <w:t xml:space="preserve"> </w:t>
      </w:r>
      <w:r w:rsidRPr="00092B22">
        <w:t>ze dne 16.</w:t>
      </w:r>
      <w:r w:rsidR="00593B2C" w:rsidRPr="00092B22">
        <w:t> </w:t>
      </w:r>
      <w:r w:rsidRPr="00092B22">
        <w:t>dubna 2014 o vztazích mezi Evropským parlamentem a vnitrostátními parlamenty,</w:t>
      </w:r>
      <w:r w:rsidRPr="00092B22">
        <w:rPr>
          <w:rStyle w:val="FootnoteReference"/>
        </w:rPr>
        <w:footnoteReference w:customMarkFollows="1" w:id="4"/>
        <w:t>4</w:t>
      </w:r>
      <w:r w:rsidRPr="00092B22">
        <w:t xml:space="preserve">ze dne 19. dubna 2018 o provádění ustanovení Smlouvy týkajících se </w:t>
      </w:r>
      <w:r w:rsidRPr="00092B22">
        <w:lastRenderedPageBreak/>
        <w:t>vnitrostátních parlamentů</w:t>
      </w:r>
      <w:r w:rsidRPr="00092B22">
        <w:rPr>
          <w:rStyle w:val="FootnoteReference"/>
        </w:rPr>
        <w:footnoteReference w:customMarkFollows="1" w:id="5"/>
        <w:t>5</w:t>
      </w:r>
      <w:r w:rsidRPr="00092B22">
        <w:t xml:space="preserve"> a ze dne 17. ledna 2024 o provádění ustanovení Smlouvy o vnitrostátních parlamentech</w:t>
      </w:r>
      <w:r w:rsidRPr="00092B22">
        <w:rPr>
          <w:rStyle w:val="FootnoteReference"/>
        </w:rPr>
        <w:footnoteReference w:customMarkFollows="1" w:id="6"/>
        <w:t>6</w:t>
      </w:r>
      <w:r w:rsidRPr="00092B22">
        <w:t>,</w:t>
      </w:r>
    </w:p>
    <w:p w14:paraId="1570C170" w14:textId="77777777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své usnesení ze dne 22. listopadu 2023 o návrzích Evropského parlamentu na změnu Smluv</w:t>
      </w:r>
      <w:r w:rsidRPr="00092B22">
        <w:rPr>
          <w:rStyle w:val="FootnoteReference"/>
        </w:rPr>
        <w:footnoteReference w:customMarkFollows="1" w:id="7"/>
        <w:t>7</w:t>
      </w:r>
      <w:r w:rsidRPr="00092B22">
        <w:t>, zejména na navrhované změny týkající se zásady subsidiarity a protokolu č. 2,</w:t>
      </w:r>
    </w:p>
    <w:p w14:paraId="21B9A1A2" w14:textId="77777777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zprávu ze dne 9. září 2024, kterou vypracoval Mario Draghi pod názvem „Budoucnost evropské konkurenceschopnosti“</w:t>
      </w:r>
      <w:r w:rsidRPr="00092B22">
        <w:rPr>
          <w:rStyle w:val="FootnoteReference"/>
        </w:rPr>
        <w:footnoteReference w:customMarkFollows="1" w:id="8"/>
        <w:t>8</w:t>
      </w:r>
      <w:r w:rsidRPr="00092B22">
        <w:t xml:space="preserve"> (Draghiho zpráva),</w:t>
      </w:r>
    </w:p>
    <w:p w14:paraId="697A8350" w14:textId="77777777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výroční zprávy Komise o uplatňování zásad subsidiarity a proporcionality a o vztazích s vnitrostátními parlamenty,</w:t>
      </w:r>
    </w:p>
    <w:p w14:paraId="1C0C8E7F" w14:textId="77777777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závěrečnou zprávu pracovní skupiny pro subsidiaritu, proporcionalitu a scénář „Méně, zato efektivněji“ ze dne 10. července 2018</w:t>
      </w:r>
      <w:r w:rsidRPr="00092B22">
        <w:rPr>
          <w:rStyle w:val="FootnoteReference"/>
        </w:rPr>
        <w:footnoteReference w:customMarkFollows="1" w:id="9"/>
        <w:t>9</w:t>
      </w:r>
      <w:r w:rsidRPr="00092B22">
        <w:t>,</w:t>
      </w:r>
    </w:p>
    <w:p w14:paraId="28C37056" w14:textId="5C6609F2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 ohledem na sdělení Komise ze dne 23. října 2018 s názvem „Posílení úlohy zásady subsidiarity a proporcionality při tvorbě politik EU“ (COM(2018)0703),</w:t>
      </w:r>
    </w:p>
    <w:p w14:paraId="6CB950AE" w14:textId="77777777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článek 55 jednacího řádu,</w:t>
      </w:r>
    </w:p>
    <w:p w14:paraId="1C592151" w14:textId="77777777" w:rsidR="00C71263" w:rsidRPr="00092B22" w:rsidRDefault="00C71263" w:rsidP="00092B22">
      <w:pPr>
        <w:pStyle w:val="NormalHanging"/>
      </w:pPr>
      <w:r w:rsidRPr="00092B22">
        <w:t>–</w:t>
      </w:r>
      <w:r w:rsidRPr="00092B22">
        <w:tab/>
        <w:t>s ohledem na zprávu Výboru pro ústavní záležitosti (A10-0224/2025),</w:t>
      </w:r>
    </w:p>
    <w:p w14:paraId="225FEEE1" w14:textId="3D1D25F9" w:rsidR="00C71263" w:rsidRPr="00092B22" w:rsidRDefault="00C71263" w:rsidP="00092B22">
      <w:pPr>
        <w:pStyle w:val="NormalHanging"/>
      </w:pPr>
      <w:r w:rsidRPr="00092B22">
        <w:t>A.</w:t>
      </w:r>
      <w:r w:rsidRPr="00092B22">
        <w:tab/>
        <w:t>vzhledem k tomu, že zásada subsidiarity zakotvená v čl. 5 odst. 3 S</w:t>
      </w:r>
      <w:r w:rsidR="00092B22">
        <w:t xml:space="preserve">mlouvy o </w:t>
      </w:r>
      <w:r w:rsidRPr="00092B22">
        <w:t>EU zajišťuje, že Unie jedná: „v oblastech, které nespadají do její výlučné pravomoci, pouze tehdy a do té míry, pokud cílů zamýšlené činnosti nemůže být dosaženo uspokojivě členskými státy na úrovni ústřední, regionální či místní, ale spíše jich, z důvodu jejího rozsahu či účinků, může být lépe dosaženo na úrovni Unie“; vzhledem k tomu, že tato zásada chrání rovnováhu sil v EU; vzhledem k tomu, že podle zásady proporcionality zakotvené v čl. 5 odst. 4 S</w:t>
      </w:r>
      <w:r w:rsidR="00092B22">
        <w:t xml:space="preserve">mlouvy o </w:t>
      </w:r>
      <w:r w:rsidRPr="00092B22">
        <w:t>EU nesmí obsah ani forma činnosti Unie překročit rámec toho, co je nezbytné pro dosažení cílů Smluv;</w:t>
      </w:r>
    </w:p>
    <w:p w14:paraId="555BE808" w14:textId="77777777" w:rsidR="00C71263" w:rsidRPr="00092B22" w:rsidRDefault="00C71263" w:rsidP="00092B22">
      <w:pPr>
        <w:pStyle w:val="NormalHanging"/>
      </w:pPr>
      <w:r w:rsidRPr="00092B22">
        <w:t>B.</w:t>
      </w:r>
      <w:r w:rsidRPr="00092B22">
        <w:tab/>
        <w:t>vzhledem k tomu, že uplatňování zásad subsidiarity a proporcionality má zásadní význam pro zajištění demokratické legitimity a regulačního dopadu a účinnosti EU; vzhledem k tomu, že je nezbytné, aby EU respektovala rozmanitost svých členských států a vyhýbala se zbytečné regulační zátěži pro členské státy a právní subjekty;</w:t>
      </w:r>
    </w:p>
    <w:p w14:paraId="41E160E2" w14:textId="51987D21" w:rsidR="00C71263" w:rsidRPr="00092B22" w:rsidRDefault="00C71263" w:rsidP="00092B22">
      <w:pPr>
        <w:pStyle w:val="NormalHanging"/>
      </w:pPr>
      <w:r w:rsidRPr="00092B22">
        <w:t>C.</w:t>
      </w:r>
      <w:r w:rsidRPr="00092B22">
        <w:tab/>
        <w:t>vzhledem k tomu, že články 2 až 6 S</w:t>
      </w:r>
      <w:r w:rsidR="00092B22">
        <w:t xml:space="preserve">mlouvy o fungování </w:t>
      </w:r>
      <w:r w:rsidRPr="00092B22">
        <w:t>EU jasně vymezují výlučné, sdílené a podpůrné pravomoci EU;</w:t>
      </w:r>
    </w:p>
    <w:p w14:paraId="7E4EA01B" w14:textId="77777777" w:rsidR="00C71263" w:rsidRPr="00092B22" w:rsidRDefault="00C71263" w:rsidP="00092B22">
      <w:pPr>
        <w:pStyle w:val="NormalHanging"/>
      </w:pPr>
      <w:r w:rsidRPr="00092B22">
        <w:t>D.</w:t>
      </w:r>
      <w:r w:rsidRPr="00092B22">
        <w:tab/>
        <w:t xml:space="preserve">vzhledem k tomu, že zásady subsidiarity a proporcionality byly poprvé explicitně zmíněny v Maastrichtské smlouvě s cílem vyvážit rostoucí pravomoci Evropské unie a </w:t>
      </w:r>
      <w:r w:rsidRPr="00092B22">
        <w:lastRenderedPageBreak/>
        <w:t>svrchovanost jejích členských států; vzhledem k tomu, že úloha vnitrostátních parlamentů byla posílena protokolem č. 2 ke Smlouvám, který byl přidán Lisabonskou smlouvou, a to zavedením systému včasného varování;</w:t>
      </w:r>
    </w:p>
    <w:p w14:paraId="29611C21" w14:textId="77777777" w:rsidR="00C71263" w:rsidRPr="00092B22" w:rsidRDefault="00C71263" w:rsidP="00092B22">
      <w:pPr>
        <w:pStyle w:val="NormalHanging"/>
      </w:pPr>
      <w:r w:rsidRPr="00092B22">
        <w:t>E.</w:t>
      </w:r>
      <w:r w:rsidRPr="00092B22">
        <w:tab/>
        <w:t>vzhledem k tomu, že od vstupu Lisabonské smlouvy v platnost v roce 2009 bylo předloženo 577 kontrol subsidiarity a odůvodněných stanovisek vydaných vnitrostátními parlamenty, 3 803 příspěvků vnitrostátních parlamentů, tři žluté karty a žádná oranžová karta;</w:t>
      </w:r>
    </w:p>
    <w:p w14:paraId="0D80DC42" w14:textId="77777777" w:rsidR="00C71263" w:rsidRPr="00092B22" w:rsidRDefault="00C71263" w:rsidP="00092B22">
      <w:pPr>
        <w:pStyle w:val="NormalHanging"/>
      </w:pPr>
      <w:r w:rsidRPr="00092B22">
        <w:t>F.</w:t>
      </w:r>
      <w:r w:rsidRPr="00092B22">
        <w:tab/>
        <w:t>vzhledem k tomu, že v souladu se zásadami zakotvenými v Lisabonské smlouvě, zejména v protokolu č. 2 o používání zásad subsidiarity a proporcionality, musí celý institucionální rámec EU vyvíjet soustavné a trvalé úsilí o zajištění aktivního zapojení vnitrostátních parlamentů do evropského rozhodovacího procesu; vzhledem k tomu, že je třeba posílit mechanismy žluté a oranžové karty stanovené Lisabonskou smlouvou a že je třeba se zabývat dalším zvyšováním jejich účinnosti;</w:t>
      </w:r>
    </w:p>
    <w:p w14:paraId="238E8148" w14:textId="77777777" w:rsidR="00C71263" w:rsidRPr="00092B22" w:rsidRDefault="00C71263" w:rsidP="00092B22">
      <w:pPr>
        <w:pStyle w:val="NormalHanging"/>
      </w:pPr>
      <w:r w:rsidRPr="00092B22">
        <w:t>G.</w:t>
      </w:r>
      <w:r w:rsidRPr="00092B22">
        <w:tab/>
        <w:t>vzhledem k tomu, že pouze první ze tří postupů žluté karty vedl ke stažení návrhu nařízení</w:t>
      </w:r>
      <w:r w:rsidRPr="00092B22">
        <w:rPr>
          <w:rStyle w:val="FootnoteReference"/>
        </w:rPr>
        <w:footnoteReference w:customMarkFollows="1" w:id="10"/>
        <w:t>10</w:t>
      </w:r>
      <w:r w:rsidRPr="00092B22">
        <w:t>, druhý vedl k posílené spolupráci mezi 20 členskými státy namísto jednomyslného provádění</w:t>
      </w:r>
      <w:r w:rsidRPr="00092B22">
        <w:rPr>
          <w:rStyle w:val="FootnoteReference"/>
        </w:rPr>
        <w:footnoteReference w:customMarkFollows="1" w:id="11"/>
        <w:t>11</w:t>
      </w:r>
      <w:r w:rsidRPr="00092B22">
        <w:t>a třetí neměl žádný účinek, ačkoli parlamenty jedenácti členských států předložily 14 odůvodněných stanovisek</w:t>
      </w:r>
      <w:r w:rsidRPr="00092B22">
        <w:rPr>
          <w:rStyle w:val="FootnoteReference"/>
        </w:rPr>
        <w:footnoteReference w:customMarkFollows="1" w:id="12"/>
        <w:t>12</w:t>
      </w:r>
      <w:r w:rsidRPr="00092B22">
        <w:t>;</w:t>
      </w:r>
    </w:p>
    <w:p w14:paraId="2D026E90" w14:textId="7B332CEB" w:rsidR="00C71263" w:rsidRPr="00092B22" w:rsidRDefault="00C71263" w:rsidP="00092B22">
      <w:pPr>
        <w:pStyle w:val="NormalHanging"/>
      </w:pPr>
      <w:r w:rsidRPr="00092B22">
        <w:t>H.</w:t>
      </w:r>
      <w:r w:rsidRPr="00092B22">
        <w:tab/>
        <w:t>vzhledem k tomu, že systém včasného varování vedl pouze ke dvěma řízením před Soudním dvorem Evropské unie (</w:t>
      </w:r>
      <w:r w:rsidR="00593B2C">
        <w:t>dále jen „</w:t>
      </w:r>
      <w:r w:rsidRPr="00092B22">
        <w:t>S</w:t>
      </w:r>
      <w:r w:rsidR="00593B2C">
        <w:t>oudní dvůr“</w:t>
      </w:r>
      <w:r w:rsidRPr="00092B22">
        <w:t>), jejichž cílem bylo posoudit správné uplatňování zásad subsidiarity a proporcionality; vzhledem k tomu, že S</w:t>
      </w:r>
      <w:r w:rsidR="00593B2C">
        <w:t>oudní dvůr</w:t>
      </w:r>
      <w:r w:rsidRPr="00092B22">
        <w:t xml:space="preserve"> v obou případech rozhodl, že k porušení zásad subsidiarity a proporcionality nedošlo;</w:t>
      </w:r>
    </w:p>
    <w:p w14:paraId="5158681F" w14:textId="77777777" w:rsidR="00C71263" w:rsidRPr="00092B22" w:rsidRDefault="00C71263" w:rsidP="00092B22">
      <w:pPr>
        <w:pStyle w:val="NormalHanging"/>
      </w:pPr>
      <w:r w:rsidRPr="00092B22">
        <w:t>I.</w:t>
      </w:r>
      <w:r w:rsidRPr="00092B22">
        <w:tab/>
        <w:t>vzhledem k tomu, že přísné dodržování zásad subsidiarity a proporcionality ze strany Komise a spolunormotvůrců může přispět ke snížení regulační zátěže a k efektivnějšímu procesu tvorby právních předpisů;</w:t>
      </w:r>
    </w:p>
    <w:p w14:paraId="479F56FC" w14:textId="77777777" w:rsidR="00C71263" w:rsidRPr="00092B22" w:rsidRDefault="00C71263" w:rsidP="00092B22">
      <w:pPr>
        <w:pStyle w:val="NormalHanging"/>
      </w:pPr>
      <w:r w:rsidRPr="00092B22">
        <w:t>J.</w:t>
      </w:r>
      <w:r w:rsidRPr="00092B22">
        <w:tab/>
        <w:t>vzhledem k tomu, že existuje zavedená praxe každého rotujícího předsednictví Rady Evropské unie s parlamentním rozměrem, kdy se vnitrostátní parlamenty společně s Evropským parlamentem účastní řady meziparlamentních konferencí na různá témata;</w:t>
      </w:r>
    </w:p>
    <w:p w14:paraId="46D8E6B3" w14:textId="754F38BE" w:rsidR="00C71263" w:rsidRPr="00092B22" w:rsidRDefault="00C71263" w:rsidP="00092B22">
      <w:pPr>
        <w:pStyle w:val="NormalHanging"/>
      </w:pPr>
      <w:r w:rsidRPr="00092B22">
        <w:t>K.</w:t>
      </w:r>
      <w:r w:rsidRPr="00092B22">
        <w:tab/>
        <w:t>vzhledem k tomu, že vnitrostátní parlamenty jsou do legislativního procesu EU zapojeny jak prostřednictvím zvláštních ustanovení protokolu č. 2 S</w:t>
      </w:r>
      <w:r w:rsidR="00092B22">
        <w:t xml:space="preserve">mlouvy o fungování </w:t>
      </w:r>
      <w:r w:rsidRPr="00092B22">
        <w:t>EU, tak uplatňováním demokratické kontroly nad svými vnitrostátními vládami, které zastupují zájmy členských států v Radě;</w:t>
      </w:r>
    </w:p>
    <w:p w14:paraId="0A17431D" w14:textId="7B40B726" w:rsidR="00C71263" w:rsidRPr="00092B22" w:rsidRDefault="00C71263" w:rsidP="00092B22">
      <w:pPr>
        <w:pStyle w:val="NormalHanging"/>
      </w:pPr>
      <w:r w:rsidRPr="00092B22">
        <w:t>L.</w:t>
      </w:r>
      <w:r w:rsidRPr="00092B22">
        <w:tab/>
        <w:t>vzhledem k tomu, že článek 122 S</w:t>
      </w:r>
      <w:r w:rsidR="00092B22">
        <w:t xml:space="preserve">mlouvy o fungování </w:t>
      </w:r>
      <w:r w:rsidRPr="00092B22">
        <w:t xml:space="preserve">EU je určen k použití pouze ve výjimečných a krizových situacích a neměl by být zneužíván k obcházení jiných </w:t>
      </w:r>
      <w:r w:rsidRPr="00092B22">
        <w:lastRenderedPageBreak/>
        <w:t>postupů stanovených Smlouvami, zejména proto, že by to vedlo k vyloučení účasti Parlamentu, což by mohlo oslabit důvěru veřejnosti;</w:t>
      </w:r>
    </w:p>
    <w:p w14:paraId="39765A18" w14:textId="77777777" w:rsidR="00C71263" w:rsidRPr="00092B22" w:rsidRDefault="00C71263" w:rsidP="00092B22">
      <w:pPr>
        <w:pStyle w:val="NormalHanging"/>
      </w:pPr>
      <w:r w:rsidRPr="00092B22">
        <w:t>M.</w:t>
      </w:r>
      <w:r w:rsidRPr="00092B22">
        <w:tab/>
        <w:t>vzhledem k tomu, že dohled nad Komisí jakožto výkonným orgánem EU by měl vykonávat jak Evropský parlament, tak vnitrostátní parlamenty;</w:t>
      </w:r>
    </w:p>
    <w:p w14:paraId="0C6B2B28" w14:textId="77777777" w:rsidR="00C71263" w:rsidRPr="00092B22" w:rsidRDefault="00C71263" w:rsidP="00092B22">
      <w:pPr>
        <w:pStyle w:val="NormalHanging12a"/>
      </w:pPr>
      <w:r w:rsidRPr="00092B22">
        <w:t>1.</w:t>
      </w:r>
      <w:r w:rsidRPr="00092B22">
        <w:tab/>
        <w:t>znovu potvrzuje zásadní význam zásad subsidiarity a proporcionality pro právní a institucionální rámec EU; připomíná, že zásady subsidiarity a proporcionality by měly být základními prvky přístupu Komise ke zlepšování právní úpravy, který je založen na třech základních procesech hodnocení, posuzování dopadů a konzultací se zúčastněnými stranami; připomíná, že tyto zásady jsou klíčové pro zachování rozdělení pravomocí a zajištění toho, aby opatření EU byla nezbytná a přiměřená;</w:t>
      </w:r>
    </w:p>
    <w:p w14:paraId="0663483F" w14:textId="77777777" w:rsidR="00C71263" w:rsidRPr="00092B22" w:rsidRDefault="00C71263" w:rsidP="00092B22">
      <w:pPr>
        <w:pStyle w:val="NormalHanging12a"/>
      </w:pPr>
      <w:r w:rsidRPr="00092B22">
        <w:t>2.</w:t>
      </w:r>
      <w:r w:rsidRPr="00092B22">
        <w:tab/>
        <w:t>zdůrazňuje, že základním principem zásady subsidiarity je zajistit, aby byla rozhodnutí přijímána co nejblíže občanům, čímž zůstává zachována schopnost členských států přijímat rozhodnutí a opatření a umožňovat zásah EU v případě, kdy cílů určitého opatření nemůže být uspokojivě dosaženo na úrovni členských států, ale z důvodu rozsahu a účinků navrhované činnosti jich může být lépe dosaženo na úrovni EU, přičemž primárním cílem je maximalizovat účinnost a zajišťovat větší blízkost k občanům;</w:t>
      </w:r>
    </w:p>
    <w:p w14:paraId="29D73A88" w14:textId="77777777" w:rsidR="00C71263" w:rsidRPr="00092B22" w:rsidRDefault="00C71263" w:rsidP="00092B22">
      <w:pPr>
        <w:pStyle w:val="NormalHanging12a"/>
      </w:pPr>
      <w:r w:rsidRPr="00092B22">
        <w:t>3.</w:t>
      </w:r>
      <w:r w:rsidRPr="00092B22">
        <w:tab/>
        <w:t>připomíná, že zásady subsidiarity a proporcionality vyžadují, aby opatření přijímaná orgány EU nepřekračovala meze toho, co je přiměřené a nezbytné k dosažení legitimních cílů sledovaných právními předpisy EU;</w:t>
      </w:r>
    </w:p>
    <w:p w14:paraId="40ED3C3D" w14:textId="77777777" w:rsidR="00C71263" w:rsidRPr="00092B22" w:rsidRDefault="00C71263" w:rsidP="00092B22">
      <w:pPr>
        <w:pStyle w:val="NormalHanging12a"/>
      </w:pPr>
      <w:r w:rsidRPr="00092B22">
        <w:t>4.</w:t>
      </w:r>
      <w:r w:rsidRPr="00092B22">
        <w:tab/>
        <w:t>zdůrazňuje, že koncepce „aktivní subsidiarity“ vypracovaná pracovní skupinou pro subsidiaritu, proporcionalitu a scénář „Méně, zato efektivněji“ (dále jen „pracovní skupina“) je založena na konstruktivní spolupráci mezi všemi úrovněmi správy ve všech fázích životního cyklu právních předpisů EU ve prospěch občanů EU;</w:t>
      </w:r>
    </w:p>
    <w:p w14:paraId="682CB8EA" w14:textId="77777777" w:rsidR="00C71263" w:rsidRPr="00092B22" w:rsidRDefault="00C71263" w:rsidP="00092B22">
      <w:pPr>
        <w:pStyle w:val="Normal12a"/>
        <w:ind w:left="566" w:hanging="566"/>
      </w:pPr>
      <w:r w:rsidRPr="00092B22">
        <w:rPr>
          <w:b/>
          <w:i/>
        </w:rPr>
        <w:t>Úloha Komise</w:t>
      </w:r>
    </w:p>
    <w:p w14:paraId="16BED129" w14:textId="77777777" w:rsidR="00C71263" w:rsidRPr="00092B22" w:rsidRDefault="00C71263" w:rsidP="00092B22">
      <w:pPr>
        <w:pStyle w:val="NormalHanging12a"/>
      </w:pPr>
      <w:r w:rsidRPr="00092B22">
        <w:t>5.</w:t>
      </w:r>
      <w:r w:rsidRPr="00092B22">
        <w:tab/>
        <w:t>vyzývá Komisi, aby při navrhování právních předpisů, které spadají do sdílené pravomoci, postupovala s náležitou péčí a rozvážností; vyzývá Komisi, aby jasně a důkladně definovala právní základ pro činnost EU a zajistila plné respektování pravomocí členských států a náležité uplatňování právních základů; zdůrazňuje, že celý institucionální rámec EU musí vyvíjet soustavné a trvalé úsilí o zajištění aktivního zapojování vnitrostátních parlamentů do evropského rozhodovacího procesu;</w:t>
      </w:r>
    </w:p>
    <w:p w14:paraId="316AD7CE" w14:textId="4AC19368" w:rsidR="00C71263" w:rsidRPr="00092B22" w:rsidRDefault="00C71263" w:rsidP="00092B22">
      <w:pPr>
        <w:pStyle w:val="NormalHanging12a"/>
      </w:pPr>
      <w:r w:rsidRPr="00092B22">
        <w:t>6.</w:t>
      </w:r>
      <w:r w:rsidRPr="00092B22">
        <w:tab/>
        <w:t>se znepokojením bere na vědomí, že jako právní základ pro uvolnění 800 miliard EUR na plán ReArm Europe / nástroj týkající se obranné připravenosti Evropy do roku 2030 zvolila Komise článek 122 S</w:t>
      </w:r>
      <w:r w:rsidR="00092B22">
        <w:t xml:space="preserve">mlouvy o fungování </w:t>
      </w:r>
      <w:r w:rsidRPr="00092B22">
        <w:t>EU; vyzývá Komisi, aby přezkoumala právní základ této iniciativy; naléhavě žádá Komisi, aby článek 122 S</w:t>
      </w:r>
      <w:r w:rsidR="00092B22">
        <w:t xml:space="preserve">mlouvy o fungování </w:t>
      </w:r>
      <w:r w:rsidRPr="00092B22">
        <w:t>EU ve všech svých budoucích návrzích interpretovala s ohledem na jeho původní koncepci jako řešení pro mimořádné řešení krizí a v duchu zásady subsidiarity;</w:t>
      </w:r>
    </w:p>
    <w:p w14:paraId="6AE5BF5E" w14:textId="7F40E501" w:rsidR="00C71263" w:rsidRPr="00092B22" w:rsidRDefault="00C71263" w:rsidP="00092B22">
      <w:pPr>
        <w:pStyle w:val="NormalHanging12a"/>
      </w:pPr>
      <w:r w:rsidRPr="00092B22">
        <w:t>7.</w:t>
      </w:r>
      <w:r w:rsidRPr="00092B22">
        <w:tab/>
        <w:t xml:space="preserve">zdůrazňuje, že každá legislativní iniciativa Komise spadající do sdílených pravomocí musí být striktně podložena důkladným předběžným posouzením dopadů, které kvantifikovaným a odůvodněným způsobem prokáže nezbytnost účinných opatření a volbu nástrojů; požaduje, aby Komise prostřednictvím srovnávací analýzy mezi členskými státy výslovně odůvodňovala, že harmonizace právních předpisů na úrovni </w:t>
      </w:r>
      <w:r w:rsidRPr="00092B22">
        <w:lastRenderedPageBreak/>
        <w:t>EU přináší podstatnou přidanou hodnotu a nepředstavuje skryté rozšíření pravomocí; připomíná záměr Komise, vyjádřený ve sdělení z roku 2018, začlenit do svých pokynů pro zlepšování právní úpravy tabulkový dotazník a využívat jej jako součást posouzení dopadů, hodnocení a důvodových zpráv, které jsou připojeny k jejím legislativním návrhům; vyjadřuje politování nad tím, že to dosud nebylo v praxi splněno; vítá v tomto ohledu tabulkový dotazník pro posuzování subsidiarity, který vypracoval Evropský výbor regionů, a vybízí Komisi, aby jej používala jako základ pro svá posouzení subsidiarity; trvá na tom, že je třeba přísněji kontrolovat používání článků 122 a 352 S</w:t>
      </w:r>
      <w:r w:rsidR="00092B22">
        <w:t xml:space="preserve">mlouvy o fungování </w:t>
      </w:r>
      <w:r w:rsidRPr="00092B22">
        <w:t>EU jako právního základu, a vyzývá k posílení předchozích konzultací s vnitrostátními a regionálními parlamenty s legislativními pravomocemi před navrhováním právních předpisů na úrovni EU;</w:t>
      </w:r>
    </w:p>
    <w:p w14:paraId="0AEB6892" w14:textId="77777777" w:rsidR="00C71263" w:rsidRPr="00092B22" w:rsidRDefault="00C71263" w:rsidP="00092B22">
      <w:pPr>
        <w:pStyle w:val="NormalHanging12a"/>
      </w:pPr>
      <w:r w:rsidRPr="00092B22">
        <w:t>8.</w:t>
      </w:r>
      <w:r w:rsidRPr="00092B22">
        <w:tab/>
        <w:t>poukazuje na obavy, které jednomyslně vyjádřil výbor pro evropské záležitosti francouzského Senátu</w:t>
      </w:r>
      <w:r w:rsidRPr="00092B22">
        <w:rPr>
          <w:rStyle w:val="FootnoteReference"/>
        </w:rPr>
        <w:footnoteReference w:customMarkFollows="1" w:id="13"/>
        <w:t>13</w:t>
      </w:r>
      <w:r w:rsidRPr="00092B22">
        <w:t>, pokud jde o slabý právní základ některých legislativních iniciativ EU, rostoucí tendenci upřednostňovat nařízení před směrnicemi a nadměrné používání prováděcích aktů nebo aktů v přenesené pravomoci;</w:t>
      </w:r>
    </w:p>
    <w:p w14:paraId="0417606A" w14:textId="77777777" w:rsidR="00C71263" w:rsidRPr="00092B22" w:rsidRDefault="00C71263" w:rsidP="00092B22">
      <w:pPr>
        <w:pStyle w:val="NormalHanging12a"/>
      </w:pPr>
      <w:r w:rsidRPr="00092B22">
        <w:t>9.</w:t>
      </w:r>
      <w:r w:rsidRPr="00092B22">
        <w:tab/>
        <w:t>připomíná, že článek 5 protokolu č. 2 ke Smlouvám vyžaduje, aby Komise poskytovala podrobné posouzení, zda byly dodrženy zásady subsidiarity a proporcionality; vyzývá Komisi, aby při posuzování legislativních návrhů prováděla společně s Evropským parlamentem systematičtější analýzu subsidiarity a proporcionality; připomíná, že kontroly subsidiarity jsou pro řádnou správu věcí veřejných zásadní a neměly by mít pouze formální význam; vyzývá k větší transparentnosti při uplatňování těchto zásad, přičemž každý legislativní návrh by měl obsahovat podrobné odůvodnění zásahu EU, jeho přidanou hodnotu a přiměřenost opatření vzhledem k jeho cílům;</w:t>
      </w:r>
    </w:p>
    <w:p w14:paraId="0FDA7EE7" w14:textId="77777777" w:rsidR="00C71263" w:rsidRPr="00092B22" w:rsidRDefault="00C71263" w:rsidP="00092B22">
      <w:pPr>
        <w:pStyle w:val="NormalHanging12a"/>
      </w:pPr>
      <w:r w:rsidRPr="00092B22">
        <w:t>10.</w:t>
      </w:r>
      <w:r w:rsidRPr="00092B22">
        <w:tab/>
        <w:t>konstatuje, že odpovědi Komise na odůvodněná stanoviska je třeba důkladně posuzovat, i když tato stanoviska nepodporuje velký počet vnitrostátních parlamentů; zdůrazňuje, že je důležité zohledňovat specifickou situaci v jednotlivých členských státech s ohledem na rozmanitost právních tradic a regionální rozdíly v EU; vyjadřuje znepokojení nad skutečností, že není mnoho důkazů o tom, že by Komise v důsledku odůvodněných stanovisek předložených vnitrostátními parlamenty výrazně měnila své návrhy;</w:t>
      </w:r>
    </w:p>
    <w:p w14:paraId="4C4326D4" w14:textId="77777777" w:rsidR="00C71263" w:rsidRPr="00092B22" w:rsidRDefault="00C71263" w:rsidP="00092B22">
      <w:pPr>
        <w:pStyle w:val="NormalHanging12a"/>
      </w:pPr>
      <w:r w:rsidRPr="00092B22">
        <w:t>11.</w:t>
      </w:r>
      <w:r w:rsidRPr="00092B22">
        <w:tab/>
        <w:t>poukazuje na to, že provádění nových právních předpisů EU může znamenat velmi vysoké náklady pro obce, zejména v odlehlých nebo řídce osídlených oblastech; domnívá se, že obce musí být vybaveny dostatečnými finančními zdroji na provádění právních předpisů EU, aby mohly dodržovat nové právní normy; poukazuje na to, že tyto finanční zdroje by měly odpovídat nákladům obcí na provádění;</w:t>
      </w:r>
    </w:p>
    <w:p w14:paraId="473574B9" w14:textId="59BDDAF1" w:rsidR="00C71263" w:rsidRPr="00092B22" w:rsidRDefault="00C71263" w:rsidP="00092B22">
      <w:pPr>
        <w:pStyle w:val="NormalHanging12a"/>
      </w:pPr>
      <w:r w:rsidRPr="00092B22">
        <w:t>12.</w:t>
      </w:r>
      <w:r w:rsidRPr="00092B22">
        <w:tab/>
        <w:t>poukazuje na to, že vnitrostátní parlamenty jen zřídkakdy používají postupy žluté karty nebo oranžové karty; zdůrazňuje, že to není způsobeno nezájmem vnitrostátních parlamentů; konstatuje, že pro</w:t>
      </w:r>
      <w:r w:rsidR="00092B22" w:rsidRPr="00092B22">
        <w:t xml:space="preserve"> </w:t>
      </w:r>
      <w:r w:rsidRPr="00092B22">
        <w:t xml:space="preserve">omezené využívání postupu žluté karty existuje řada možných vysvětlení, včetně nedostatečné transparentnosti při tvorbě právních předpisů EU, nedostatku znalostí o legislativním procesu EU a časových omezení; domnívá se, že parlamenty, které tento nástroj nepoužívají, ztěžují dosahování požadované prahové hodnoty; uznává, že stávající postup je příliš těžkopádný a existuje prostor pro zlepšení; v této souvislosti připomíná své dřívější návrhy na prodloužení lhůty pro postupy žluté </w:t>
      </w:r>
      <w:r w:rsidRPr="00092B22">
        <w:lastRenderedPageBreak/>
        <w:t>karty na 12 týdnů a na širší úvahy o možnosti povýšit systém včasného varování na nástroj, který by vnitrostátním parlamentům umožňoval utvářet politiky EU; v tomto smyslu připomíná své poslední usnesení o provádění ustanovení Smlouvy týkajících se vnitrostátních parlamentů, v němž členské státy vyzval, aby zajistily, že vnitrostátní parlamenty budou mít dostatek zdrojů k plnění své ústavní úlohy v oblasti dohledu, a doporučil, aby vnitrostátní parlamenty účinněji využívaly platformu pro meziparlamentní výměnu informací týkajících se EU (IPEX) a zapojily své regionální parlamenty do fungování mechanismu včasného varování;</w:t>
      </w:r>
    </w:p>
    <w:p w14:paraId="68CBB1A6" w14:textId="77777777" w:rsidR="00C71263" w:rsidRPr="00092B22" w:rsidRDefault="00C71263" w:rsidP="00092B22">
      <w:pPr>
        <w:pStyle w:val="NormalHanging12a"/>
      </w:pPr>
      <w:r w:rsidRPr="00092B22">
        <w:t>13.</w:t>
      </w:r>
      <w:r w:rsidRPr="00092B22">
        <w:tab/>
        <w:t>vítá vytvoření neformálních postupů pro zlepšení koordinace mezi Komisí,Evropským parlamentem a vnitrostátními parlamenty, jako je politický dialog, dialog zpravodajů a webové stránky s názvem „stanoviska vnitrostátních parlamentů a odpovědi Komise“</w:t>
      </w:r>
      <w:r w:rsidRPr="00092B22">
        <w:rPr>
          <w:rStyle w:val="FootnoteReference"/>
        </w:rPr>
        <w:footnoteReference w:customMarkFollows="1" w:id="14"/>
        <w:t>14</w:t>
      </w:r>
      <w:r w:rsidRPr="00092B22">
        <w:t>; vyzývá Komisi, aby zkoumala možnosti, jak dále zlepšit konzultace s vnitrostátními parlamenty v otázkách subsidiarity, například zřízením „jednotného centra pro subsidiaritu“ založeného na platformě pro meziparlamentní výměnu informací týkajících se EU (IPEX), kde by se shromažďovala a volně zpřístupňovala odůvodněná stanoviska i například příspěvky, stanoviska Evropského výboru regionů, odpovědi Komise a usnesení Evropského parlamentu; domnívá se, že jednotné centrum pro subsidiaritu by bylo vhodným prostorem, v jehož rámci by členské státy mohly Komisi žádat, aby navrhla podpůrné nebo koordinační právní předpisy v oblasti výlučné pravomoci členských států;</w:t>
      </w:r>
    </w:p>
    <w:p w14:paraId="696B2257" w14:textId="77777777" w:rsidR="00C71263" w:rsidRPr="00092B22" w:rsidRDefault="00C71263" w:rsidP="00092B22">
      <w:pPr>
        <w:pStyle w:val="NormalHanging12a"/>
      </w:pPr>
      <w:r w:rsidRPr="00092B22">
        <w:t>14.</w:t>
      </w:r>
      <w:r w:rsidRPr="00092B22">
        <w:tab/>
        <w:t>vítá nedávné úsilí Komise o rozšíření a zdokonalení tabulkového dotazníku pro posuzování subsidiarity v rámci předběžného posuzování dopadů právních předpisů EU s použitím souboru nástrojů pro zlepšování právní úpravy; vyzývá Komisi, aby přezkum subsidiarity lépe integrovala do svého politického cyklu, mimo jiné tím, že hodnocení subsidiarity bude provádět i po interinstitucionálních jednáních, pokud to budou dohodnuté změny vyžadovat;</w:t>
      </w:r>
    </w:p>
    <w:p w14:paraId="4E11592B" w14:textId="77777777" w:rsidR="00C71263" w:rsidRPr="00092B22" w:rsidRDefault="00C71263" w:rsidP="00092B22">
      <w:pPr>
        <w:pStyle w:val="NormalHanging12a"/>
      </w:pPr>
      <w:r w:rsidRPr="00092B22">
        <w:t>15.</w:t>
      </w:r>
      <w:r w:rsidRPr="00092B22">
        <w:tab/>
        <w:t>bere na vědomí obavy, že spolupráce Komise s vnitrostátními parlamenty je omezená a probíhá příliš pozdě v legislativním procesu, což následně omezuje schopnost vnitrostátních parlamentů ovlivňovat legislativní návrhy; naléhavě vyzývá Komisi, aby vnitrostátní parlamenty žádala o poskytnutí podnětů již v dřívější fázi, konkrétněji v době, kdy probíhají konzultace;</w:t>
      </w:r>
    </w:p>
    <w:p w14:paraId="0A96A03D" w14:textId="77777777" w:rsidR="00C71263" w:rsidRPr="00092B22" w:rsidRDefault="00C71263" w:rsidP="00092B22">
      <w:pPr>
        <w:pStyle w:val="NormalHanging12a"/>
      </w:pPr>
      <w:r w:rsidRPr="00092B22">
        <w:t>16.</w:t>
      </w:r>
      <w:r w:rsidRPr="00092B22">
        <w:tab/>
        <w:t>je přesvědčen, že formální a neformální meziparlamentní dialog v dřívější fázi legislativního procesu je klíčem ke správnému provádění zásady subsidiarity; konstatuje, že by mohl mít podobu měsíčních nebo čtvrtletních setkání poslanců Evropského parlamentu s poslanci vnitrostátních parlamentů v duchu článku 9 protokolu č. 1;</w:t>
      </w:r>
    </w:p>
    <w:p w14:paraId="4F8E00ED" w14:textId="77777777" w:rsidR="00C71263" w:rsidRPr="00092B22" w:rsidRDefault="00C71263" w:rsidP="00092B22">
      <w:pPr>
        <w:pStyle w:val="NormalHanging12a"/>
      </w:pPr>
      <w:r w:rsidRPr="00092B22">
        <w:t>17.</w:t>
      </w:r>
      <w:r w:rsidRPr="00092B22">
        <w:tab/>
        <w:t>vyzývá Komisi, aby vždy pečlivě zvažovala, zda by větší koordinace s vnitrostátními orgány byla v konkrétních oblastech lepším řešením než vytváření nových nadnárodních agentur;</w:t>
      </w:r>
    </w:p>
    <w:p w14:paraId="15C669DA" w14:textId="684FE14C" w:rsidR="00C71263" w:rsidRPr="00092B22" w:rsidRDefault="00C71263" w:rsidP="00092B22">
      <w:pPr>
        <w:pStyle w:val="NormalHanging12a"/>
      </w:pPr>
      <w:r w:rsidRPr="00092B22">
        <w:t>18.</w:t>
      </w:r>
      <w:r w:rsidRPr="00092B22">
        <w:tab/>
        <w:t xml:space="preserve">zdůrazňuje klíčovou úlohu parlamentů v jádru demokracie a potřebu respektovat jasné rozdělení pravomocí mezi různé úrovně evropské liberální demokracie, tj. obecní, regionální, vnitrostátní a evropskou úroveň, v souladu se zásadami subsidiarity </w:t>
      </w:r>
      <w:r w:rsidRPr="00092B22">
        <w:lastRenderedPageBreak/>
        <w:t>stanovenými v článku 5 S</w:t>
      </w:r>
      <w:r w:rsidR="00092B22">
        <w:t xml:space="preserve">mlouvy o </w:t>
      </w:r>
      <w:r w:rsidRPr="00092B22">
        <w:t>EU, zajišťovat demokratickou legitimitu a účinný rozhodovací proces a posílit důvěru a spolupráci mezi parlamenty na různých úrovních;</w:t>
      </w:r>
    </w:p>
    <w:p w14:paraId="77D79D4B" w14:textId="77777777" w:rsidR="00C71263" w:rsidRPr="00092B22" w:rsidRDefault="00C71263" w:rsidP="00092B22">
      <w:pPr>
        <w:pStyle w:val="NormalHanging12a"/>
      </w:pPr>
      <w:r w:rsidRPr="00092B22">
        <w:t>19.</w:t>
      </w:r>
      <w:r w:rsidRPr="00092B22">
        <w:tab/>
        <w:t>vyzývá Komisi, aby ve větší míře zohledňovala stanoviska Evropského výboru regionů prostřednictvím sítě pro sledování subsidiarity, jež vznikla proto, aby napomáhala výměně informací mezi regionálními a místními orgány a EU o různých legislativních návrzích, které poté, co budou přijaty, budou mít přímý dopad na tyto orgány a na oblast jejich činnosti;</w:t>
      </w:r>
    </w:p>
    <w:p w14:paraId="25BA42EE" w14:textId="77777777" w:rsidR="00C71263" w:rsidRPr="00092B22" w:rsidRDefault="00C71263" w:rsidP="00092B22">
      <w:pPr>
        <w:pStyle w:val="Normal12a"/>
        <w:ind w:left="566" w:hanging="566"/>
      </w:pPr>
      <w:r w:rsidRPr="00092B22">
        <w:rPr>
          <w:b/>
          <w:i/>
        </w:rPr>
        <w:t>Úloha vnitrostátních parlamentů</w:t>
      </w:r>
    </w:p>
    <w:p w14:paraId="75A66186" w14:textId="77777777" w:rsidR="00C71263" w:rsidRPr="00092B22" w:rsidRDefault="00C71263" w:rsidP="00092B22">
      <w:pPr>
        <w:pStyle w:val="NormalHanging12a"/>
      </w:pPr>
      <w:r w:rsidRPr="00092B22">
        <w:t>20.</w:t>
      </w:r>
      <w:r w:rsidRPr="00092B22">
        <w:tab/>
        <w:t>zdůrazňuje, že vnitrostátní parlamenty hrají klíčovou úlohu při prosazování toho, aby EU dodržovala zásadu subsidiarity, a že legislativní proces posílí platnost a demokratickou legitimitu EU a jejích legislativních iniciativ; zdůrazňuje, že je třeba, aby byly právní předpisy EU průběžně kontrolovány a aby se do tohoto postupu aktivněji zapojovaly vnitrostátní parlamenty prostřednictvím mechanismů stanovených ve Smlouvách, včetně postupů žluté karty a oranžové karty; vybízí vnitrostátní parlamenty, aby zvyšovaly svou kapacitu umožňující účinně kontrolovat opatření EU a vznášet proti nim námitky na základě zásad subsidiarity a proporcionality, a tímto způsobem důsledněji a včas kontrolovaly legislativní návrhy a dbaly na to, aby legislativní iniciativy EU respektovaly rovnováhu a sdílení pravomocí mezi EU a jejími členskými státy;</w:t>
      </w:r>
    </w:p>
    <w:p w14:paraId="0AF8534F" w14:textId="77777777" w:rsidR="00C71263" w:rsidRPr="00092B22" w:rsidRDefault="00C71263" w:rsidP="00092B22">
      <w:pPr>
        <w:pStyle w:val="NormalHanging12a"/>
      </w:pPr>
      <w:r w:rsidRPr="00092B22">
        <w:t>21.</w:t>
      </w:r>
      <w:r w:rsidRPr="00092B22">
        <w:tab/>
        <w:t>připomíná, že vnitrostátní parlamenty vykonávají demokratickou kontrolu nad svými vládami, které zastupují zájmy členských států v Radě; zdůrazňuje, že některé členské státy umožňují aktivnější účast svých vnitrostátních a regionálních parlamentů na evropském legislativním procesu, například tím, že uplatňují výhradu parlamentního přezkumu; vybízí všechny členské státy, aby přijaly opatření, jimiž by zajistily aktivnější účast vnitrostátních parlamentů na utváření jejich vnitrostátních postojů, s cílem posílit demokratickou legitimitu jednání Rady;</w:t>
      </w:r>
    </w:p>
    <w:p w14:paraId="73A0BA77" w14:textId="77777777" w:rsidR="00C71263" w:rsidRPr="00092B22" w:rsidRDefault="00C71263" w:rsidP="00092B22">
      <w:pPr>
        <w:pStyle w:val="NormalHanging12a"/>
      </w:pPr>
      <w:r w:rsidRPr="00092B22">
        <w:t>22.</w:t>
      </w:r>
      <w:r w:rsidRPr="00092B22">
        <w:tab/>
        <w:t>vítá příspěvky ze 72. plenárního zasedání Konference parlamentních výborů pro záležitosti Evropské unie (COSAC)</w:t>
      </w:r>
      <w:r w:rsidRPr="00092B22">
        <w:rPr>
          <w:rStyle w:val="FootnoteReference"/>
        </w:rPr>
        <w:footnoteReference w:customMarkFollows="1" w:id="15"/>
        <w:t>15</w:t>
      </w:r>
      <w:r w:rsidRPr="00092B22">
        <w:t>, na němž bylo formulováno doporučení, aby se v zájmu zkvalitnění přezkumu prováděného vnitrostátními parlamenty prodloužila lhůta pro předložení stanovisek z osmi na deset týdnů a aby prahová hodnota pro zahájení postupu žluté karty byla snížena na čtvrtinu odevzdaných hlasů;</w:t>
      </w:r>
    </w:p>
    <w:p w14:paraId="781E4CFB" w14:textId="77777777" w:rsidR="00C71263" w:rsidRPr="00092B22" w:rsidRDefault="00C71263" w:rsidP="00092B22">
      <w:pPr>
        <w:pStyle w:val="NormalHanging12a"/>
      </w:pPr>
      <w:r w:rsidRPr="00092B22">
        <w:t>23.</w:t>
      </w:r>
      <w:r w:rsidRPr="00092B22">
        <w:tab/>
        <w:t>vyzývá k posílení úlohy vnitrostátních parlamentů v EU zlepšením transparentnosti, dialogu a mechanismů spolupráce mezi vnitrostátními parlamenty a Komisí; zdůrazňuje, že ačkoli vnitrostátní parlamenty nemají vůči Komisi formální přímé pravomoci, které by byly podobné pravomocím Evropského parlamentu, měl by být posílen jejich politický vliv, aby byla zajištěna větší transparentnost a legitimita činnosti Komise;</w:t>
      </w:r>
    </w:p>
    <w:p w14:paraId="3D7C2CCC" w14:textId="77777777" w:rsidR="00C71263" w:rsidRPr="00092B22" w:rsidRDefault="00C71263" w:rsidP="00092B22">
      <w:pPr>
        <w:pStyle w:val="NormalHanging12a"/>
      </w:pPr>
      <w:r w:rsidRPr="00092B22">
        <w:t>24.</w:t>
      </w:r>
      <w:r w:rsidRPr="00092B22">
        <w:tab/>
        <w:t xml:space="preserve">domnívá se, že vnitrostátní parlamenty by měly hrát pozitivnější a proaktivnější roli, například vytvořením zelené karty, která by fungovala na základě nižších prahových hodnot; dále vyzývá k tomu, aby se v rámci příští revize Smluv prodloužila současná </w:t>
      </w:r>
      <w:r w:rsidRPr="00092B22">
        <w:lastRenderedPageBreak/>
        <w:t>osmitýdenní lhůta pro předložení odůvodněných stanovisek vnitrostátními parlamenty podle článku 4 Protokolu č. 1 na dvanáct týdnů; připomíná, že pokud jde o lhůty, Komise již poskytla určitou flexibilitu, když nezapočítává období mezi 20. prosincem a 10. lednem;</w:t>
      </w:r>
    </w:p>
    <w:p w14:paraId="5FCF7270" w14:textId="77777777" w:rsidR="00C71263" w:rsidRPr="00092B22" w:rsidRDefault="00C71263" w:rsidP="00092B22">
      <w:pPr>
        <w:pStyle w:val="NormalHanging12a"/>
      </w:pPr>
      <w:r w:rsidRPr="00092B22">
        <w:t>25.</w:t>
      </w:r>
      <w:r w:rsidRPr="00092B22">
        <w:tab/>
        <w:t>opakuje, že je třeba posílit strukturální spolupráci spolunormotvůrců EU s vnitrostátními, regionálními a místními zákonodárci; zdůrazňuje, že zásadní úlohu v tomto ohledu hrají Evropský parlamentní týden a meziparlamentní setkání výborů; domnívá se, že pokud by byl každoroční Evropský parlamentní týden rozšířen, získali by poslanci Evropského parlamentu, členové Evropské komise a ministři úřadujícího předsednictví Rady možnost vystoupit před všemi vnitrostátními nebo případně regionálními parlamenty, aby s poslanci jednali o evropské agendě a podávali potřebná vysvětlení;</w:t>
      </w:r>
    </w:p>
    <w:p w14:paraId="346614D8" w14:textId="77777777" w:rsidR="00C71263" w:rsidRPr="00092B22" w:rsidRDefault="00C71263" w:rsidP="00092B22">
      <w:pPr>
        <w:pStyle w:val="NormalHanging12a"/>
      </w:pPr>
      <w:r w:rsidRPr="00092B22">
        <w:t>26.</w:t>
      </w:r>
      <w:r w:rsidRPr="00092B22">
        <w:tab/>
        <w:t>navrhuje zahájit diskusi o přípravě společného politického prohlášení nebo rámcové dohody mezi vnitrostátními parlamenty a Evropským parlamentem, pokud jde o organizaci navrhovaného Evropského parlamentního týdne, s cílem poskytnout soudržnější rámec spolupráce na politické, institucionální a administrativní úrovni; domnívá se, že při navrhování Evropského parlamentního týdne je třeba se poučit ze stávajících a minulých fór, jako je parlamentní týden, který je pořádán v rámci konference o evropském semestru a meziparlamentní konference o stabilitě, hospodářské koordinaci a správě v Evropské unii, jakož i Konference o budoucnosti Evropy; dále se domnívá, že by schůzky politických rodin a shromáždění vnitrostátních a evropských politických skupin v rámci meziparlamentní spolupráce EU mohly přinést přidanou hodnotu v podobě skutečné evropské politické diskuse;</w:t>
      </w:r>
    </w:p>
    <w:p w14:paraId="4B3A7A5C" w14:textId="77777777" w:rsidR="00C71263" w:rsidRPr="00092B22" w:rsidRDefault="00C71263" w:rsidP="00092B22">
      <w:pPr>
        <w:pStyle w:val="NormalHanging12a"/>
      </w:pPr>
      <w:r w:rsidRPr="00092B22">
        <w:t>27.</w:t>
      </w:r>
      <w:r w:rsidRPr="00092B22">
        <w:tab/>
        <w:t>domnívá se, že omezené používání postupu žluté karty a neúčinnost postupu oranžové karty ukazují, že stále existuje prostor pro zlepšení a že tyto postupy jsou omezené, protože nemají závazný dopad na legislativní návrhy Komise; domnívá se, že v tomto ohledu je možná lepší koordinace mezi vnitrostátními parlamenty; zdůrazňuje, že lepší spolupráce mezi vnitrostátními parlamenty a Evropským parlamentem by vedla k aktivnějšímu zapojování do legislativních návrhů EU a že spolupráce prostřednictvím vnitrostátních vlád jakožto prostředníků by vedla k posílení úlohy vnitrostátních parlamentů při utváření právních předpisů EU;</w:t>
      </w:r>
    </w:p>
    <w:p w14:paraId="1D74F7BC" w14:textId="77777777" w:rsidR="00C71263" w:rsidRPr="00092B22" w:rsidRDefault="00C71263" w:rsidP="00092B22">
      <w:pPr>
        <w:pStyle w:val="NormalHanging12a"/>
      </w:pPr>
      <w:r w:rsidRPr="00092B22">
        <w:t>28.</w:t>
      </w:r>
      <w:r w:rsidRPr="00092B22">
        <w:tab/>
        <w:t>zdůrazňuje důležitou úlohu regionálních a místních společenství a naléhavě vyzývá Komisi, aby prozkoumala způsoby, jak jejich příspěvky lépe zohledňovat v legislativních návrzích, jakož i v hodnocení stávajících právních předpisů EU; v této souvislosti se domnívá, že by Komise měla podporovat pořádání veřejných konzultací na místní a regionální úrovni a posílit zapojení občanů a jejich účast na tvorbě politik EU;</w:t>
      </w:r>
    </w:p>
    <w:p w14:paraId="2B50B8BF" w14:textId="71396D96" w:rsidR="00C71263" w:rsidRPr="00092B22" w:rsidRDefault="00C71263" w:rsidP="00092B22">
      <w:pPr>
        <w:pStyle w:val="NormalHanging12a"/>
      </w:pPr>
      <w:r w:rsidRPr="00092B22">
        <w:t>29.</w:t>
      </w:r>
      <w:r w:rsidRPr="00092B22">
        <w:tab/>
        <w:t>vybízí orgány EU a regionální parlamenty s legislativními pravomocemi k aktivnějšímu zapojování a přímé vzájemné interakci při plném respektování úlohy a pravomocí vnitrostátních parlamentů; vybízí vnitrostátní parlamenty, aby začleňovaly odůvodněná stanoviska regionálních parlamentů s legislativními pravomocemi do svých konečných odůvodněných stanovisek, která jsou zasílána předsedům Parlamentu, Rady a Komise, pokud jsou dotčeny výlučné regionální pravomoci; opětovně potvrzuje, že článek 12 S</w:t>
      </w:r>
      <w:r w:rsidR="00092B22">
        <w:t xml:space="preserve">mlouvy o </w:t>
      </w:r>
      <w:r w:rsidRPr="00092B22">
        <w:t>EU a protokol č. 1 poskytují vnitrostátním parlamentům právo získávat informace přímo od orgánů EU; navrhuje, aby bylo právo na informace rozšířeno i na regionální parlamenty s legislativními pravomocemi;</w:t>
      </w:r>
    </w:p>
    <w:p w14:paraId="52CC3BDF" w14:textId="77777777" w:rsidR="00C71263" w:rsidRPr="00092B22" w:rsidRDefault="00C71263" w:rsidP="00092B22">
      <w:pPr>
        <w:pStyle w:val="NormalHanging12a"/>
      </w:pPr>
      <w:r w:rsidRPr="00092B22">
        <w:lastRenderedPageBreak/>
        <w:t>30.</w:t>
      </w:r>
      <w:r w:rsidRPr="00092B22">
        <w:tab/>
        <w:t>vyzývá Komisi, aby v souladu s doporučeními Draghiho zprávy zahájila celoevropské šetření s cílem zjistit a analyzovat důvody omezeného výkonu kontrolní kapacity vnitrostátních parlamentů v souvislosti se subsidiaritou; vybízí Komisi, aby využila odborných znalostí a zkušeností vnitrostátních a regionálních orgánů, pokud jde o uplatňování právních předpisů EU a jejich provádění ve vnitrostátním právu;</w:t>
      </w:r>
    </w:p>
    <w:p w14:paraId="0021B49B" w14:textId="779E4A9A" w:rsidR="00C71263" w:rsidRPr="00092B22" w:rsidRDefault="00C71263" w:rsidP="00092B22">
      <w:pPr>
        <w:pStyle w:val="Normal12a"/>
        <w:ind w:left="566" w:hanging="566"/>
      </w:pPr>
      <w:r w:rsidRPr="00092B22">
        <w:rPr>
          <w:b/>
          <w:i/>
        </w:rPr>
        <w:t>Úloha S</w:t>
      </w:r>
      <w:r w:rsidR="00593B2C" w:rsidRPr="00593B2C">
        <w:rPr>
          <w:b/>
          <w:i/>
        </w:rPr>
        <w:t>oudní</w:t>
      </w:r>
      <w:r w:rsidR="00593B2C">
        <w:rPr>
          <w:b/>
          <w:i/>
        </w:rPr>
        <w:t>ho</w:t>
      </w:r>
      <w:r w:rsidR="00593B2C" w:rsidRPr="00593B2C">
        <w:rPr>
          <w:b/>
          <w:i/>
        </w:rPr>
        <w:t xml:space="preserve"> dv</w:t>
      </w:r>
      <w:r w:rsidR="00593B2C">
        <w:rPr>
          <w:b/>
          <w:i/>
        </w:rPr>
        <w:t>ora</w:t>
      </w:r>
    </w:p>
    <w:p w14:paraId="281A4293" w14:textId="4C6C8B74" w:rsidR="00C71263" w:rsidRPr="00092B22" w:rsidRDefault="00C71263" w:rsidP="00092B22">
      <w:pPr>
        <w:pStyle w:val="NormalHanging12a"/>
      </w:pPr>
      <w:r w:rsidRPr="00092B22">
        <w:t>31.</w:t>
      </w:r>
      <w:r w:rsidRPr="00092B22">
        <w:tab/>
        <w:t>zdůrazňuje, že S</w:t>
      </w:r>
      <w:r w:rsidR="00512BFB">
        <w:t>oudní dvůr</w:t>
      </w:r>
      <w:r w:rsidRPr="00092B22">
        <w:t xml:space="preserve"> hraje při uplatňování a výkladu zásad subsidiarity a proporcionality v právním rámci EU klíčovou úlohu; zdůrazňuje, že zásada subsidiarity nebyla od svého zavedení jako obecné zásady předmětem intenzivního soudního přezkumu ze strany S</w:t>
      </w:r>
      <w:r w:rsidR="00512BFB">
        <w:t>oudního dvora</w:t>
      </w:r>
      <w:r w:rsidRPr="00092B22">
        <w:t>; lituje, že se generální advokáti ve svých stanoviscích málo zabývají argumenty týkajícími se subsidiarity;</w:t>
      </w:r>
    </w:p>
    <w:p w14:paraId="1278D7F3" w14:textId="4AA2A289" w:rsidR="00C71263" w:rsidRPr="00092B22" w:rsidRDefault="00C71263" w:rsidP="00092B22">
      <w:pPr>
        <w:pStyle w:val="NormalHanging12a"/>
      </w:pPr>
      <w:r w:rsidRPr="00092B22">
        <w:t>32.</w:t>
      </w:r>
      <w:r w:rsidRPr="00092B22">
        <w:tab/>
        <w:t>varuje, že zjevná neochota S</w:t>
      </w:r>
      <w:r w:rsidR="00512BFB">
        <w:t>oudního dvora</w:t>
      </w:r>
      <w:r w:rsidRPr="00092B22">
        <w:t xml:space="preserve"> prosazovat subsidiaritu může vést k tomu, že členské státy nebudou ochotné se na S</w:t>
      </w:r>
      <w:r w:rsidR="00512BFB">
        <w:t>oudní dvůr</w:t>
      </w:r>
      <w:r w:rsidRPr="00092B22">
        <w:t xml:space="preserve"> vůbec obracet;</w:t>
      </w:r>
    </w:p>
    <w:p w14:paraId="41013F46" w14:textId="77777777" w:rsidR="00C71263" w:rsidRPr="00092B22" w:rsidRDefault="00C71263" w:rsidP="00092B22">
      <w:pPr>
        <w:pStyle w:val="NormalHanging12a"/>
      </w:pPr>
      <w:r w:rsidRPr="00092B22">
        <w:t>33.</w:t>
      </w:r>
      <w:r w:rsidRPr="00092B22">
        <w:tab/>
        <w:t>doporučuje Komisi, aby při konzultacích s členskými státy zajistila, aby vlády poskytovaly důkazy o tom, že zohledňují postoje vnitrostátních a regionálních parlamentů s legislativními pravomocemi;</w:t>
      </w:r>
    </w:p>
    <w:p w14:paraId="67E52A88" w14:textId="5C424A71" w:rsidR="00C71263" w:rsidRPr="00092B22" w:rsidRDefault="00C71263" w:rsidP="00092B22">
      <w:pPr>
        <w:pStyle w:val="NormalHanging12a"/>
      </w:pPr>
      <w:r w:rsidRPr="00092B22">
        <w:t>34.</w:t>
      </w:r>
      <w:r w:rsidRPr="00092B22">
        <w:tab/>
        <w:t>bere na vědomí vnímanou neochotu S</w:t>
      </w:r>
      <w:r w:rsidR="00512BFB">
        <w:t>oudního dvora</w:t>
      </w:r>
      <w:r w:rsidRPr="00092B22">
        <w:t xml:space="preserve"> důsledně prosazovat subsidiaritu jako smysluplné omezení legislativních opatření EU;</w:t>
      </w:r>
    </w:p>
    <w:p w14:paraId="5D9D95E5" w14:textId="762EC7BC" w:rsidR="00C71263" w:rsidRPr="00092B22" w:rsidRDefault="00C71263" w:rsidP="00092B22">
      <w:pPr>
        <w:pStyle w:val="NormalHanging12a"/>
      </w:pPr>
      <w:r w:rsidRPr="00092B22">
        <w:t>35.</w:t>
      </w:r>
      <w:r w:rsidRPr="00092B22">
        <w:tab/>
        <w:t>konstatuje, že S</w:t>
      </w:r>
      <w:r w:rsidR="00512BFB">
        <w:t>oudní dvůr</w:t>
      </w:r>
      <w:r w:rsidRPr="00092B22">
        <w:t xml:space="preserve"> je při výkladu otázek sdílené pravomoci také vázán zásadami subsidiarity, neboť soudní výklad právních předpisů se rovná tvorbě právních předpisů;</w:t>
      </w:r>
    </w:p>
    <w:p w14:paraId="018C6104" w14:textId="7BB16CB5" w:rsidR="00C71263" w:rsidRPr="00092B22" w:rsidRDefault="00C71263" w:rsidP="00092B22">
      <w:pPr>
        <w:pStyle w:val="NormalHanging12a"/>
      </w:pPr>
      <w:r w:rsidRPr="00092B22">
        <w:t>36.</w:t>
      </w:r>
      <w:r w:rsidRPr="00092B22">
        <w:tab/>
        <w:t>bere na vědomí výklad S</w:t>
      </w:r>
      <w:r w:rsidR="00512BFB">
        <w:t>oudního dvora</w:t>
      </w:r>
      <w:r w:rsidRPr="00092B22">
        <w:t>, podle kterého nezohlednění zvláštní situace jednoho nebo více členských států při posuzování legislativní iniciativy nepředstavuje porušení zásady proporcionality</w:t>
      </w:r>
      <w:r w:rsidRPr="00092B22">
        <w:rPr>
          <w:rStyle w:val="FootnoteReference"/>
        </w:rPr>
        <w:footnoteReference w:customMarkFollows="1" w:id="16"/>
        <w:t>16</w:t>
      </w:r>
      <w:r w:rsidRPr="00092B22">
        <w:t>; trvá na tom, že pro tvorbu právních předpisů pro EU jako celek jsou individuální zvláštnosti členských států relevantní;</w:t>
      </w:r>
    </w:p>
    <w:p w14:paraId="01727C5F" w14:textId="60A44DDE" w:rsidR="00C71263" w:rsidRPr="00092B22" w:rsidRDefault="00C71263" w:rsidP="00092B22">
      <w:pPr>
        <w:pStyle w:val="NormalHanging12a"/>
      </w:pPr>
      <w:r w:rsidRPr="00092B22">
        <w:t>37.</w:t>
      </w:r>
      <w:r w:rsidRPr="00092B22">
        <w:tab/>
        <w:t>vyjadřuje znepokojení nad rozsudkem S</w:t>
      </w:r>
      <w:r w:rsidR="00512BFB">
        <w:t>oudního dvora</w:t>
      </w:r>
      <w:r w:rsidRPr="00092B22">
        <w:t>, v němž se uvádí, že neprovedení posouzení dopadů nelze kvalifikovat jako porušení zásady proporcionality</w:t>
      </w:r>
      <w:r w:rsidRPr="00092B22">
        <w:rPr>
          <w:rStyle w:val="FootnoteReference"/>
        </w:rPr>
        <w:footnoteReference w:customMarkFollows="1" w:id="17"/>
        <w:t>17</w:t>
      </w:r>
      <w:r w:rsidRPr="00092B22">
        <w:t xml:space="preserve">; vyzývá Komisi, aby bez výjimky prováděla posouzení dopadů a zajistila, že pokud dojde ke změně oblasti působnosti legislativního návrhu, Komise </w:t>
      </w:r>
      <w:proofErr w:type="gramStart"/>
      <w:r w:rsidRPr="00092B22">
        <w:t>předloží</w:t>
      </w:r>
      <w:proofErr w:type="gramEnd"/>
      <w:r w:rsidRPr="00092B22">
        <w:t xml:space="preserve"> nové posouzení dopadů;</w:t>
      </w:r>
    </w:p>
    <w:p w14:paraId="2019F88B" w14:textId="77777777" w:rsidR="00C71263" w:rsidRPr="00092B22" w:rsidRDefault="00C71263" w:rsidP="00092B22">
      <w:pPr>
        <w:pStyle w:val="NormalHanging12a"/>
      </w:pPr>
      <w:r w:rsidRPr="00092B22">
        <w:t>38.</w:t>
      </w:r>
      <w:r w:rsidRPr="00092B22">
        <w:tab/>
        <w:t>zdůrazňuje, že dodržování zásad subsidiarity a proporcionality má klíčový význam pro důvěru občanů v EU a její právní předpisy a veřejnost by o něm měla být v rámci komunikace o jednotlivých legislativních iniciativách jasněji informována;</w:t>
      </w:r>
    </w:p>
    <w:p w14:paraId="1F60BC08" w14:textId="77777777" w:rsidR="00C71263" w:rsidRPr="00092B22" w:rsidRDefault="00C71263" w:rsidP="00092B22">
      <w:pPr>
        <w:pStyle w:val="NormalHanging12a"/>
      </w:pPr>
      <w:r w:rsidRPr="00092B22">
        <w:t>39.</w:t>
      </w:r>
      <w:r w:rsidRPr="00092B22">
        <w:tab/>
        <w:t>opakuje, že posouzení dopadů by měla být založena na přesných, objektivních a úplných informacích; domnívá se proto, že je nezbytné, aby normotvůrci EU shromažďovali podněty od místních a regionálních orgánů, které jsou schopny poskytnout k různým otázkám ty nejpřesnější informace;</w:t>
      </w:r>
    </w:p>
    <w:p w14:paraId="5D1A4DB1" w14:textId="77777777" w:rsidR="00C71263" w:rsidRPr="00092B22" w:rsidRDefault="00C71263" w:rsidP="00092B22">
      <w:pPr>
        <w:pStyle w:val="NormalHanging12a"/>
      </w:pPr>
      <w:r w:rsidRPr="00092B22">
        <w:lastRenderedPageBreak/>
        <w:t>40.</w:t>
      </w:r>
      <w:r w:rsidRPr="00092B22">
        <w:tab/>
        <w:t>vyzývá k provedení průzkumu mezi vnitrostátními parlamenty s cílem posoudit, jaké faktory ovlivňují jejich používání postupu žluté karty a jak vnímají dodržování zásady subsidiarity v rozhodovacím procesu EU;</w:t>
      </w:r>
    </w:p>
    <w:p w14:paraId="55236C22" w14:textId="77777777" w:rsidR="00C71263" w:rsidRPr="00092B22" w:rsidRDefault="00C71263" w:rsidP="00092B22">
      <w:pPr>
        <w:pStyle w:val="NormalHanging12a"/>
      </w:pPr>
      <w:r w:rsidRPr="00092B22">
        <w:t>41.</w:t>
      </w:r>
      <w:r w:rsidRPr="00092B22">
        <w:tab/>
        <w:t>považuje za vhodné provést mezi vnitrostátními zákonodárnými orgány průzkum za účelem získání jejich zpětné vazby ohledně uplatňování zásad subsidiarity a proporcionality; navrhuje proto, aby Komise takový průzkum provedla s cílem určit, v jakých oblastech a v jakém rozsahu by měly být vnitrostátní legislativní orgány nositeli změn;</w:t>
      </w:r>
    </w:p>
    <w:p w14:paraId="4AF83B01" w14:textId="77777777" w:rsidR="00C71263" w:rsidRPr="00092B22" w:rsidRDefault="00C71263" w:rsidP="00092B22">
      <w:pPr>
        <w:pStyle w:val="Normal12a"/>
        <w:ind w:left="566" w:hanging="566"/>
      </w:pPr>
      <w:r w:rsidRPr="00092B22">
        <w:rPr>
          <w:b/>
          <w:i/>
        </w:rPr>
        <w:t>Závěrečné poznámky</w:t>
      </w:r>
    </w:p>
    <w:p w14:paraId="2FFC695C" w14:textId="77777777" w:rsidR="00C71263" w:rsidRPr="00092B22" w:rsidRDefault="00C71263" w:rsidP="00092B22">
      <w:pPr>
        <w:pStyle w:val="NormalHanging12a"/>
      </w:pPr>
      <w:r w:rsidRPr="00092B22">
        <w:t>42.</w:t>
      </w:r>
      <w:r w:rsidRPr="00092B22">
        <w:tab/>
        <w:t>požaduje jasnější a důslednější definici a uplatňování zásad subsidiarity a proporcionality s ohledem na přístup založený na aktivní subsidiaritě vypracovaný pracovní skupinou, který zajistí, aby všechny orgány EU sdílely tentýž náhled na tyto základní zásady v legislativním procesu; navrhuje zahájit diskusi o zřízení „soudu pro subsidiaritu“ v rámci budoucího procesu revize Smlouvy;</w:t>
      </w:r>
    </w:p>
    <w:p w14:paraId="0162B9A7" w14:textId="77777777" w:rsidR="00C71263" w:rsidRPr="00092B22" w:rsidRDefault="00C71263" w:rsidP="00092B22">
      <w:pPr>
        <w:pStyle w:val="NormalHanging12a"/>
      </w:pPr>
      <w:r w:rsidRPr="00092B22">
        <w:t>43.</w:t>
      </w:r>
      <w:r w:rsidRPr="00092B22">
        <w:tab/>
        <w:t>požaduje, aby byly odstraněny nedostatky bránící větší transparentnosti při přípravě legislativních návrhů ze strany Komise, včetně dřívějšího zapojování vnitrostátních parlamentů, aby bylo zajištěno, že budou náležitě zohledňovány otázky subsidiarity;</w:t>
      </w:r>
    </w:p>
    <w:p w14:paraId="4378FD3B" w14:textId="77777777" w:rsidR="00C71263" w:rsidRPr="00092B22" w:rsidRDefault="00C71263" w:rsidP="00092B22">
      <w:pPr>
        <w:pStyle w:val="NormalHanging12a"/>
      </w:pPr>
      <w:r w:rsidRPr="00092B22">
        <w:t>44.</w:t>
      </w:r>
      <w:r w:rsidRPr="00092B22">
        <w:tab/>
        <w:t>souhlasí se závěrem Draghiho zprávy, že politická a legislativní činnost EU by se měla zaměřovat na oblasti, v nichž má EU skutečně vyšší přidanou hodnotu ve srovnání s politickými kroky na vnitrostátní nebo na nižší než vnitrostátní úrovni; dále naléhavě vyzývá orgány EU, aby přijaly zásadu zdrženlivosti při tvorbě politik a pečlivěji vybíraly budoucí iniciativy a zefektivnily stávající právní předpisy;</w:t>
      </w:r>
    </w:p>
    <w:p w14:paraId="139797CE" w14:textId="77777777" w:rsidR="00C71263" w:rsidRPr="00092B22" w:rsidRDefault="00C71263" w:rsidP="00092B22">
      <w:pPr>
        <w:pStyle w:val="NormalHanging12a"/>
      </w:pPr>
      <w:r w:rsidRPr="00092B22">
        <w:t>45.</w:t>
      </w:r>
      <w:r w:rsidRPr="00092B22">
        <w:tab/>
        <w:t>domnívá se, že stávající právní předpisy EU by měly být pravidelně posuzovány z hlediska proporcionality a přiměřenosti s ohledem na současnou realitu; zdůrazňuje, že umělá inteligence může být zásadní pro odhalování právních nesrovnalostí nebo nepřiměřených účinků, a usnadňovat tak dodržování předpisů a případně řešit nedostatečnou proporcionalitu;</w:t>
      </w:r>
    </w:p>
    <w:p w14:paraId="39A770D6" w14:textId="77777777" w:rsidR="00C71263" w:rsidRPr="00092B22" w:rsidRDefault="00C71263" w:rsidP="00092B22">
      <w:pPr>
        <w:pStyle w:val="NormalHanging12a"/>
      </w:pPr>
      <w:r w:rsidRPr="00092B22">
        <w:t>46.</w:t>
      </w:r>
      <w:r w:rsidRPr="00092B22">
        <w:tab/>
        <w:t>navrhuje, aby všechny meziparlamentní činnosti vyvíjené vnitrostátními parlamenty a Evropským parlamentem v rámci protokolu č. 1 Lisabonské smlouvy (včetně COSAC, IPEX, ECPRD atd.) byly lépe využívány a synergicky integrovány a probíhaly ve větší součinnosti s cílem lépe uplatňovat zásady subsidiarity a proporcionality;</w:t>
      </w:r>
    </w:p>
    <w:p w14:paraId="67A081A7" w14:textId="1A4C3011" w:rsidR="00C71263" w:rsidRPr="00092B22" w:rsidRDefault="00C71263" w:rsidP="00092B22">
      <w:pPr>
        <w:pStyle w:val="NormalHanging12a"/>
      </w:pPr>
      <w:r w:rsidRPr="00092B22">
        <w:t>47.</w:t>
      </w:r>
      <w:r w:rsidRPr="00092B22">
        <w:tab/>
        <w:t>zdůrazňuje, že poslanci Evropského parlamentu, kteří jsou voleni přímo evropskými občany, mají významné pravomoci při stanovování legislativního programu EU; zavazuje se, že bude využívat práva podnětu podle článku 225 S</w:t>
      </w:r>
      <w:r w:rsidR="00092B22">
        <w:t xml:space="preserve">mlouvy o fungování </w:t>
      </w:r>
      <w:r w:rsidRPr="00092B22">
        <w:t>EU k tomu, aby navrhoval rušení právních předpisů za účelem zmírnění regulační zátěže, přičemž je nutné plně dodržovat zásady subsidiarity a proporcionality;</w:t>
      </w:r>
    </w:p>
    <w:p w14:paraId="139AE18D" w14:textId="77777777" w:rsidR="00C71263" w:rsidRPr="00092B22" w:rsidRDefault="00C71263" w:rsidP="00092B22">
      <w:pPr>
        <w:pStyle w:val="NormalHanging12a"/>
      </w:pPr>
      <w:r w:rsidRPr="00092B22">
        <w:t>48.</w:t>
      </w:r>
      <w:r w:rsidRPr="00092B22">
        <w:tab/>
        <w:t>opakuje, že dodržování zásad subsidiarity a proporcionality usnadní lepší tvorbu právních předpisů a bude zmírňovat regulační a byrokratickou zátěž; trvá na tom, že by Komise před předložením legislativního návrhu měla posuzovat, zda lze kýženého pozitivního dopadu dosáhnout na místní, regionální nebo vnitrostátní úrovni, a v případě nejistoty ohledně nejvhodnější úrovně pro přijetí opatření by měla platit vyvratitelná domněnka ve prospěch nižších úrovní správy;</w:t>
      </w:r>
    </w:p>
    <w:p w14:paraId="37CB97B2" w14:textId="77777777" w:rsidR="00C71263" w:rsidRPr="00092B22" w:rsidRDefault="00C71263" w:rsidP="00092B22">
      <w:pPr>
        <w:pStyle w:val="NormalHanging12a"/>
      </w:pPr>
      <w:r w:rsidRPr="00092B22">
        <w:lastRenderedPageBreak/>
        <w:t>49.</w:t>
      </w:r>
      <w:r w:rsidRPr="00092B22">
        <w:tab/>
        <w:t>upozorňuje na závěry pracovní skupiny, že by Komise a spolunormotvůrci měli svou práci vyvažovat tak, aby vedla k účinnějšímu provádění, namísto toho, aby zaváděli nové právní předpisy nebo neustále měnili stávající právní předpisy v oblastech, kde jsou tyto předpisy již zastaralé či byly nedávno podstatně revidovány;</w:t>
      </w:r>
    </w:p>
    <w:p w14:paraId="1BD40427" w14:textId="77777777" w:rsidR="00092B22" w:rsidRPr="00092B22" w:rsidRDefault="00092B22" w:rsidP="00092B22">
      <w:pPr>
        <w:pStyle w:val="NormalCenter12a"/>
      </w:pPr>
      <w:r w:rsidRPr="00092B22">
        <w:t>°</w:t>
      </w:r>
    </w:p>
    <w:p w14:paraId="049B2215" w14:textId="77777777" w:rsidR="00092B22" w:rsidRPr="00092B22" w:rsidRDefault="00092B22" w:rsidP="00092B22">
      <w:pPr>
        <w:pStyle w:val="NormalCenter12a"/>
      </w:pPr>
      <w:r w:rsidRPr="00092B22">
        <w:t>°     °</w:t>
      </w:r>
    </w:p>
    <w:p w14:paraId="4708FF5D" w14:textId="4C7AC853" w:rsidR="00E365E1" w:rsidRPr="00092B22" w:rsidRDefault="00C71263" w:rsidP="00092B22">
      <w:pPr>
        <w:pStyle w:val="NormalHanging12a"/>
      </w:pPr>
      <w:r w:rsidRPr="00092B22">
        <w:t>50.</w:t>
      </w:r>
      <w:r w:rsidRPr="00092B22">
        <w:tab/>
        <w:t>pověřuje svou předsedkyni, aby předala toto usnesení Radě, Komisi a vnitrostátním parlamentům.</w:t>
      </w:r>
    </w:p>
    <w:sectPr w:rsidR="00E365E1" w:rsidRPr="00092B22" w:rsidSect="008F17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C4323" w14:textId="77777777" w:rsidR="00116CAF" w:rsidRPr="008F177A" w:rsidRDefault="00116CAF">
      <w:r w:rsidRPr="008F177A">
        <w:separator/>
      </w:r>
    </w:p>
  </w:endnote>
  <w:endnote w:type="continuationSeparator" w:id="0">
    <w:p w14:paraId="569D2ADA" w14:textId="77777777" w:rsidR="00116CAF" w:rsidRPr="008F177A" w:rsidRDefault="00116CAF">
      <w:r w:rsidRPr="008F17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738D" w14:textId="77777777" w:rsidR="00064002" w:rsidRPr="008F17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C62D" w14:textId="77777777" w:rsidR="00064002" w:rsidRPr="008F17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02D31" w14:textId="77777777" w:rsidR="00064002" w:rsidRPr="008F17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2D249" w14:textId="77777777" w:rsidR="00116CAF" w:rsidRPr="008F177A" w:rsidRDefault="00116CAF">
      <w:r w:rsidRPr="008F177A">
        <w:separator/>
      </w:r>
    </w:p>
  </w:footnote>
  <w:footnote w:type="continuationSeparator" w:id="0">
    <w:p w14:paraId="47532440" w14:textId="77777777" w:rsidR="00116CAF" w:rsidRPr="008F177A" w:rsidRDefault="00116CAF">
      <w:r w:rsidRPr="008F177A">
        <w:continuationSeparator/>
      </w:r>
    </w:p>
  </w:footnote>
  <w:footnote w:id="1">
    <w:p w14:paraId="1E703450" w14:textId="2984CB48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 xml:space="preserve">Úř. věst. C 202, 7.6.2016, s. 203, ELI: </w:t>
      </w:r>
      <w:hyperlink r:id="rId1" w:history="1">
        <w:r w:rsidRPr="00092B22">
          <w:rPr>
            <w:rStyle w:val="Hyperlink"/>
            <w:sz w:val="24"/>
            <w:lang w:val="cs-CZ"/>
          </w:rPr>
          <w:t>http://data.europa.eu/eli/treaty/tfeu_2016/pro_1/oj</w:t>
        </w:r>
      </w:hyperlink>
      <w:r w:rsidRPr="008F177A">
        <w:rPr>
          <w:sz w:val="24"/>
          <w:lang w:val="cs-CZ"/>
        </w:rPr>
        <w:t>.</w:t>
      </w:r>
    </w:p>
  </w:footnote>
  <w:footnote w:id="2">
    <w:p w14:paraId="51939F07" w14:textId="3E647267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2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Úř. věst. C 115, 9.5.2008, s. 206.</w:t>
      </w:r>
    </w:p>
  </w:footnote>
  <w:footnote w:id="3">
    <w:p w14:paraId="2748B1B3" w14:textId="106E6086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3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Úř. věst. C 212</w:t>
      </w:r>
      <w:r w:rsidR="00092B22">
        <w:rPr>
          <w:sz w:val="24"/>
          <w:lang w:val="cs-CZ"/>
        </w:rPr>
        <w:t xml:space="preserve"> </w:t>
      </w:r>
      <w:r w:rsidRPr="008F177A">
        <w:rPr>
          <w:sz w:val="24"/>
          <w:lang w:val="cs-CZ"/>
        </w:rPr>
        <w:t>E, 5.8.2010, s. 94.</w:t>
      </w:r>
    </w:p>
  </w:footnote>
  <w:footnote w:id="4">
    <w:p w14:paraId="2AD5F7EB" w14:textId="0DB2D4C2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4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Úř. věst. C 443, 22.12.2017, s. 40.</w:t>
      </w:r>
    </w:p>
  </w:footnote>
  <w:footnote w:id="5">
    <w:p w14:paraId="6D94CEAE" w14:textId="228DD009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5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Úř. věst. C 390, 18.11.2019, s. 121.</w:t>
      </w:r>
    </w:p>
  </w:footnote>
  <w:footnote w:id="6">
    <w:p w14:paraId="00C9E107" w14:textId="1D5BCB7B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6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 xml:space="preserve">Úř. věst. C, C/2024/5714, 17.10.2024, ELI: </w:t>
      </w:r>
      <w:hyperlink r:id="rId2" w:history="1">
        <w:r w:rsidRPr="00593B2C">
          <w:rPr>
            <w:rStyle w:val="Hyperlink"/>
            <w:sz w:val="24"/>
            <w:lang w:val="cs-CZ"/>
          </w:rPr>
          <w:t>http://data.europa.eu/eli/C/2024/5714/oj</w:t>
        </w:r>
      </w:hyperlink>
      <w:r w:rsidRPr="008F177A">
        <w:rPr>
          <w:sz w:val="24"/>
          <w:lang w:val="cs-CZ"/>
        </w:rPr>
        <w:t>.</w:t>
      </w:r>
    </w:p>
  </w:footnote>
  <w:footnote w:id="7">
    <w:p w14:paraId="5BCA67BD" w14:textId="5EDD270E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7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 xml:space="preserve">Úř. věst. C, C/2024/4216, 24.7.2024, ELI: </w:t>
      </w:r>
      <w:hyperlink r:id="rId3" w:tgtFrame="http://data.europa.eu/eli/C/2024/4216/oj" w:history="1">
        <w:r w:rsidRPr="008F177A">
          <w:rPr>
            <w:rStyle w:val="Hyperlink"/>
            <w:sz w:val="24"/>
            <w:lang w:val="cs-CZ"/>
          </w:rPr>
          <w:t>http://data.europa.eu/eli/C/2024/4216/oj</w:t>
        </w:r>
      </w:hyperlink>
      <w:r w:rsidRPr="008F177A">
        <w:rPr>
          <w:sz w:val="24"/>
          <w:lang w:val="cs-CZ"/>
        </w:rPr>
        <w:t>.</w:t>
      </w:r>
    </w:p>
  </w:footnote>
  <w:footnote w:id="8">
    <w:p w14:paraId="7EFA9F37" w14:textId="2F990EAB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8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 xml:space="preserve">Draghi, M., „Budoucnost evropské konkurenceschopnosti“, Evropská komise, 9. září 2024, </w:t>
      </w:r>
      <w:hyperlink r:id="rId4" w:history="1">
        <w:r w:rsidRPr="00092B22">
          <w:rPr>
            <w:rStyle w:val="Hyperlink"/>
            <w:sz w:val="24"/>
            <w:lang w:val="cs-CZ"/>
          </w:rPr>
          <w:t>https://commission.europa.eu/topics/eu-competitiveness/draghi-report_en#paragraph_47059</w:t>
        </w:r>
      </w:hyperlink>
      <w:r w:rsidRPr="008F177A">
        <w:rPr>
          <w:sz w:val="24"/>
          <w:lang w:val="cs-CZ"/>
        </w:rPr>
        <w:t>.</w:t>
      </w:r>
    </w:p>
  </w:footnote>
  <w:footnote w:id="9">
    <w:p w14:paraId="6FBAF950" w14:textId="1A1D97A7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9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hyperlink r:id="rId5" w:tgtFrame="https://commission.europa.eu/document/download/8530a17b-e2b8-4cd4-a68d-597767cfbad7_en?filename=report-task-force-subsidiarity-proportionality-and-doing-less-more-efficiently_en.pdf" w:history="1">
        <w:r w:rsidRPr="008F177A">
          <w:rPr>
            <w:rStyle w:val="Hyperlink"/>
            <w:sz w:val="24"/>
            <w:lang w:val="cs-CZ"/>
          </w:rPr>
          <w:t>https://commission.europa.eu/document/download/8530a17b-e2b8-4cd4-a68d-597767cfbad7_en?filename=report-task-force-subsidiarity-proportionality-and-doing-less-more-efficiently_en.pdf</w:t>
        </w:r>
      </w:hyperlink>
    </w:p>
  </w:footnote>
  <w:footnote w:id="10">
    <w:p w14:paraId="72FB6779" w14:textId="039F0AD7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10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Návrh nařízení Rady ze dne 21. března 2012 o výkonu práva na kolektivní akci v rámci svobody usazování a volného pohybu služeb (COM(2012)0130).</w:t>
      </w:r>
    </w:p>
  </w:footnote>
  <w:footnote w:id="11">
    <w:p w14:paraId="31BD7F13" w14:textId="7C4FA2ED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11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Zřízení Úřadu evropského veřejného žalobce: postup žluté karty byl spuštěn v roce 2013 a v roce 2017 byla přijata posílená spolupráce podle článku 86 S</w:t>
      </w:r>
      <w:r w:rsidR="00092B22" w:rsidRPr="00317F9B">
        <w:rPr>
          <w:lang w:val="cs-CZ"/>
        </w:rPr>
        <w:t xml:space="preserve">mlouvy o </w:t>
      </w:r>
      <w:r w:rsidR="00092B22">
        <w:rPr>
          <w:sz w:val="24"/>
          <w:lang w:val="cs-CZ"/>
        </w:rPr>
        <w:t xml:space="preserve">fungování </w:t>
      </w:r>
      <w:r w:rsidRPr="008F177A">
        <w:rPr>
          <w:sz w:val="24"/>
          <w:lang w:val="cs-CZ"/>
        </w:rPr>
        <w:t>EU.</w:t>
      </w:r>
    </w:p>
  </w:footnote>
  <w:footnote w:id="12">
    <w:p w14:paraId="4DC0C7F4" w14:textId="356A7125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12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 xml:space="preserve">Směrnice Evropského parlamentu a Rady (EU) 2018/957 ze dne 28. června 2018, kterou se mění směrnice 96/71/ES o vysílání pracovníků v rámci poskytování služeb (Úř. věst. L 173, 9.7.2018, s. 16, ELI: </w:t>
      </w:r>
      <w:hyperlink r:id="rId6" w:history="1">
        <w:r w:rsidRPr="00092B22">
          <w:rPr>
            <w:rStyle w:val="Hyperlink"/>
            <w:sz w:val="24"/>
            <w:lang w:val="cs-CZ"/>
          </w:rPr>
          <w:t>http://data.europa.eu/eli/dir/2018/957/oj</w:t>
        </w:r>
      </w:hyperlink>
      <w:r w:rsidRPr="008F177A">
        <w:rPr>
          <w:sz w:val="24"/>
          <w:lang w:val="cs-CZ"/>
        </w:rPr>
        <w:t>).</w:t>
      </w:r>
    </w:p>
  </w:footnote>
  <w:footnote w:id="13">
    <w:p w14:paraId="77C3C37D" w14:textId="15FC7D31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13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Le Sénat, Commission des affaires européenes, „Dérive normative de l'Union européenne – Rapport d'information“ č. 190 (2024–2025), 4. prosince 2024.</w:t>
      </w:r>
    </w:p>
  </w:footnote>
  <w:footnote w:id="14">
    <w:p w14:paraId="2C2F892C" w14:textId="15B546F7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14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hyperlink r:id="rId7" w:history="1">
        <w:r w:rsidRPr="00092B22">
          <w:rPr>
            <w:rStyle w:val="Hyperlink"/>
            <w:sz w:val="24"/>
            <w:lang w:val="cs-CZ"/>
          </w:rPr>
          <w:t>https://national-parliaments-opinions.ec.europa.eu/home</w:t>
        </w:r>
      </w:hyperlink>
    </w:p>
  </w:footnote>
  <w:footnote w:id="15">
    <w:p w14:paraId="36AE3314" w14:textId="162A6652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15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hyperlink r:id="rId8" w:history="1">
        <w:r w:rsidRPr="00092B22">
          <w:rPr>
            <w:rStyle w:val="Hyperlink"/>
            <w:sz w:val="24"/>
            <w:lang w:val="cs-CZ"/>
          </w:rPr>
          <w:t>https://secure.ipex.eu/IPEXL-WEB/download/file/8a8629a8930500d90193061cc8e70006/LXXII%20COSAC%20Contribution%20EN.pdf</w:t>
        </w:r>
      </w:hyperlink>
    </w:p>
  </w:footnote>
  <w:footnote w:id="16">
    <w:p w14:paraId="53EA54CA" w14:textId="3C7D9AED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16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Rozsudek Soudního dvora ze dne 18. června 2015, Estonská republika v. Evropský parlament a Rada Evropské unie, C-508/13, ECLI:EU:C:2015:403.</w:t>
      </w:r>
    </w:p>
  </w:footnote>
  <w:footnote w:id="17">
    <w:p w14:paraId="5FC3B102" w14:textId="47A44A16" w:rsidR="00C71263" w:rsidRPr="008F177A" w:rsidRDefault="00C71263" w:rsidP="008F177A">
      <w:pPr>
        <w:pStyle w:val="FootnoteText"/>
        <w:ind w:left="567" w:hanging="567"/>
        <w:rPr>
          <w:sz w:val="24"/>
          <w:lang w:val="cs-CZ"/>
        </w:rPr>
      </w:pPr>
      <w:r w:rsidRPr="008F177A">
        <w:rPr>
          <w:sz w:val="24"/>
          <w:vertAlign w:val="superscript"/>
          <w:lang w:val="cs-CZ"/>
        </w:rPr>
        <w:t>17</w:t>
      </w:r>
      <w:r w:rsidR="008F177A" w:rsidRPr="008F177A">
        <w:rPr>
          <w:sz w:val="24"/>
          <w:vertAlign w:val="superscript"/>
          <w:lang w:val="cs-CZ"/>
        </w:rPr>
        <w:t xml:space="preserve"> </w:t>
      </w:r>
      <w:r w:rsidR="008F177A" w:rsidRPr="008F177A">
        <w:rPr>
          <w:sz w:val="24"/>
          <w:vertAlign w:val="superscript"/>
          <w:lang w:val="cs-CZ"/>
        </w:rPr>
        <w:tab/>
      </w:r>
      <w:r w:rsidRPr="008F177A">
        <w:rPr>
          <w:sz w:val="24"/>
          <w:lang w:val="cs-CZ"/>
        </w:rPr>
        <w:t>Rozsudek Soudního dvora ze dne 3. prosince 2019, Česká republika v. Evropský parlament a Rada Evropské unie, C-482/17, ECLI:EU:C:2019:1035.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32F89" w14:textId="77777777" w:rsidR="00064002" w:rsidRPr="008F17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93300" w14:textId="77777777" w:rsidR="00064002" w:rsidRPr="008F17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F2536" w14:textId="77777777" w:rsidR="00064002" w:rsidRPr="008F17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2630359">
    <w:abstractNumId w:val="9"/>
  </w:num>
  <w:num w:numId="2" w16cid:durableId="267197909">
    <w:abstractNumId w:val="9"/>
  </w:num>
  <w:num w:numId="3" w16cid:durableId="231739715">
    <w:abstractNumId w:val="7"/>
  </w:num>
  <w:num w:numId="4" w16cid:durableId="1337344773">
    <w:abstractNumId w:val="7"/>
  </w:num>
  <w:num w:numId="5" w16cid:durableId="779648996">
    <w:abstractNumId w:val="6"/>
  </w:num>
  <w:num w:numId="6" w16cid:durableId="1773351860">
    <w:abstractNumId w:val="6"/>
  </w:num>
  <w:num w:numId="7" w16cid:durableId="1599292896">
    <w:abstractNumId w:val="5"/>
  </w:num>
  <w:num w:numId="8" w16cid:durableId="468013243">
    <w:abstractNumId w:val="5"/>
  </w:num>
  <w:num w:numId="9" w16cid:durableId="1417827189">
    <w:abstractNumId w:val="4"/>
  </w:num>
  <w:num w:numId="10" w16cid:durableId="158083642">
    <w:abstractNumId w:val="4"/>
  </w:num>
  <w:num w:numId="11" w16cid:durableId="1640913096">
    <w:abstractNumId w:val="8"/>
  </w:num>
  <w:num w:numId="12" w16cid:durableId="491413897">
    <w:abstractNumId w:val="8"/>
  </w:num>
  <w:num w:numId="13" w16cid:durableId="190802641">
    <w:abstractNumId w:val="3"/>
  </w:num>
  <w:num w:numId="14" w16cid:durableId="498083216">
    <w:abstractNumId w:val="3"/>
  </w:num>
  <w:num w:numId="15" w16cid:durableId="530148005">
    <w:abstractNumId w:val="2"/>
  </w:num>
  <w:num w:numId="16" w16cid:durableId="911550030">
    <w:abstractNumId w:val="2"/>
  </w:num>
  <w:num w:numId="17" w16cid:durableId="84038119">
    <w:abstractNumId w:val="1"/>
  </w:num>
  <w:num w:numId="18" w16cid:durableId="1619874906">
    <w:abstractNumId w:val="1"/>
  </w:num>
  <w:num w:numId="19" w16cid:durableId="424306425">
    <w:abstractNumId w:val="0"/>
  </w:num>
  <w:num w:numId="20" w16cid:durableId="730466690">
    <w:abstractNumId w:val="0"/>
  </w:num>
  <w:num w:numId="21" w16cid:durableId="755438321">
    <w:abstractNumId w:val="9"/>
  </w:num>
  <w:num w:numId="22" w16cid:durableId="190344441">
    <w:abstractNumId w:val="7"/>
  </w:num>
  <w:num w:numId="23" w16cid:durableId="813522558">
    <w:abstractNumId w:val="6"/>
  </w:num>
  <w:num w:numId="24" w16cid:durableId="363097989">
    <w:abstractNumId w:val="5"/>
  </w:num>
  <w:num w:numId="25" w16cid:durableId="1929804682">
    <w:abstractNumId w:val="4"/>
  </w:num>
  <w:num w:numId="26" w16cid:durableId="1309088876">
    <w:abstractNumId w:val="8"/>
  </w:num>
  <w:num w:numId="27" w16cid:durableId="1962297423">
    <w:abstractNumId w:val="3"/>
  </w:num>
  <w:num w:numId="28" w16cid:durableId="820923401">
    <w:abstractNumId w:val="2"/>
  </w:num>
  <w:num w:numId="29" w16cid:durableId="1064182520">
    <w:abstractNumId w:val="1"/>
  </w:num>
  <w:num w:numId="30" w16cid:durableId="267278650">
    <w:abstractNumId w:val="0"/>
  </w:num>
  <w:num w:numId="31" w16cid:durableId="1049843123">
    <w:abstractNumId w:val="9"/>
  </w:num>
  <w:num w:numId="32" w16cid:durableId="2033649404">
    <w:abstractNumId w:val="7"/>
  </w:num>
  <w:num w:numId="33" w16cid:durableId="1482772268">
    <w:abstractNumId w:val="6"/>
  </w:num>
  <w:num w:numId="34" w16cid:durableId="1865827838">
    <w:abstractNumId w:val="5"/>
  </w:num>
  <w:num w:numId="35" w16cid:durableId="1276713959">
    <w:abstractNumId w:val="4"/>
  </w:num>
  <w:num w:numId="36" w16cid:durableId="514003683">
    <w:abstractNumId w:val="8"/>
  </w:num>
  <w:num w:numId="37" w16cid:durableId="554775795">
    <w:abstractNumId w:val="3"/>
  </w:num>
  <w:num w:numId="38" w16cid:durableId="1130199148">
    <w:abstractNumId w:val="2"/>
  </w:num>
  <w:num w:numId="39" w16cid:durableId="54742884">
    <w:abstractNumId w:val="1"/>
  </w:num>
  <w:num w:numId="40" w16cid:durableId="547687239">
    <w:abstractNumId w:val="0"/>
  </w:num>
  <w:num w:numId="41" w16cid:durableId="1596859565">
    <w:abstractNumId w:val="10"/>
  </w:num>
  <w:num w:numId="42" w16cid:durableId="1020012532">
    <w:abstractNumId w:val="10"/>
  </w:num>
  <w:num w:numId="43" w16cid:durableId="1731269188">
    <w:abstractNumId w:val="10"/>
  </w:num>
  <w:num w:numId="44" w16cid:durableId="1309746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4/2025"/>
    <w:docVar w:name="dvlangue" w:val="CS"/>
    <w:docVar w:name="dvnumam" w:val="0"/>
    <w:docVar w:name="dvpe" w:val="768.159"/>
    <w:docVar w:name="dvrapporteur" w:val="Zpravodajka: "/>
    <w:docVar w:name="dvtitre" w:val="Usnesení Evropského parlamentu ze dne 27. listopadu 2025 o uplatňování ustanovení Smlouvy týkajících se zásad subsidiarity a proporcionality a úloha vnitrostátních parlamentů v legislativním procesu EU(2025/2042(INI))"/>
  </w:docVars>
  <w:rsids>
    <w:rsidRoot w:val="00116CAF"/>
    <w:rsid w:val="00002272"/>
    <w:rsid w:val="00064002"/>
    <w:rsid w:val="000677B9"/>
    <w:rsid w:val="000831BA"/>
    <w:rsid w:val="00092B22"/>
    <w:rsid w:val="000A42CC"/>
    <w:rsid w:val="000E7DD9"/>
    <w:rsid w:val="0010095E"/>
    <w:rsid w:val="00116CAF"/>
    <w:rsid w:val="00125B37"/>
    <w:rsid w:val="00187494"/>
    <w:rsid w:val="001948C1"/>
    <w:rsid w:val="001D764F"/>
    <w:rsid w:val="001F32AE"/>
    <w:rsid w:val="002767FF"/>
    <w:rsid w:val="002B18FE"/>
    <w:rsid w:val="002B5493"/>
    <w:rsid w:val="00317F9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BFB"/>
    <w:rsid w:val="00514517"/>
    <w:rsid w:val="00545827"/>
    <w:rsid w:val="00560270"/>
    <w:rsid w:val="00593B2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E1E"/>
    <w:rsid w:val="007E22AD"/>
    <w:rsid w:val="00817416"/>
    <w:rsid w:val="00842779"/>
    <w:rsid w:val="00865F67"/>
    <w:rsid w:val="00881A7B"/>
    <w:rsid w:val="008840E5"/>
    <w:rsid w:val="00887B3E"/>
    <w:rsid w:val="008C2AC6"/>
    <w:rsid w:val="008F177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26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1AF"/>
    <w:rsid w:val="00F87713"/>
    <w:rsid w:val="00FB4360"/>
    <w:rsid w:val="00FD0C70"/>
    <w:rsid w:val="00FE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03E04"/>
  <w15:chartTrackingRefBased/>
  <w15:docId w15:val="{94251D21-7943-440B-9052-C5CFC982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7126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7126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71263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7126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Bold12a">
    <w:name w:val="NormalBold12a"/>
    <w:basedOn w:val="Normal"/>
    <w:rsid w:val="00C71263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C7126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71263"/>
    <w:rPr>
      <w:color w:val="0000FF"/>
      <w:u w:val="single"/>
    </w:rPr>
  </w:style>
  <w:style w:type="paragraph" w:styleId="Revision">
    <w:name w:val="Revision"/>
    <w:hidden/>
    <w:uiPriority w:val="99"/>
    <w:semiHidden/>
    <w:rsid w:val="00092B22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092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ipex.eu/IPEXL-WEB/download/file/8a8629a8930500d90193061cc8e70006/LXXII%20COSAC%20Contribution%20EN.pdf" TargetMode="External"/><Relationship Id="rId3" Type="http://schemas.openxmlformats.org/officeDocument/2006/relationships/hyperlink" Target="http://data.europa.eu/eli/C/2024/4216/oj" TargetMode="External"/><Relationship Id="rId7" Type="http://schemas.openxmlformats.org/officeDocument/2006/relationships/hyperlink" Target="https://national-parliaments-opinions.ec.europa.eu/home" TargetMode="External"/><Relationship Id="rId2" Type="http://schemas.openxmlformats.org/officeDocument/2006/relationships/hyperlink" Target="http://data.europa.eu/eli/C/2024/5714/oj" TargetMode="External"/><Relationship Id="rId1" Type="http://schemas.openxmlformats.org/officeDocument/2006/relationships/hyperlink" Target="http://data.europa.eu/eli/treaty/tfeu_2016/pro_1/oj" TargetMode="External"/><Relationship Id="rId6" Type="http://schemas.openxmlformats.org/officeDocument/2006/relationships/hyperlink" Target="http://data.europa.eu/eli/dir/2018/957/oj" TargetMode="External"/><Relationship Id="rId5" Type="http://schemas.openxmlformats.org/officeDocument/2006/relationships/hyperlink" Target="https://commission.europa.eu/document/download/8530a17b-e2b8-4cd4-a68d-597767cfbad7_en?filename=report-task-force-subsidiarity-proportionality-and-doing-less-more-efficiently_en.pdf" TargetMode="External"/><Relationship Id="rId4" Type="http://schemas.openxmlformats.org/officeDocument/2006/relationships/hyperlink" Target="https://commission.europa.eu/topics/eu-competitiveness/draghi-report_en%23paragraph_470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3984</Words>
  <Characters>24919</Characters>
  <Application>Microsoft Office Word</Application>
  <DocSecurity>0</DocSecurity>
  <Lines>207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2026-01-23T08:36:00Z</dcterms:created>
  <dcterms:modified xsi:type="dcterms:W3CDTF">2026-01-23T08:36:00Z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A10-0224/2025</vt:lpwstr>
  </property>
  <property fmtid="{D5CDD505-2E9C-101B-9397-08002B2CF9AE}" pid="4" name="&lt;Type&gt;">
    <vt:lpwstr>RR</vt:lpwstr>
  </property>
</Properties>
</file>