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44A1" w14:paraId="4EB0952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AF6823" w14:textId="1DF2667B" w:rsidR="00751A4A" w:rsidRPr="009344A1" w:rsidRDefault="00093ACD" w:rsidP="0010095E">
            <w:pPr>
              <w:pStyle w:val="EPName"/>
            </w:pPr>
            <w:r w:rsidRPr="009344A1">
              <w:t>Parlament Europejski</w:t>
            </w:r>
          </w:p>
          <w:p w14:paraId="2A3B0665" w14:textId="77777777" w:rsidR="00751A4A" w:rsidRPr="009344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44A1">
              <w:t>2024</w:t>
            </w:r>
            <w:r w:rsidR="00817416" w:rsidRPr="009344A1">
              <w:t>-202</w:t>
            </w:r>
            <w:r w:rsidRPr="009344A1">
              <w:t>9</w:t>
            </w:r>
          </w:p>
        </w:tc>
        <w:tc>
          <w:tcPr>
            <w:tcW w:w="2268" w:type="dxa"/>
            <w:shd w:val="clear" w:color="auto" w:fill="auto"/>
          </w:tcPr>
          <w:p w14:paraId="357117F3" w14:textId="77777777" w:rsidR="00751A4A" w:rsidRPr="009344A1" w:rsidRDefault="00187494" w:rsidP="0010095E">
            <w:pPr>
              <w:pStyle w:val="EPLogo"/>
            </w:pPr>
            <w:r w:rsidRPr="009344A1">
              <w:rPr>
                <w:noProof/>
                <w:lang w:eastAsia="ja-JP"/>
              </w:rPr>
              <w:drawing>
                <wp:inline distT="0" distB="0" distL="0" distR="0" wp14:anchorId="7828E46B" wp14:editId="53CFC2F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56C4C5" w14:textId="77777777" w:rsidR="00D058B8" w:rsidRPr="009344A1" w:rsidRDefault="00D058B8" w:rsidP="004C5D52">
      <w:pPr>
        <w:pStyle w:val="LineTop"/>
      </w:pPr>
    </w:p>
    <w:p w14:paraId="06C79DF9" w14:textId="2A869E9B" w:rsidR="00680577" w:rsidRPr="009344A1" w:rsidRDefault="00093ACD" w:rsidP="00680577">
      <w:pPr>
        <w:pStyle w:val="EPBodyTA1"/>
      </w:pPr>
      <w:r w:rsidRPr="009344A1">
        <w:t>TEKSTY PRZYJĘTE</w:t>
      </w:r>
    </w:p>
    <w:p w14:paraId="33041C38" w14:textId="77777777" w:rsidR="00D058B8" w:rsidRPr="009344A1" w:rsidRDefault="00D058B8" w:rsidP="00D058B8">
      <w:pPr>
        <w:pStyle w:val="LineBottom"/>
      </w:pPr>
    </w:p>
    <w:p w14:paraId="7BD87E14" w14:textId="661D115C" w:rsidR="00093ACD" w:rsidRPr="009344A1" w:rsidRDefault="00093ACD" w:rsidP="00093ACD">
      <w:pPr>
        <w:pStyle w:val="ATHeading1"/>
      </w:pPr>
      <w:bookmarkStart w:id="0" w:name="TANumber"/>
      <w:r w:rsidRPr="009344A1">
        <w:t>P10_TA(2025)0</w:t>
      </w:r>
      <w:bookmarkEnd w:id="0"/>
      <w:r w:rsidR="00DD005C">
        <w:t>309</w:t>
      </w:r>
    </w:p>
    <w:p w14:paraId="61F7B34A" w14:textId="77777777" w:rsidR="00093ACD" w:rsidRPr="009344A1" w:rsidRDefault="00093ACD" w:rsidP="00093ACD">
      <w:pPr>
        <w:pStyle w:val="ATHeading2"/>
      </w:pPr>
      <w:bookmarkStart w:id="1" w:name="title"/>
      <w:r w:rsidRPr="009344A1">
        <w:t>Stosowanie przepisów traktatowych dotyczących zasad pomocniczości i proporcjonalności oraz rola</w:t>
      </w:r>
    </w:p>
    <w:p w14:paraId="2CA5D42B" w14:textId="77777777" w:rsidR="00093ACD" w:rsidRPr="009344A1" w:rsidRDefault="00093ACD" w:rsidP="00093ACD">
      <w:pPr>
        <w:pStyle w:val="ATHeading2"/>
      </w:pPr>
      <w:r w:rsidRPr="009344A1">
        <w:t>parlamentów narodowych w procesie legislacyjnym UE</w:t>
      </w:r>
      <w:bookmarkEnd w:id="1"/>
    </w:p>
    <w:p w14:paraId="6ABB24C8" w14:textId="77777777" w:rsidR="00093ACD" w:rsidRPr="009344A1" w:rsidRDefault="00093ACD" w:rsidP="00093ACD">
      <w:pPr>
        <w:rPr>
          <w:i/>
          <w:vanish/>
        </w:rPr>
      </w:pPr>
      <w:r w:rsidRPr="009344A1">
        <w:rPr>
          <w:i/>
        </w:rPr>
        <w:fldChar w:fldCharType="begin"/>
      </w:r>
      <w:r w:rsidRPr="009344A1">
        <w:rPr>
          <w:i/>
        </w:rPr>
        <w:instrText xml:space="preserve"> TC"(</w:instrText>
      </w:r>
      <w:bookmarkStart w:id="2" w:name="DocNumber"/>
      <w:r w:rsidRPr="009344A1">
        <w:rPr>
          <w:i/>
        </w:rPr>
        <w:instrText>A10-0224/2025</w:instrText>
      </w:r>
      <w:bookmarkEnd w:id="2"/>
      <w:r w:rsidRPr="009344A1">
        <w:rPr>
          <w:i/>
        </w:rPr>
        <w:instrText xml:space="preserve"> - Sprawozdawca: Marieke Ehlers)"\l3 \n&gt; \* MERGEFORMAT </w:instrText>
      </w:r>
      <w:r w:rsidRPr="009344A1">
        <w:rPr>
          <w:i/>
        </w:rPr>
        <w:fldChar w:fldCharType="end"/>
      </w:r>
    </w:p>
    <w:p w14:paraId="3CEEED96" w14:textId="77777777" w:rsidR="00093ACD" w:rsidRPr="009344A1" w:rsidRDefault="00093ACD" w:rsidP="00093ACD">
      <w:pPr>
        <w:rPr>
          <w:vanish/>
        </w:rPr>
      </w:pPr>
      <w:bookmarkStart w:id="3" w:name="Commission"/>
      <w:r w:rsidRPr="009344A1">
        <w:rPr>
          <w:vanish/>
        </w:rPr>
        <w:t>Komisja Spraw Konstytucyjnych</w:t>
      </w:r>
      <w:bookmarkEnd w:id="3"/>
    </w:p>
    <w:p w14:paraId="69A9E47B" w14:textId="77777777" w:rsidR="00093ACD" w:rsidRPr="009344A1" w:rsidRDefault="00093ACD" w:rsidP="00093ACD">
      <w:pPr>
        <w:rPr>
          <w:vanish/>
        </w:rPr>
      </w:pPr>
      <w:bookmarkStart w:id="4" w:name="PE"/>
      <w:r w:rsidRPr="009344A1">
        <w:rPr>
          <w:vanish/>
        </w:rPr>
        <w:t>PE768.159</w:t>
      </w:r>
      <w:bookmarkEnd w:id="4"/>
    </w:p>
    <w:p w14:paraId="314382D6" w14:textId="7B4F401D" w:rsidR="00093ACD" w:rsidRPr="009344A1" w:rsidRDefault="00093ACD" w:rsidP="00093ACD">
      <w:pPr>
        <w:pStyle w:val="ATHeading3"/>
      </w:pPr>
      <w:bookmarkStart w:id="5" w:name="Sujet"/>
      <w:r w:rsidRPr="009344A1">
        <w:t xml:space="preserve">Rezolucja Parlamentu Europejskiego z dnia </w:t>
      </w:r>
      <w:r w:rsidR="003225D9">
        <w:t>27 listopada</w:t>
      </w:r>
      <w:r w:rsidRPr="009344A1">
        <w:t xml:space="preserve"> 2025 r. w sprawie stosowania postanowień traktatowych dotyczących zasad pomocniczości i proporcjonalności oraz roli parlamentów narodowych w procesie legislacyjnym UE</w:t>
      </w:r>
      <w:bookmarkEnd w:id="5"/>
      <w:r w:rsidRPr="009344A1">
        <w:t xml:space="preserve"> </w:t>
      </w:r>
      <w:bookmarkStart w:id="6" w:name="References"/>
      <w:r w:rsidRPr="009344A1">
        <w:t>(2025/2042(INI))</w:t>
      </w:r>
      <w:bookmarkEnd w:id="6"/>
    </w:p>
    <w:p w14:paraId="1336F470" w14:textId="77777777" w:rsidR="00E12E3D" w:rsidRPr="009344A1" w:rsidRDefault="00E12E3D" w:rsidP="00E12E3D">
      <w:pPr>
        <w:pStyle w:val="Normal12"/>
      </w:pPr>
      <w:r w:rsidRPr="009344A1">
        <w:rPr>
          <w:i/>
        </w:rPr>
        <w:t>Parlament Europejski</w:t>
      </w:r>
      <w:r w:rsidRPr="009344A1">
        <w:t>,</w:t>
      </w:r>
    </w:p>
    <w:p w14:paraId="3E4C1899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Traktat o Unii Europejskiej (TUE), w szczególności art. 5 dotyczący przyznania kompetencji, zasady pomocniczości i zasady proporcjonalności, art. 10 ust. 1 dotyczący demokracji przedstawicielskiej, art. 10 ust. 2 dotyczący reprezentacji obywateli UE, art. 10 ust. 3 dotyczący prawa obywateli UE do uczestnictwa w życiu demokratycznym Unii, art. 11 dotyczący demokracji uczestniczącej oraz art. 12 dotyczący roli parlamentów narodowych,</w:t>
      </w:r>
    </w:p>
    <w:p w14:paraId="085869FF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Protokół nr 1 do TUE i Traktatu o funkcjonowaniu Unii Europejskiej (TFUE) w sprawie roli parlamentów narodowych w Unii Europejskiej</w:t>
      </w:r>
      <w:r w:rsidRPr="009344A1">
        <w:rPr>
          <w:rStyle w:val="FootnoteReference"/>
        </w:rPr>
        <w:footnoteReference w:customMarkFollows="1" w:id="1"/>
        <w:t>1</w:t>
      </w:r>
      <w:r w:rsidRPr="009344A1">
        <w:t xml:space="preserve"> oraz Protokół nr 2 do TUE i TFUE w sprawie stosowania zasad pomocniczości i proporcjonalności</w:t>
      </w:r>
      <w:r w:rsidRPr="009344A1">
        <w:rPr>
          <w:rStyle w:val="FootnoteReference"/>
        </w:rPr>
        <w:footnoteReference w:customMarkFollows="1" w:id="2"/>
        <w:t>2</w:t>
      </w:r>
      <w:r w:rsidRPr="009344A1">
        <w:t>,</w:t>
      </w:r>
    </w:p>
    <w:p w14:paraId="42E708E5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art. 2–6, 15 i 122 TFUE,</w:t>
      </w:r>
    </w:p>
    <w:p w14:paraId="344D07F1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rezolucje PE z 7 maja 2009 r. w sprawie rozwoju stosunków pomiędzy Parlamentem Europejskim a parlamentami krajowymi w kontekście postanowień traktatu z Lizbony</w:t>
      </w:r>
      <w:r w:rsidRPr="009344A1">
        <w:rPr>
          <w:rStyle w:val="FootnoteReference"/>
        </w:rPr>
        <w:footnoteReference w:customMarkFollows="1" w:id="3"/>
        <w:t>3</w:t>
      </w:r>
      <w:r w:rsidRPr="009344A1">
        <w:t>, z 16 kwietnia 2014 r. w sprawie stosunków między Parlamentem Europejskim a parlamentami narodowymi</w:t>
      </w:r>
      <w:r w:rsidRPr="009344A1">
        <w:rPr>
          <w:rStyle w:val="FootnoteReference"/>
        </w:rPr>
        <w:footnoteReference w:customMarkFollows="1" w:id="4"/>
        <w:t>4</w:t>
      </w:r>
      <w:r w:rsidRPr="009344A1">
        <w:t>, z 19 kwietnia 2018 r. w sprawie stosowania postanowień Traktatu dotyczących parlamentów narodowych</w:t>
      </w:r>
      <w:r w:rsidRPr="009344A1">
        <w:rPr>
          <w:rStyle w:val="FootnoteReference"/>
        </w:rPr>
        <w:footnoteReference w:customMarkFollows="1" w:id="5"/>
        <w:t>5</w:t>
      </w:r>
      <w:r w:rsidRPr="009344A1">
        <w:t xml:space="preserve"> oraz z 17 stycznia 2024 r. w sprawie stosowania postanowień Traktatu dotyczących parlamentów narodowych</w:t>
      </w:r>
      <w:r w:rsidRPr="009344A1">
        <w:rPr>
          <w:rStyle w:val="FootnoteReference"/>
        </w:rPr>
        <w:footnoteReference w:customMarkFollows="1" w:id="6"/>
        <w:t>6</w:t>
      </w:r>
      <w:r w:rsidRPr="009344A1">
        <w:t>,</w:t>
      </w:r>
    </w:p>
    <w:p w14:paraId="0A367EB9" w14:textId="77777777" w:rsidR="00E12E3D" w:rsidRPr="009344A1" w:rsidRDefault="00E12E3D" w:rsidP="00E12E3D">
      <w:pPr>
        <w:pStyle w:val="NormalHanging"/>
      </w:pPr>
      <w:r w:rsidRPr="009344A1">
        <w:lastRenderedPageBreak/>
        <w:t>–</w:t>
      </w:r>
      <w:r w:rsidRPr="009344A1">
        <w:tab/>
        <w:t>uwzględniając swoją rezolucję z 22 listopada 2023 r. w sprawie propozycji Parlamentu Europejskiego dotyczących zmiany Traktatów</w:t>
      </w:r>
      <w:r w:rsidRPr="009344A1">
        <w:rPr>
          <w:rStyle w:val="FootnoteReference"/>
        </w:rPr>
        <w:footnoteReference w:customMarkFollows="1" w:id="7"/>
        <w:t>7</w:t>
      </w:r>
      <w:r w:rsidRPr="009344A1">
        <w:t>, w szczególności proponowane zmiany dotyczące zasady pomocniczości i Protokołu nr 2,</w:t>
      </w:r>
    </w:p>
    <w:p w14:paraId="67A82E56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 xml:space="preserve">uwzględniając sprawozdanie Maria </w:t>
      </w:r>
      <w:proofErr w:type="spellStart"/>
      <w:r w:rsidRPr="009344A1">
        <w:t>Draghiego</w:t>
      </w:r>
      <w:proofErr w:type="spellEnd"/>
      <w:r w:rsidRPr="009344A1">
        <w:t xml:space="preserve"> z 9 września 2024 r. na temat przyszłości europejskiej konkurencyjności</w:t>
      </w:r>
      <w:r w:rsidRPr="009344A1">
        <w:rPr>
          <w:rStyle w:val="FootnoteReference"/>
        </w:rPr>
        <w:footnoteReference w:customMarkFollows="1" w:id="8"/>
        <w:t>8</w:t>
      </w:r>
      <w:r w:rsidRPr="009344A1">
        <w:t xml:space="preserve"> (sprawozdanie </w:t>
      </w:r>
      <w:proofErr w:type="spellStart"/>
      <w:r w:rsidRPr="009344A1">
        <w:t>Draghiego</w:t>
      </w:r>
      <w:proofErr w:type="spellEnd"/>
      <w:r w:rsidRPr="009344A1">
        <w:t>),</w:t>
      </w:r>
    </w:p>
    <w:p w14:paraId="3A067CBF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sprawozdania roczne Komisji w sprawie stosowania zasad pomocniczości i proporcjonalności oraz stosunków z parlamentami narodowymi,</w:t>
      </w:r>
    </w:p>
    <w:p w14:paraId="25EC8D9F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sprawozdanie końcowe grupy zadaniowej ds. zasad pomocniczości, proporcjonalności i większej efektywności przy mniejszym nakładzie pracy z 10 lipca 2018 r.</w:t>
      </w:r>
      <w:r w:rsidRPr="009344A1">
        <w:rPr>
          <w:rStyle w:val="FootnoteReference"/>
        </w:rPr>
        <w:footnoteReference w:customMarkFollows="1" w:id="9"/>
        <w:t>9</w:t>
      </w:r>
      <w:r w:rsidRPr="009344A1">
        <w:t>,</w:t>
      </w:r>
    </w:p>
    <w:p w14:paraId="7F01C541" w14:textId="5F5CF836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komunikat Komisji z 23 października 2018 r. pt. „Zasady pomocniczości i proporcjonalności: wzmacnianie ich roli w kształtowaniu polityki UE” (</w:t>
      </w:r>
      <w:proofErr w:type="gramStart"/>
      <w:r w:rsidRPr="009344A1">
        <w:t>COM(</w:t>
      </w:r>
      <w:proofErr w:type="gramEnd"/>
      <w:r w:rsidRPr="009344A1">
        <w:t>2018)</w:t>
      </w:r>
      <w:r w:rsidR="009F04E8">
        <w:t>0</w:t>
      </w:r>
      <w:r w:rsidRPr="009344A1">
        <w:t>703),</w:t>
      </w:r>
    </w:p>
    <w:p w14:paraId="01F94D2C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art. 55 Regulaminu,</w:t>
      </w:r>
    </w:p>
    <w:p w14:paraId="54123C84" w14:textId="77777777" w:rsidR="00E12E3D" w:rsidRPr="009344A1" w:rsidRDefault="00E12E3D" w:rsidP="00E12E3D">
      <w:pPr>
        <w:pStyle w:val="NormalHanging"/>
      </w:pPr>
      <w:r w:rsidRPr="009344A1">
        <w:t>–</w:t>
      </w:r>
      <w:r w:rsidRPr="009344A1">
        <w:tab/>
        <w:t>uwzględniając sprawozdanie Komisji Spraw Konstytucyjnych (A10-0224/2025),</w:t>
      </w:r>
    </w:p>
    <w:p w14:paraId="5AA88240" w14:textId="77777777" w:rsidR="00E12E3D" w:rsidRPr="009344A1" w:rsidRDefault="00E12E3D" w:rsidP="00E12E3D">
      <w:pPr>
        <w:pStyle w:val="NormalHanging"/>
      </w:pPr>
      <w:r w:rsidRPr="009344A1">
        <w:t>A.</w:t>
      </w:r>
      <w:r w:rsidRPr="009344A1">
        <w:tab/>
        <w:t>mając na uwadze, że zasada pomocniczości zapisana w art. 5 ust. 3 TUE gwarantuje, iż: „w dziedzinach, które nie należą do jej wyłącznej kompetencji, Unia podejmuje działania tylko wówczas i tylko w takim zakresie, w jakim cele zamierzonego działania nie mogą zostać osiągnięte w sposób wystarczający przez Państwa Członkowskie, zarówno na poziomie centralnym, jak i regionalnym oraz lokalnym, i jeśli ze względu na rozmiary lub skutki proponowanego działania możliwe jest lepsze ich osiągnięcie na poziomie Unii”; mając na uwadze, że zasada ta gwarantuje równowagę sił w UE; mając na uwadze, że zasada proporcjonalności, o której mowa w art. 5 ust. 4 TUE, stanowi, iż zakres i forma działania UE nie mogą wykraczać poza to, co jest konieczne do osiągnięcia celów Traktatów;</w:t>
      </w:r>
    </w:p>
    <w:p w14:paraId="0D99AA1E" w14:textId="77777777" w:rsidR="00E12E3D" w:rsidRPr="009344A1" w:rsidRDefault="00E12E3D" w:rsidP="00E12E3D">
      <w:pPr>
        <w:pStyle w:val="NormalHanging"/>
      </w:pPr>
      <w:r w:rsidRPr="009344A1">
        <w:t>B.</w:t>
      </w:r>
      <w:r w:rsidRPr="009344A1">
        <w:tab/>
        <w:t>mając na uwadze, że stosowanie zasad pomocniczości i proporcjonalności jest konieczne do zapewnienia legitymacji demokratycznej, wpływu regulacyjnego i skuteczności regulacyjnej UE; mając na uwadze, że konieczne jest, aby UE szanowała różnorodność państw członkowskich i unikała niepotrzebnych obciążeń regulacyjnych dla państw członkowskich i podmiotów prawnych;</w:t>
      </w:r>
    </w:p>
    <w:p w14:paraId="5B2004B5" w14:textId="77777777" w:rsidR="00E12E3D" w:rsidRPr="009344A1" w:rsidRDefault="00E12E3D" w:rsidP="00E12E3D">
      <w:pPr>
        <w:pStyle w:val="NormalHanging"/>
      </w:pPr>
      <w:r w:rsidRPr="009344A1">
        <w:t>C.</w:t>
      </w:r>
      <w:r w:rsidRPr="009344A1">
        <w:tab/>
        <w:t>mając na uwadze, że w art. 2–6 TFUE wyraźnie określono wyłączne, dzielone i uzupełniające kompetencje UE;</w:t>
      </w:r>
    </w:p>
    <w:p w14:paraId="76617C5A" w14:textId="77777777" w:rsidR="00E12E3D" w:rsidRPr="009344A1" w:rsidRDefault="00E12E3D" w:rsidP="00E12E3D">
      <w:pPr>
        <w:pStyle w:val="NormalHanging"/>
      </w:pPr>
      <w:r w:rsidRPr="009344A1">
        <w:lastRenderedPageBreak/>
        <w:t>D.</w:t>
      </w:r>
      <w:r w:rsidRPr="009344A1">
        <w:tab/>
        <w:t xml:space="preserve">mając na uwadze, że aby zapewnić równowagę między rosnącymi uprawnieniami Unii Europejskiej a suwerennością państw członkowskich w traktacie z </w:t>
      </w:r>
      <w:proofErr w:type="spellStart"/>
      <w:r w:rsidRPr="009344A1">
        <w:t>Maastricht</w:t>
      </w:r>
      <w:proofErr w:type="spellEnd"/>
      <w:r w:rsidRPr="009344A1">
        <w:t xml:space="preserve"> po raz pierwszy wskazano wyraźnie zasady pomocniczości i proporcjonalności; mając na uwadze, że rolę parlamentów narodowych wzmocnił protokół nr 2 do Traktatów, dodany traktatem lizbońskim, wraz z wprowadzeniem systemu wczesnego ostrzegania;</w:t>
      </w:r>
    </w:p>
    <w:p w14:paraId="14EC786B" w14:textId="77777777" w:rsidR="00E12E3D" w:rsidRPr="009344A1" w:rsidRDefault="00E12E3D" w:rsidP="00E12E3D">
      <w:pPr>
        <w:pStyle w:val="NormalHanging"/>
      </w:pPr>
      <w:r w:rsidRPr="009344A1">
        <w:t>E.</w:t>
      </w:r>
      <w:r w:rsidRPr="009344A1">
        <w:tab/>
        <w:t>mając na uwadze, że od czasu wejścia w życie Traktatu z Lizbony w 2009 r. złożono 577 analiz zgodności z zasadą pomocniczości i uzasadnionych opinii parlamentów narodowych, 3803 odpowiedzi od parlamentów narodowych, trzy żółte kartki i zero kartek pomarańczowych;</w:t>
      </w:r>
    </w:p>
    <w:p w14:paraId="4ED44DC1" w14:textId="77777777" w:rsidR="00E12E3D" w:rsidRPr="009344A1" w:rsidRDefault="00E12E3D" w:rsidP="00E12E3D">
      <w:pPr>
        <w:pStyle w:val="NormalHanging"/>
      </w:pPr>
      <w:r w:rsidRPr="009344A1">
        <w:t>F.</w:t>
      </w:r>
      <w:r w:rsidRPr="009344A1">
        <w:tab/>
        <w:t>mając na uwadze, że zgodnie z zasadami zapisanymi w Traktacie z Lizbony, w szczególności z Protokołem nr 2 w sprawie stosowania zasad pomocniczości i proporcjonalności, cały unijny system instytucjonalny musi konsekwentnie i nieustannie dążyć do zapewnienia aktywnego zaangażowania parlamentów narodowych w europejski proces decyzyjny; mając na uwadze, że należy wzmocnić mechanizmy „żółtej kartki” i „pomarańczowej kartki” przewidziane w Traktacie z Lizbony oraz rozważyć dodatkowe zwiększenie ich skuteczności;</w:t>
      </w:r>
    </w:p>
    <w:p w14:paraId="41B7B763" w14:textId="77777777" w:rsidR="00E12E3D" w:rsidRPr="009344A1" w:rsidRDefault="00E12E3D" w:rsidP="00E12E3D">
      <w:pPr>
        <w:pStyle w:val="NormalHanging"/>
      </w:pPr>
      <w:r w:rsidRPr="009344A1">
        <w:t>G.</w:t>
      </w:r>
      <w:r w:rsidRPr="009344A1">
        <w:tab/>
        <w:t>mając na uwadze, że tylko pierwsza z trzech procedur „żółtej kartki” doprowadziła do wycofania wniosku w sprawie rozporządzenia</w:t>
      </w:r>
      <w:r w:rsidRPr="009344A1">
        <w:rPr>
          <w:rStyle w:val="FootnoteReference"/>
        </w:rPr>
        <w:footnoteReference w:customMarkFollows="1" w:id="10"/>
        <w:t>10</w:t>
      </w:r>
      <w:r w:rsidRPr="009344A1">
        <w:t>, druga doprowadziła do zastąpienia jednomyślnego wdrożenia wzmocnioną współpracą między 20 państwami członkowskimi</w:t>
      </w:r>
      <w:r w:rsidRPr="009344A1">
        <w:rPr>
          <w:rStyle w:val="FootnoteReference"/>
        </w:rPr>
        <w:footnoteReference w:customMarkFollows="1" w:id="11"/>
        <w:t>11</w:t>
      </w:r>
      <w:r w:rsidRPr="009344A1">
        <w:t>, a trzecia procedura nie przyniosła żadnych skutków, choć 14 uzasadnionych opinii zostało przedłożonych przez parlamenty w 11 państwach członkowskich</w:t>
      </w:r>
      <w:r w:rsidRPr="009344A1">
        <w:rPr>
          <w:rStyle w:val="FootnoteReference"/>
        </w:rPr>
        <w:footnoteReference w:customMarkFollows="1" w:id="12"/>
        <w:t>12</w:t>
      </w:r>
      <w:r w:rsidRPr="009344A1">
        <w:t>;</w:t>
      </w:r>
    </w:p>
    <w:p w14:paraId="40031560" w14:textId="77777777" w:rsidR="00E12E3D" w:rsidRPr="009344A1" w:rsidRDefault="00E12E3D" w:rsidP="00E12E3D">
      <w:pPr>
        <w:pStyle w:val="NormalHanging"/>
      </w:pPr>
      <w:r w:rsidRPr="009344A1">
        <w:t>H.</w:t>
      </w:r>
      <w:r w:rsidRPr="009344A1">
        <w:tab/>
        <w:t>mając na uwadze, że system wczesnego ostrzegania doprowadził do wszczęcia jedynie dwóch postępowań przed Trybunałem Sprawiedliwości Unii Europejskiej (TSUE) służących ocenie prawidłowego stosowania zasad pomocniczości i proporcjonalności; mając na uwadze, że w obu sprawach TSUE orzekł, iż nie doszło do naruszenia zasad pomocniczości i proporcjonalności;</w:t>
      </w:r>
    </w:p>
    <w:p w14:paraId="5157D77F" w14:textId="77777777" w:rsidR="00E12E3D" w:rsidRPr="009344A1" w:rsidRDefault="00E12E3D" w:rsidP="00E12E3D">
      <w:pPr>
        <w:pStyle w:val="NormalHanging"/>
      </w:pPr>
      <w:r w:rsidRPr="009344A1">
        <w:t>I.</w:t>
      </w:r>
      <w:r w:rsidRPr="009344A1">
        <w:tab/>
        <w:t xml:space="preserve">mając na uwadze, że ścisłe przestrzeganie przez Komisję i </w:t>
      </w:r>
      <w:proofErr w:type="spellStart"/>
      <w:r w:rsidRPr="009344A1">
        <w:t>współprawodawców</w:t>
      </w:r>
      <w:proofErr w:type="spellEnd"/>
      <w:r w:rsidRPr="009344A1">
        <w:t xml:space="preserve"> zasad pomocniczości i proporcjonalności może pomóc w zmniejszeniu obciążeń regulacyjnych i przyczyni się do zwiększenia efektywności procesu stanowienia prawa;</w:t>
      </w:r>
    </w:p>
    <w:p w14:paraId="31F2F1E3" w14:textId="77777777" w:rsidR="00E12E3D" w:rsidRPr="009344A1" w:rsidRDefault="00E12E3D" w:rsidP="00E12E3D">
      <w:pPr>
        <w:pStyle w:val="NormalHanging"/>
      </w:pPr>
      <w:r w:rsidRPr="009344A1">
        <w:t>J.</w:t>
      </w:r>
      <w:r w:rsidRPr="009344A1">
        <w:tab/>
        <w:t>mając na uwadze, że zgodnie z ugruntowaną praktyką poszczególne rotacyjne prezydencje Rady Unii Europejskiej mają swój wymiar parlamentarny, w którym parlamenty narodowe uczestniczą wspólnie z Parlamentem Europejskim w licznych konferencjach międzyparlamentarnych poświęconych różnorodnym zagadnieniom;</w:t>
      </w:r>
    </w:p>
    <w:p w14:paraId="503667A2" w14:textId="77777777" w:rsidR="00E12E3D" w:rsidRPr="009344A1" w:rsidRDefault="00E12E3D" w:rsidP="00E12E3D">
      <w:pPr>
        <w:pStyle w:val="NormalHanging"/>
      </w:pPr>
      <w:r w:rsidRPr="009344A1">
        <w:lastRenderedPageBreak/>
        <w:t>K.</w:t>
      </w:r>
      <w:r w:rsidRPr="009344A1">
        <w:tab/>
        <w:t>mając na uwadze, że parlamenty narodowe uczestniczą w procesie legislacyjnym UE zarówno na podstawie szczegółowych postanowień protokołu nr 2 do TFUE, jak i przez sprawowanie przez nie kontroli demokratycznej nad rządami krajowymi, które reprezentują interesy państw członkowskich w Radzie;</w:t>
      </w:r>
    </w:p>
    <w:p w14:paraId="52328758" w14:textId="77777777" w:rsidR="00E12E3D" w:rsidRPr="009344A1" w:rsidRDefault="00E12E3D" w:rsidP="00E12E3D">
      <w:pPr>
        <w:pStyle w:val="NormalHanging"/>
      </w:pPr>
      <w:r w:rsidRPr="009344A1">
        <w:t>L.</w:t>
      </w:r>
      <w:r w:rsidRPr="009344A1">
        <w:tab/>
        <w:t>mając na uwadze, że art. 122 TFUE został przewidziany do stosowania wyłącznie w sytuacjach wyjątkowych i kryzysowych i nie powinien być nadużywany do obchodzenia innych procedur przewidzianych w Traktatach, zwłaszcza że wykluczałoby to udział PE, a tym samym mogło osłabiać zaufanie publiczne;</w:t>
      </w:r>
    </w:p>
    <w:p w14:paraId="777F1E78" w14:textId="77777777" w:rsidR="00E12E3D" w:rsidRPr="009344A1" w:rsidRDefault="00E12E3D" w:rsidP="00E12E3D">
      <w:pPr>
        <w:pStyle w:val="NormalHanging"/>
      </w:pPr>
      <w:r w:rsidRPr="009344A1">
        <w:t>M.</w:t>
      </w:r>
      <w:r w:rsidRPr="009344A1">
        <w:tab/>
        <w:t>mając na uwadze, że kontrolę nad Komisją, jako organem wykonawczym UE, powinny sprawować zarówno Parlament Europejski, jak i parlamenty narodowe;</w:t>
      </w:r>
    </w:p>
    <w:p w14:paraId="62C0EA30" w14:textId="77777777" w:rsidR="00E12E3D" w:rsidRPr="009344A1" w:rsidRDefault="00E12E3D" w:rsidP="00E12E3D">
      <w:pPr>
        <w:pStyle w:val="NormalHanging12a"/>
      </w:pPr>
      <w:r w:rsidRPr="009344A1">
        <w:t>1.</w:t>
      </w:r>
      <w:r w:rsidRPr="009344A1">
        <w:tab/>
        <w:t>potwierdza fundamentalne znaczenie zasad pomocniczości i proporcjonalności dla ram prawnych i instytucjonalnych UE; przypomina, że zasady pomocniczości i proporcjonalności powinny być zasadniczymi elementami podejścia Komisji do lepszego stanowienia prawa, które to podejście opiera się na trzech podstawowych procesach, tj. na ewaluacji, na ocenie skutków i na konsultacji z zainteresowanymi stronami; przypomina, że zasady te mają zasadnicze znaczenie dla realizacji podziału władz i zagwarantowania, że działania UE są konieczne i odpowiednie;</w:t>
      </w:r>
    </w:p>
    <w:p w14:paraId="1DE51260" w14:textId="77777777" w:rsidR="00E12E3D" w:rsidRPr="009344A1" w:rsidRDefault="00E12E3D" w:rsidP="00E12E3D">
      <w:pPr>
        <w:pStyle w:val="NormalHanging12a"/>
      </w:pPr>
      <w:r w:rsidRPr="009344A1">
        <w:t>2.</w:t>
      </w:r>
      <w:r w:rsidRPr="009344A1">
        <w:tab/>
        <w:t>podkreśla, że koncepcja zasady pomocniczości polega na zapewnieniu, iż decyzje są podejmowane jak najbliżej obywateli, co gwarantuje zdolność państw członkowskich do podejmowania decyzji i działań, a interwencja UE jest dozwolona wtedy, gdy cele działania nie mogą zostać osiągnięte w sposób wystarczający przez państwa członkowskie, natomiast możliwe jest ich lepsze osiągnięcie na poziomie UE, ze względu na rozmiary i skutki proponowanego działania, przy czym głównym celem jest maksymalizacja skuteczności i zbliżenie do obywateli;</w:t>
      </w:r>
    </w:p>
    <w:p w14:paraId="77FEA5AB" w14:textId="77777777" w:rsidR="00E12E3D" w:rsidRPr="009344A1" w:rsidRDefault="00E12E3D" w:rsidP="00E12E3D">
      <w:pPr>
        <w:pStyle w:val="NormalHanging12a"/>
      </w:pPr>
      <w:r w:rsidRPr="009344A1">
        <w:t>3.</w:t>
      </w:r>
      <w:r w:rsidRPr="009344A1">
        <w:tab/>
        <w:t>przypomina, że zasady pomocniczości i proporcjonalności wymagają, aby środki przyjmowane przez instytucje UE nie wykraczały poza to, co jest odpowiednie i konieczne do osiągnięcia uzasadnionych celów prawodawstwa UE;</w:t>
      </w:r>
    </w:p>
    <w:p w14:paraId="7F26852E" w14:textId="77777777" w:rsidR="00E12E3D" w:rsidRPr="009344A1" w:rsidRDefault="00E12E3D" w:rsidP="00E12E3D">
      <w:pPr>
        <w:pStyle w:val="NormalHanging12a"/>
      </w:pPr>
      <w:r w:rsidRPr="009344A1">
        <w:t>4.</w:t>
      </w:r>
      <w:r w:rsidRPr="009344A1">
        <w:tab/>
        <w:t>podkreśla, że koncepcja „aktywnej pomocniczości” opracowana przez grupę zadaniową ds. zasad pomocniczości, proporcjonalności i „większej efektywności przy mniejszym nakładzie pracy” („grupa zadaniową”) opiera się na konstruktywnej współpracy między wszystkimi szczeblami sprawowania rządów na wszystkich etapach unijnego cyklu legislacyjnego z korzyścią dla obywateli UE;</w:t>
      </w:r>
    </w:p>
    <w:p w14:paraId="03D043DB" w14:textId="77777777" w:rsidR="00E12E3D" w:rsidRPr="009344A1" w:rsidRDefault="00E12E3D" w:rsidP="00E12E3D">
      <w:pPr>
        <w:pStyle w:val="Normal12a"/>
      </w:pPr>
      <w:r w:rsidRPr="009344A1">
        <w:rPr>
          <w:b/>
          <w:i/>
        </w:rPr>
        <w:t>Rola Komisji</w:t>
      </w:r>
    </w:p>
    <w:p w14:paraId="67C7CBB3" w14:textId="77777777" w:rsidR="00E12E3D" w:rsidRPr="009344A1" w:rsidRDefault="00E12E3D" w:rsidP="00E12E3D">
      <w:pPr>
        <w:pStyle w:val="NormalHanging12a"/>
      </w:pPr>
      <w:r w:rsidRPr="009344A1">
        <w:t>5.</w:t>
      </w:r>
      <w:r w:rsidRPr="009344A1">
        <w:tab/>
        <w:t>wzywa Komisję do należytej staranności i rozwagi przy proponowaniu przepisów wchodzących w zakres kompetencji dzielonych; wzywa Komisję do jasnego i dokładnego definiowania podstawy prawnej działań UE, przy zapewnieniu pełnego poszanowania kompetencji państw członkowskich i odpowiedniego stosowania fundamentów prawnych; podkreśla, że cały unijny system instytucjonalny musi konsekwentnie i nieustannie dążyć do zapewnienia aktywnego zaangażowania parlamentów narodowych w europejski proces decyzyjny;</w:t>
      </w:r>
    </w:p>
    <w:p w14:paraId="76DE7322" w14:textId="77777777" w:rsidR="00E12E3D" w:rsidRPr="009344A1" w:rsidRDefault="00E12E3D" w:rsidP="00E12E3D">
      <w:pPr>
        <w:pStyle w:val="NormalHanging12a"/>
      </w:pPr>
      <w:r w:rsidRPr="009344A1">
        <w:t>6.</w:t>
      </w:r>
      <w:r w:rsidRPr="009344A1">
        <w:tab/>
        <w:t xml:space="preserve">z zaniepokojeniem odnotowuje, że Komisja wybrała art. 122 TFUE jako podstawę prawną przeznaczenia 800 mld EUR na Plan </w:t>
      </w:r>
      <w:proofErr w:type="spellStart"/>
      <w:r w:rsidRPr="009344A1">
        <w:t>ReArm</w:t>
      </w:r>
      <w:proofErr w:type="spellEnd"/>
      <w:r w:rsidRPr="009344A1">
        <w:t xml:space="preserve"> Europe/Gotowość 2030; wzywa </w:t>
      </w:r>
      <w:r w:rsidRPr="009344A1">
        <w:lastRenderedPageBreak/>
        <w:t>Komisję do ponownego rozważenia podstawy prawnej tej inicjatywy; apeluje do Komisji, aby na potrzeby przyszłych wniosków interpretowała art. 122 TFUE zgodnie z pierwotną koncepcją, jako rozwiązanie nadzwyczajne i służące zarządzaniu kryzysowemu, a także w duchu zasady pomocniczości;</w:t>
      </w:r>
    </w:p>
    <w:p w14:paraId="4EF3C8C6" w14:textId="77777777" w:rsidR="00E12E3D" w:rsidRPr="009344A1" w:rsidRDefault="00E12E3D" w:rsidP="00E12E3D">
      <w:pPr>
        <w:pStyle w:val="NormalHanging12a"/>
      </w:pPr>
      <w:r w:rsidRPr="009344A1">
        <w:t>7.</w:t>
      </w:r>
      <w:r w:rsidRPr="009344A1">
        <w:tab/>
        <w:t xml:space="preserve">podkreśla, że każda inicjatywa ustawodawcza Komisji wchodząca w zakres kompetencji dzielonych musi być ściśle powiązana z dogłębną oceną skutków ex </w:t>
      </w:r>
      <w:proofErr w:type="spellStart"/>
      <w:r w:rsidRPr="009344A1">
        <w:t>ante</w:t>
      </w:r>
      <w:proofErr w:type="spellEnd"/>
      <w:r w:rsidRPr="009344A1">
        <w:t>, wykazującą w sposób ilościowy, z uzasadnieniem, potrzebę działań i wybór instrumentów; domaga się, aby Komisja wyraźnie wykazywała za pomocą analizy porównawczej między państwami członkowskimi, że harmonizacja legislacyjna na szczeblu UE wnosi znaczną wartość dodaną i nie stanowi ukrytego rozszerzenia kompetencji; przypomina, że w komunikacie z 2018 r. Komisja ogłosiła, że zamierza włączyć tabelę oceny do wytycznych dotyczących lepszego stanowienia prawa i wykorzystywać ją w ocenach skutków, w ewaluacjach i w uzasadnieniach towarzyszących wnioskom ustawodawczym; ubolewa, że dotychczas nie zrealizowano tego w praktyce; w związku z tym z zadowoleniem odnotowuje tabelę zgodności z zasadą pomocniczości opracowaną przez Europejski Komitet Regionów i zachęca Komisję, aby wykorzystywała ją jako podstawę ocen zgodności z zasadą pomocniczości. podkreśla potrzebę bardziej rygorystycznej kontroli stosowania art. 122 i 352 TFUE jako podstawy prawnej i wzywa do intensywniejszych wcześniejszych konsultacji z parlamentami narodowymi i regionalnymi mającymi kompetencje ustawodawcze przed przedstawieniem wniosków ustawodawczych na szczeblu UE;</w:t>
      </w:r>
    </w:p>
    <w:p w14:paraId="796A43A5" w14:textId="77777777" w:rsidR="00E12E3D" w:rsidRPr="009344A1" w:rsidRDefault="00E12E3D" w:rsidP="00E12E3D">
      <w:pPr>
        <w:pStyle w:val="NormalHanging12a"/>
      </w:pPr>
      <w:r w:rsidRPr="009344A1">
        <w:t>8.</w:t>
      </w:r>
      <w:r w:rsidRPr="009344A1">
        <w:tab/>
        <w:t>odnotowuje obawy wyrażone jednogłośnie przez Komisję Spraw Europejskich</w:t>
      </w:r>
      <w:r w:rsidRPr="009344A1">
        <w:rPr>
          <w:rStyle w:val="FootnoteReference"/>
        </w:rPr>
        <w:footnoteReference w:customMarkFollows="1" w:id="13"/>
        <w:t>13</w:t>
      </w:r>
      <w:r w:rsidRPr="009344A1">
        <w:t xml:space="preserve"> Senatu Francji dotyczące słabości podstawy prawnej niektórych inicjatyw ustawodawczych UE, rosnącej tendencji do faworyzowania rozporządzeń w stosunku do dyrektyw oraz nadmiernego stosowania aktów wykonawczych lub delegowanych;</w:t>
      </w:r>
    </w:p>
    <w:p w14:paraId="7CB20A79" w14:textId="77777777" w:rsidR="00E12E3D" w:rsidRPr="009344A1" w:rsidRDefault="00E12E3D" w:rsidP="00E12E3D">
      <w:pPr>
        <w:pStyle w:val="NormalHanging12a"/>
      </w:pPr>
      <w:r w:rsidRPr="009344A1">
        <w:t>9.</w:t>
      </w:r>
      <w:r w:rsidRPr="009344A1">
        <w:tab/>
        <w:t>przypomina, że art. 5 protokołu nr 2 do Traktatów zobowiązuje Komisję do przedstawienia szczegółowej oceny zgodności jej aktów z zasadami pomocniczości i proporcjonalności; wzywa Komisję aby, wspólnie z Parlamentem Europejskim prowadziła bardziej systematyczną analizę pomocniczości i proporcjonalności przy opracowywaniu wniosków ustawodawczych; przypomina, że kontrole zgodności z zasadą pomocniczości mają zasadnicze znaczenie dla dobrego sprawowania władzy i nie mogą być jedynie czystą formalnością; apeluje o większą przejrzystość przy stosowaniu tych zasad, przy czym każdy wniosek ustawodawczy powinien zawierać szczegółowe uzasadnienie interwencji UE, określenie wartości dodanej działania i wykazanie proporcjonalności środków w stosunku do celów;</w:t>
      </w:r>
    </w:p>
    <w:p w14:paraId="5548B5C6" w14:textId="77777777" w:rsidR="00E12E3D" w:rsidRPr="009344A1" w:rsidRDefault="00E12E3D" w:rsidP="00E12E3D">
      <w:pPr>
        <w:pStyle w:val="NormalHanging12a"/>
      </w:pPr>
      <w:r w:rsidRPr="009344A1">
        <w:t>10.</w:t>
      </w:r>
      <w:r w:rsidRPr="009344A1">
        <w:tab/>
        <w:t>zauważa, że odpowiedzi Komisji na uzasadnione opinie powinny być starannie przemyślane, nawet gdy dana opinia nie jest poparta przez dużą liczbę parlamentów narodowych; podkreśla wagę specyfiki poszczególnych państw członkowskich, uwzględniając różnorodność tradycji prawnych i różnic regionalnych w UE; wyraża zaniepokojenie faktem, że niewiele wskazuje na to, aby w wyniku uzasadnionych opinii składanych przez parlamenty narodowe Komisja znacząco zmieniała swoje wnioski;</w:t>
      </w:r>
    </w:p>
    <w:p w14:paraId="61724378" w14:textId="77777777" w:rsidR="00E12E3D" w:rsidRPr="009344A1" w:rsidRDefault="00E12E3D" w:rsidP="00E12E3D">
      <w:pPr>
        <w:pStyle w:val="NormalHanging12a"/>
      </w:pPr>
      <w:r w:rsidRPr="009344A1">
        <w:t>11.</w:t>
      </w:r>
      <w:r w:rsidRPr="009344A1">
        <w:tab/>
        <w:t xml:space="preserve">wskazuje, że wdrażanie nowego prawodawstwa UE może wiązać się z bardzo wysokimi kosztami dla gmin, szczególnie na obszarach oddalonych lub słabo zaludnionych; </w:t>
      </w:r>
      <w:r w:rsidRPr="009344A1">
        <w:lastRenderedPageBreak/>
        <w:t>uważa, że gminy należy wyposażyć w wystarczające środki finansowe na potrzeby wdrażania prawa UE, tak by umożliwić im stosowanie nowych unijnych norm legislacyjnych; wskazuje, że te środki finansowe powinny odpowiadać kosztom wdrażania ponoszonym przez gminy;</w:t>
      </w:r>
    </w:p>
    <w:p w14:paraId="77934AED" w14:textId="77777777" w:rsidR="00E12E3D" w:rsidRPr="009344A1" w:rsidRDefault="00E12E3D" w:rsidP="00E12E3D">
      <w:pPr>
        <w:pStyle w:val="NormalHanging12a"/>
      </w:pPr>
      <w:r w:rsidRPr="009344A1">
        <w:t>12.</w:t>
      </w:r>
      <w:r w:rsidRPr="009344A1">
        <w:tab/>
        <w:t xml:space="preserve">zwraca uwagę, że parlamenty narodowe rzadko korzystają z procedury „żółtej” lub „pomarańczowej kartki”; podkreśla, że nie wynika to z braku zainteresowania ze strony parlamentów narodowych; zauważa, że istnieje szereg możliwych wyjaśnień dotyczących ograniczonego stosowania procedury żółtej kartki, na przykład, brak przejrzystości procesu stanowienia prawa UE, brak znajomości procesu legislacyjnego UE oraz ograniczenia czasowe; uważa, że parlamenty, które nie korzystają z tego instrumentu, utrudniają osiągnięcie wymaganego progu; uznaje, że obecna procedura jest zbyt uciążliwa i </w:t>
      </w:r>
      <w:proofErr w:type="spellStart"/>
      <w:r w:rsidRPr="009344A1">
        <w:t>wyaga</w:t>
      </w:r>
      <w:proofErr w:type="spellEnd"/>
      <w:r w:rsidRPr="009344A1">
        <w:t xml:space="preserve"> udoskonalenia; przypomina w tym kontekście o swoich wcześniejszych propozycjach, by przedłużyć termin procedury „żółtej kartki” do 12 tygodni i podjąć szerszą refleksję nad możliwością udoskonalenia mechanizmu wczesnego ostrzegania, tak by stał się narzędziem umożliwiającym parlamentom narodowym kształtowanie polityki UE; przypomina w związku z tym swoją niedawną rezolucję w sprawie stosowania postanowień Traktatu dotyczących parlamentów narodowych, w której wezwał państwa członkowskie do zapewnienia parlamentom narodowym zasobów wystarczających do wypełniania konstytucyjnej roli nadzorczej oraz zalecił, aby parlamenty narodowe efektywniej korzystały z platformy IPEX do międzyparlamentarnej wymiany informacji w sprawach UE i angażowały parlamenty regionalne we wdrażanie mechanizmu wczesnego ostrzegania;</w:t>
      </w:r>
    </w:p>
    <w:p w14:paraId="68AE5B5C" w14:textId="77777777" w:rsidR="00E12E3D" w:rsidRPr="009344A1" w:rsidRDefault="00E12E3D" w:rsidP="00E12E3D">
      <w:pPr>
        <w:pStyle w:val="NormalHanging12a"/>
      </w:pPr>
      <w:r w:rsidRPr="009344A1">
        <w:t>13.</w:t>
      </w:r>
      <w:r w:rsidRPr="009344A1">
        <w:tab/>
        <w:t>z zadowoleniem przyjmuje opracowanie nieformalnych procedur służących poprawie koordynacji między Komisją, Parlamentem Europejskim i parlamentami narodowymi, takich jak dialog polityczny czy dialog ze sprawozdawcami, oraz strony internetowej zatytułowanej „Opinie parlamentów narodowych i odpowiedzi Komisji”</w:t>
      </w:r>
      <w:r w:rsidRPr="009344A1">
        <w:rPr>
          <w:rStyle w:val="FootnoteReference"/>
        </w:rPr>
        <w:footnoteReference w:customMarkFollows="1" w:id="14"/>
        <w:t>14</w:t>
      </w:r>
      <w:r w:rsidRPr="009344A1">
        <w:t>; wzywa Komisję do zbadania możliwości dalszej poprawy konsultacji z parlamentami narodowymi w kwestiach związanych z pomocniczością, na przykład poprzez ustanowienie „jednolitego centrum ds. pomocniczości” w oparciu o platformę IPEX, gdzie gromadzone i udostępniane bez ograniczeń byłyby uzasadnione opinie, a także, np., opinie Europejskiego Komitetu Regionów, odpowiedzi Komisji, rezolucje Parlamentu Europejskiego itp.; uważa, że jednolite centrum ds. pomocniczości byłby odpowiednim miejscem, w którym państwa członkowskie mogłyby zwrócić się do Komisji o zaproponowanie wsparcia lub koordynacji prawodawstwa w obszarze podlegającym wyłącznej kompetencji państw członkowskich;</w:t>
      </w:r>
    </w:p>
    <w:p w14:paraId="03F3BC9B" w14:textId="77777777" w:rsidR="00E12E3D" w:rsidRPr="009344A1" w:rsidRDefault="00E12E3D" w:rsidP="00E12E3D">
      <w:pPr>
        <w:pStyle w:val="NormalHanging12a"/>
      </w:pPr>
      <w:r w:rsidRPr="009344A1">
        <w:t>14.</w:t>
      </w:r>
      <w:r w:rsidRPr="009344A1">
        <w:tab/>
        <w:t xml:space="preserve">z zadowoleniem przyjmuje niedawne wysiłki Komisji na rzecz rozszerzenia i udoskonalenia tabeli zgodności z zasadą pomocniczości w ramach oceny ex </w:t>
      </w:r>
      <w:proofErr w:type="spellStart"/>
      <w:r w:rsidRPr="009344A1">
        <w:t>ante</w:t>
      </w:r>
      <w:proofErr w:type="spellEnd"/>
      <w:r w:rsidRPr="009344A1">
        <w:t xml:space="preserve"> skutków prawodawstwa UE za pomocą zestawu narzędzi służących lepszemu stanowieniu prawa; wzywa Komisję do jeszcze większego włączenia przeglądu zasady pomocniczości do głównego nurtu cyklu polityki, m.in. poprzez rozszerzenie oceny pomocniczości po negocjacjach międzyinstytucjonalnych, jeżeli wymagają tego wynikające z nich zmiany;</w:t>
      </w:r>
    </w:p>
    <w:p w14:paraId="3897342A" w14:textId="77777777" w:rsidR="00E12E3D" w:rsidRPr="009344A1" w:rsidRDefault="00E12E3D" w:rsidP="00E12E3D">
      <w:pPr>
        <w:pStyle w:val="NormalHanging12a"/>
      </w:pPr>
      <w:r w:rsidRPr="009344A1">
        <w:t>15.</w:t>
      </w:r>
      <w:r w:rsidRPr="009344A1">
        <w:tab/>
        <w:t xml:space="preserve">odnotowuje obawy dotyczące współpracy Komisji z parlamentami narodowymi oraz fakt, że współpraca ta ma ograniczony zakres i odbywa się na zbyt późnym etapie procesu legislacyjnego, co z kolei ogranicza parlamentom narodowym możliwość </w:t>
      </w:r>
      <w:r w:rsidRPr="009344A1">
        <w:lastRenderedPageBreak/>
        <w:t>wywierania wpływu na wnioski ustawodawcze; wzywa Komisję, aby o działania zwracała się do parlamentów narodowych na wcześniejszym etapie, w szczególności podczas konsultacji;</w:t>
      </w:r>
    </w:p>
    <w:p w14:paraId="1BB90F65" w14:textId="77777777" w:rsidR="00E12E3D" w:rsidRPr="009344A1" w:rsidRDefault="00E12E3D" w:rsidP="00E12E3D">
      <w:pPr>
        <w:pStyle w:val="NormalHanging12a"/>
      </w:pPr>
      <w:r w:rsidRPr="009344A1">
        <w:t>16.</w:t>
      </w:r>
      <w:r w:rsidRPr="009344A1">
        <w:tab/>
        <w:t>uważa, że formalny i nieformalny dialog międzyparlamentarny na wcześniejszym etapie procesu stanowienia prawa ma kluczowe znaczenie dla prawidłowej transpozycji zasady pomocniczości; zauważa, że mógłby on przybrać formę comiesięcznych lub kwartalnych spotkań między posłami do Parlamentu Europejskiego a posłami do parlamentów narodowych w duchu art. 9 protokołu nr 1;</w:t>
      </w:r>
    </w:p>
    <w:p w14:paraId="25904AE4" w14:textId="77777777" w:rsidR="00E12E3D" w:rsidRPr="009344A1" w:rsidRDefault="00E12E3D" w:rsidP="00E12E3D">
      <w:pPr>
        <w:pStyle w:val="NormalHanging12a"/>
      </w:pPr>
      <w:r w:rsidRPr="009344A1">
        <w:t>17.</w:t>
      </w:r>
      <w:r w:rsidRPr="009344A1">
        <w:tab/>
        <w:t>wzywa Komisję, aby zawsze uważnie analizowała, czy ściślejsza koordynacja z władzami krajowymi byłaby w określonych obszarach lepszym rozwiązaniem niż tworzenie nowych agencji ponadnarodowych;</w:t>
      </w:r>
    </w:p>
    <w:p w14:paraId="2B95E552" w14:textId="77777777" w:rsidR="00E12E3D" w:rsidRPr="009344A1" w:rsidRDefault="00E12E3D" w:rsidP="00E12E3D">
      <w:pPr>
        <w:pStyle w:val="NormalHanging12a"/>
      </w:pPr>
      <w:r w:rsidRPr="009344A1">
        <w:t>18.</w:t>
      </w:r>
      <w:r w:rsidRPr="009344A1">
        <w:tab/>
        <w:t>podkreśla kluczową rolę parlamentów, które stanowią jądro demokracji, oraz potrzebę poszanowania jasnego podziału kompetencji między poszczególne szczeble europejskiej demokracji liberalnej, tj. szczebel lokalny, regionalny, krajowy i europejski, zgodnie z zasadą pomocniczości, jak określono w art. 5 TUE, z myślą o zapewnieniu demokratycznej legitymizacji i skutecznego procesu decyzyjnego oraz o zwiększeniu zaufania i współpracy na różnych szczeblach między parlamentarni;</w:t>
      </w:r>
    </w:p>
    <w:p w14:paraId="308B421F" w14:textId="77777777" w:rsidR="00E12E3D" w:rsidRPr="009344A1" w:rsidRDefault="00E12E3D" w:rsidP="00E12E3D">
      <w:pPr>
        <w:pStyle w:val="NormalHanging12a"/>
      </w:pPr>
      <w:r w:rsidRPr="009344A1">
        <w:t>19.</w:t>
      </w:r>
      <w:r w:rsidRPr="009344A1">
        <w:tab/>
        <w:t>wzywa Komisję, aby w większym stopniu uwzględniała opinie Europejskiego Komitetu Regionów wyrażane za pośrednictwem Sieci Monitorującej Stosowanie Zasady Pomocniczości utworzonej w celu ułatwienia wymiany informacji między organami regionalnymi i lokalnymi a UE na temat różnych wniosków ustawodawczych, które po przyjęciu będą miały bezpośredni wpływ na te organy i na dziedziny polityki leżące w ich gestii;</w:t>
      </w:r>
    </w:p>
    <w:p w14:paraId="6974761A" w14:textId="77777777" w:rsidR="00E12E3D" w:rsidRPr="009344A1" w:rsidRDefault="00E12E3D" w:rsidP="00E12E3D">
      <w:pPr>
        <w:pStyle w:val="Normal12a"/>
      </w:pPr>
      <w:r w:rsidRPr="009344A1">
        <w:rPr>
          <w:b/>
          <w:i/>
        </w:rPr>
        <w:t>Rola parlamentów narodowych</w:t>
      </w:r>
    </w:p>
    <w:p w14:paraId="33E3B14B" w14:textId="77777777" w:rsidR="00E12E3D" w:rsidRPr="009344A1" w:rsidRDefault="00E12E3D" w:rsidP="00E12E3D">
      <w:pPr>
        <w:pStyle w:val="NormalHanging12a"/>
      </w:pPr>
      <w:r w:rsidRPr="009344A1">
        <w:t>20.</w:t>
      </w:r>
      <w:r w:rsidRPr="009344A1">
        <w:tab/>
        <w:t>podkreśla, że parlamenty narodowe odgrywają kluczową rolę w przestrzeganiu przez UE zasady pomocniczości oraz że proces legislacyjny umocni ważność i legitymację demokratyczną UE i jej inicjatyw ustawodawczych; podkreśla potrzebę stałej kontroli prawodawstwa UE i aktywniejszego uczestnictwa parlamentów narodowych poprzez mechanizmy przewidziane w traktatach, w tym procedury „żółtej kartki” i „pomarańczowej kartki”; zachęca parlamenty narodowe, aby zwiększały zdolność do skutecznego kontrolowania i kwestionowania działań Unii zgodnie z zasadami pomocniczości i proporcjonalności, prowadząc ściślejszą i bardziej terminową kontrolę nad wnioskami ustawodawczymi i dbając o to, aby inicjatywy prawodawcze UE uwzględniały równowagę i dzielenie się kompetencjami między Unią a jej państwami członkowskimi;</w:t>
      </w:r>
    </w:p>
    <w:p w14:paraId="411548A9" w14:textId="77777777" w:rsidR="00E12E3D" w:rsidRPr="009344A1" w:rsidRDefault="00E12E3D" w:rsidP="00E12E3D">
      <w:pPr>
        <w:pStyle w:val="NormalHanging12a"/>
      </w:pPr>
      <w:r w:rsidRPr="009344A1">
        <w:t>21.</w:t>
      </w:r>
      <w:r w:rsidRPr="009344A1">
        <w:tab/>
        <w:t>przypomina, że parlamenty narodowe sprawują demokratyczną kontrolę nad swoimi rządami krajowymi, które reprezentują interesy państw członkowskich w Radzie; podkreśla, że niektóre państwa członkowskie zapewniają aktywniejszy udział swoich parlamentów krajowych lub regionalnych w europejskim procesie legislacyjnym, na przykład poprzez korzystanie z zastrzeżeń parlamentarnych; zachęca wszystkie państwa członkowskie do wdrożenia środków zapewniających aktywniejszy udział parlamentów narodowych w kształtowaniu ich stanowisk krajowych, aby wzmocnić legitymację demokratyczną obrad Rady;</w:t>
      </w:r>
    </w:p>
    <w:p w14:paraId="689160FF" w14:textId="77777777" w:rsidR="00E12E3D" w:rsidRPr="009344A1" w:rsidRDefault="00E12E3D" w:rsidP="00E12E3D">
      <w:pPr>
        <w:pStyle w:val="NormalHanging12a"/>
      </w:pPr>
      <w:r w:rsidRPr="009344A1">
        <w:lastRenderedPageBreak/>
        <w:t>22.</w:t>
      </w:r>
      <w:r w:rsidRPr="009344A1">
        <w:tab/>
        <w:t>z zadowoleniem przyjmuje wkład z posiedzenia plenarnego LXXII Konferencji Komisji do Spraw Unijnych Parlamentów Unii Europejskiej (COSAC)</w:t>
      </w:r>
      <w:r w:rsidRPr="009344A1">
        <w:rPr>
          <w:rStyle w:val="FootnoteReference"/>
        </w:rPr>
        <w:footnoteReference w:customMarkFollows="1" w:id="15"/>
        <w:t>15</w:t>
      </w:r>
      <w:r w:rsidRPr="009344A1">
        <w:t>, w którym zalecono wzmocnienie kontroli zasady pomocniczości przez parlamenty narodowe poprzez wydłużenie ośmiotygodniowego terminu składania opinii do 10 tygodni oraz obniżenie progu wszczęcia procedury żółtej kartki do jednej czwartej oddanych głosów;</w:t>
      </w:r>
    </w:p>
    <w:p w14:paraId="2C42FC2B" w14:textId="77777777" w:rsidR="00E12E3D" w:rsidRPr="009344A1" w:rsidRDefault="00E12E3D" w:rsidP="00E12E3D">
      <w:pPr>
        <w:pStyle w:val="NormalHanging12a"/>
      </w:pPr>
      <w:r w:rsidRPr="009344A1">
        <w:t>23.</w:t>
      </w:r>
      <w:r w:rsidRPr="009344A1">
        <w:tab/>
        <w:t>wzywa do wzmocnienia roli parlamentów narodowych w UE przez udoskonalenie mechanizmów przejrzystości, dialogu i współpracy między parlamentami narodowymi a Komisją; zaznacza, że chociaż parlamenty narodowe nie posiadają formalnych bezpośrednich uprawnień względem Komisji podobnych do uprawnień Parlamentu Europejskiego, należy wzmocnić ich wpływ polityczny, aby zapewnić więcej przejrzystości i legitymizacji działań Komisji;</w:t>
      </w:r>
    </w:p>
    <w:p w14:paraId="20D0B5D2" w14:textId="77777777" w:rsidR="00E12E3D" w:rsidRPr="009344A1" w:rsidRDefault="00E12E3D" w:rsidP="00E12E3D">
      <w:pPr>
        <w:pStyle w:val="NormalHanging12a"/>
      </w:pPr>
      <w:r w:rsidRPr="009344A1">
        <w:t>24.</w:t>
      </w:r>
      <w:r w:rsidRPr="009344A1">
        <w:tab/>
        <w:t>uważa, że parlamentom narodowym należy nadać rolę bardziej pozytywną i proaktywną, na przykład poprzez stworzenie „zielonej kartki”, która funkcjonowałaby na podstawie niższych progów; ponadto w kontekście kolejnego przeglądu traktatów wzywa do przedłużenia do 12 tygodni obecnego ośmiotygodniowego terminu na złożenie przez parlamenty narodowe uzasadnionych opinii na podstawie art. 4 protokołu nr 1; przypomina, że Komisja przewidziała już pewną elastyczność terminów, dodatkowo wykluczając z ich zakresu okres od 20 grudnia do 10 stycznia;</w:t>
      </w:r>
    </w:p>
    <w:p w14:paraId="01DBF59C" w14:textId="77777777" w:rsidR="00E12E3D" w:rsidRPr="009344A1" w:rsidRDefault="00E12E3D" w:rsidP="00E12E3D">
      <w:pPr>
        <w:pStyle w:val="NormalHanging12a"/>
      </w:pPr>
      <w:r w:rsidRPr="009344A1">
        <w:t>25.</w:t>
      </w:r>
      <w:r w:rsidRPr="009344A1">
        <w:tab/>
        <w:t xml:space="preserve">ponownie podkreśla potrzebę wzmocnienia strukturalnej współpracy </w:t>
      </w:r>
      <w:proofErr w:type="spellStart"/>
      <w:r w:rsidRPr="009344A1">
        <w:t>współprawodawców</w:t>
      </w:r>
      <w:proofErr w:type="spellEnd"/>
      <w:r w:rsidRPr="009344A1">
        <w:t xml:space="preserve"> UE z prawodawcami krajowymi, regionalnymi i lokalnymi; podkreśla, że w tym kontekście zasadniczą rolę odegrały Europejski Tydzień Parlamentarny i międzyparlamentarne posiedzenia komisji; uważa, że dodatkowe rozwinięcie poszerzonej inicjatywy corocznego Europejskiego Tygodnia Parlamentarnego pozwoliłoby posłom do Parlamentu Europejskiego, komisarzom i ministrom urzędującej prezydencji w Radzie UE zabierać głos przed wszystkimi krajowymi i, w stosownych przypadkach, regionalnymi parlamentami w celu omówienia i wyjaśnienia programu działania UE z posłami do parlamentów narodowych;</w:t>
      </w:r>
    </w:p>
    <w:p w14:paraId="6E6A1D9D" w14:textId="77777777" w:rsidR="00E12E3D" w:rsidRPr="009344A1" w:rsidRDefault="00E12E3D" w:rsidP="00E12E3D">
      <w:pPr>
        <w:pStyle w:val="NormalHanging12a"/>
      </w:pPr>
      <w:r w:rsidRPr="009344A1">
        <w:t>26.</w:t>
      </w:r>
      <w:r w:rsidRPr="009344A1">
        <w:tab/>
        <w:t>proponuje dyskusję o sporządzeniu wspólnej deklaracji politycznej lub porozumienia ramowego między parlamentami narodowymi a Parlamentem Europejskim w związku z organizacją proponowanego Europejskiego Tygodnia Parlamentarnego, aby zapewnić spójniejsze ramy współpracy na szczeblu politycznym, instytucjonalnym i administracyjnym; uważa, że w proponowanym Europejskim Tygodniu Parlamentarnym należy wyciągnąć wnioski z obecnych i poprzednich forów, takich jak tydzień parlamentarny zorganizowany w ramach konferencji poświęconej europejskiemu semestrowi, Międzyparlamentarna Konferencja ds. Stabilności, Koordynacji i Zarządzania Gospodarczego w Unii Europejskiej czy Konferencja w sprawie przyszłości Europy; uważa ponadto, że posiedzenia rodzin politycznych oraz spotkania krajowych i europejskich grup politycznych i spotkania między nimi w ramach współpracy międzyparlamentarnej na szczeblu UE mogłyby być źródłem wartości dodanej w postaci prawdziwie europejskiej debaty politycznej;</w:t>
      </w:r>
    </w:p>
    <w:p w14:paraId="77FEF5DD" w14:textId="77777777" w:rsidR="00E12E3D" w:rsidRPr="009344A1" w:rsidRDefault="00E12E3D" w:rsidP="00E12E3D">
      <w:pPr>
        <w:pStyle w:val="NormalHanging12a"/>
      </w:pPr>
      <w:r w:rsidRPr="009344A1">
        <w:lastRenderedPageBreak/>
        <w:t>27.</w:t>
      </w:r>
      <w:r w:rsidRPr="009344A1">
        <w:tab/>
        <w:t>uważa, że ograniczone korzystanie z procedury żółtej kartki, a także nieskuteczność procedury pomarańczowej kartki pokazują, że nadal istnieją możliwości poprawy i  że procedury te mają ograniczenia ze względu na brak wiążącego wpływu na wnioski ustawodawcze Komisji; uważa, że w tym zakresie możliwa jest lepsza koordynacja między parlamentami narodowymi; podkreśla, że lepsza współpraca między parlamentami narodowymi a Parlamentem Europejskim mogłaby doprowadzić do aktywniejszego zaangażowania w prace nad wnioskami ustawodawczymi UE, a współpraca za pośrednictwem rządów krajowych do wzmocnienia roli parlamentów narodowych w kształtowaniu prawodawstwa UE;</w:t>
      </w:r>
    </w:p>
    <w:p w14:paraId="0B2B0A5C" w14:textId="77777777" w:rsidR="00E12E3D" w:rsidRPr="009344A1" w:rsidRDefault="00E12E3D" w:rsidP="00E12E3D">
      <w:pPr>
        <w:pStyle w:val="NormalHanging12a"/>
      </w:pPr>
      <w:r w:rsidRPr="009344A1">
        <w:t>28.</w:t>
      </w:r>
      <w:r w:rsidRPr="009344A1">
        <w:tab/>
        <w:t>podkreśla ważną rolę społeczności regionalnych i lokalnych i wzywa Komisję do zbadania sposobów lepszego uwzględnienia ich wkładu we wnioski ustawodawcze, a także w ocenę obecnego prawodawstwa UE; uważa w związku z tym, że Komisja powinna ułatwić organizację konsultacji publicznych na szczeblu lokalnym i regionalnym oraz zwiększyć rolę agencji i udział obywateli w kształtowaniu polityki UE;</w:t>
      </w:r>
    </w:p>
    <w:p w14:paraId="0D3934A1" w14:textId="77777777" w:rsidR="00E12E3D" w:rsidRPr="009344A1" w:rsidRDefault="00E12E3D" w:rsidP="00E12E3D">
      <w:pPr>
        <w:pStyle w:val="NormalHanging12a"/>
      </w:pPr>
      <w:r w:rsidRPr="009344A1">
        <w:t>29.</w:t>
      </w:r>
      <w:r w:rsidRPr="009344A1">
        <w:tab/>
        <w:t>zachęca instytucje UE i parlamenty regionalne mające kompetencje ustawodawcze, by angażowały się aktywniej i komunikowały się między sobą bezpośrednio, a jednocześnie szanowały rolę i kompetencje parlamentów narodowych; wzywa parlamenty narodowe, by uwzględniały uzasadnione opinie parlamentów regionalnych mających kompetencje ustawodawcze w swoich uzasadnionych ostatecznych opiniach przesyłanych przewodniczącym Parlamentu, Rady i Komisji, gdy ma to wpływ na wyłączne kompetencje regionalne; potwierdza, że art. 12 TUE oraz Protokół nr 1 dają parlamentom narodowym prawo do otrzymywania informacji bezpośrednio od instytucji UE; sugeruje, aby prawo do informacji rozszerzyć również na parlamenty regionalne mające kompetencje ustawodawcze;</w:t>
      </w:r>
    </w:p>
    <w:p w14:paraId="66A4C9B8" w14:textId="77777777" w:rsidR="00E12E3D" w:rsidRPr="009344A1" w:rsidRDefault="00E12E3D" w:rsidP="00E12E3D">
      <w:pPr>
        <w:pStyle w:val="NormalHanging12a"/>
      </w:pPr>
      <w:r w:rsidRPr="009344A1">
        <w:t>30.</w:t>
      </w:r>
      <w:r w:rsidRPr="009344A1">
        <w:tab/>
        <w:t xml:space="preserve">wzywa Komisję, zgodnie z zaleceniami zawartymi w sprawozdaniu </w:t>
      </w:r>
      <w:proofErr w:type="spellStart"/>
      <w:r w:rsidRPr="009344A1">
        <w:t>Draghiego</w:t>
      </w:r>
      <w:proofErr w:type="spellEnd"/>
      <w:r w:rsidRPr="009344A1">
        <w:t xml:space="preserve">, do wszczęcia </w:t>
      </w:r>
      <w:proofErr w:type="spellStart"/>
      <w:r w:rsidRPr="009344A1">
        <w:t>ogólnounijnego</w:t>
      </w:r>
      <w:proofErr w:type="spellEnd"/>
      <w:r w:rsidRPr="009344A1">
        <w:t xml:space="preserve"> postępowania wyjaśniającego w celu ustalenia i przeanalizowania powodów, dla których parlamenty narodowe wykonują kompetencje kontrolne w odniesieniu do pomocniczości jedynie w niewielkim stopniu; zachęca Komisję do korzystania z wiedzy fachowej i doświadczenia władz krajowych i regionalnych w zakresie transpozycji i wdrażania prawodawstwa UE;</w:t>
      </w:r>
    </w:p>
    <w:p w14:paraId="5ADB91C0" w14:textId="77777777" w:rsidR="00E12E3D" w:rsidRPr="009344A1" w:rsidRDefault="00E12E3D" w:rsidP="00E12E3D">
      <w:pPr>
        <w:pStyle w:val="Normal12a"/>
      </w:pPr>
      <w:r w:rsidRPr="009344A1">
        <w:rPr>
          <w:b/>
          <w:i/>
        </w:rPr>
        <w:t>Rola TSUE</w:t>
      </w:r>
    </w:p>
    <w:p w14:paraId="347360E5" w14:textId="77777777" w:rsidR="00E12E3D" w:rsidRPr="009344A1" w:rsidRDefault="00E12E3D" w:rsidP="00E12E3D">
      <w:pPr>
        <w:pStyle w:val="NormalHanging12a"/>
      </w:pPr>
      <w:r w:rsidRPr="009344A1">
        <w:t>31.</w:t>
      </w:r>
      <w:r w:rsidRPr="009344A1">
        <w:tab/>
        <w:t>podkreśla, że TSUE odgrywa kluczową rolę w stosowaniu i interpretacji zasad pomocniczości i proporcjonalności w ramach prawnych UE; podkreśla, że od czasu wprowadzenia zasady pomocniczości jako zasady ogólnej nigdy nie była ona przedmiotem intensywnej kontroli sądowej przez TSUE; odnotowuje, że w swoich opiniach rzecznicy generalni w niewielkim stopniu zwracają uwagę na argumenty dotyczące pomocniczości;</w:t>
      </w:r>
    </w:p>
    <w:p w14:paraId="49590B7B" w14:textId="77777777" w:rsidR="00E12E3D" w:rsidRPr="009344A1" w:rsidRDefault="00E12E3D" w:rsidP="00E12E3D">
      <w:pPr>
        <w:pStyle w:val="NormalHanging12a"/>
      </w:pPr>
      <w:r w:rsidRPr="009344A1">
        <w:t>32.</w:t>
      </w:r>
      <w:r w:rsidRPr="009344A1">
        <w:tab/>
        <w:t>ostrzega, że wyraźna niechęć TSUE do egzekwowania zasady pomocniczości może powodować niechęć państw członkowskich do zwracania się do TSUE;</w:t>
      </w:r>
    </w:p>
    <w:p w14:paraId="781A42CD" w14:textId="77777777" w:rsidR="00E12E3D" w:rsidRPr="009344A1" w:rsidRDefault="00E12E3D" w:rsidP="00E12E3D">
      <w:pPr>
        <w:pStyle w:val="NormalHanging12a"/>
      </w:pPr>
      <w:r w:rsidRPr="009344A1">
        <w:t>33.</w:t>
      </w:r>
      <w:r w:rsidRPr="009344A1">
        <w:tab/>
        <w:t>zaleca, aby Komisja w ramach konsultacji z państwami członkowskimi upewniła się, że rządy przedstawią dowody na to, że uwzględniają one stanowisko parlamentów narodowych i parlamentów regionalnych mających kompetencje ustawodawcze;</w:t>
      </w:r>
    </w:p>
    <w:p w14:paraId="22819980" w14:textId="77777777" w:rsidR="00E12E3D" w:rsidRPr="009344A1" w:rsidRDefault="00E12E3D" w:rsidP="00E12E3D">
      <w:pPr>
        <w:pStyle w:val="NormalHanging12a"/>
      </w:pPr>
      <w:r w:rsidRPr="009344A1">
        <w:lastRenderedPageBreak/>
        <w:t>34.</w:t>
      </w:r>
      <w:r w:rsidRPr="009344A1">
        <w:tab/>
        <w:t>stwierdza, że niechęć TSUE do zdecydowanego egzekwowania zasady pomocniczości jest postrzegana jako znaczące ograniczenie działań ustawodawczych UE;</w:t>
      </w:r>
    </w:p>
    <w:p w14:paraId="60EA940C" w14:textId="77777777" w:rsidR="00E12E3D" w:rsidRPr="009344A1" w:rsidRDefault="00E12E3D" w:rsidP="00E12E3D">
      <w:pPr>
        <w:pStyle w:val="NormalHanging12a"/>
      </w:pPr>
      <w:r w:rsidRPr="009344A1">
        <w:t>35.</w:t>
      </w:r>
      <w:r w:rsidRPr="009344A1">
        <w:tab/>
        <w:t>zwraca uwagę, że również TSUE jest związany zasadą pomocniczości przy interpretowaniu zagadnień wchodzących w zakres kompetencji dzielonych, ponieważ akt wykładni sądowej prawodawstwa jest równoznaczny ze stanowieniem prawa;</w:t>
      </w:r>
    </w:p>
    <w:p w14:paraId="223E7451" w14:textId="77777777" w:rsidR="00E12E3D" w:rsidRPr="009344A1" w:rsidRDefault="00E12E3D" w:rsidP="00E12E3D">
      <w:pPr>
        <w:pStyle w:val="NormalHanging12a"/>
      </w:pPr>
      <w:r w:rsidRPr="009344A1">
        <w:t>36.</w:t>
      </w:r>
      <w:r w:rsidRPr="009344A1">
        <w:tab/>
        <w:t>zwraca uwagę na przyjmowaną przez TSUE wykładnię, zgodnie z którą nieuwzględnienie szczególnej sytuacji jednego lub większej liczby państw członkowskich przy ocenie inicjatywy ustawodawczej nie stanowi naruszenia zasady proporcjonalności</w:t>
      </w:r>
      <w:r w:rsidRPr="009344A1">
        <w:rPr>
          <w:rStyle w:val="FootnoteReference"/>
        </w:rPr>
        <w:footnoteReference w:customMarkFollows="1" w:id="16"/>
        <w:t>16</w:t>
      </w:r>
      <w:r w:rsidRPr="009344A1">
        <w:t>; podkreśla, że przy opracowywaniu prawodawstwa dla całej UE istotne są indywidualne cechy poszczególnych państw członkowskich;</w:t>
      </w:r>
    </w:p>
    <w:p w14:paraId="510106BD" w14:textId="77777777" w:rsidR="00E12E3D" w:rsidRPr="009344A1" w:rsidRDefault="00E12E3D" w:rsidP="00E12E3D">
      <w:pPr>
        <w:pStyle w:val="NormalHanging12a"/>
      </w:pPr>
      <w:r w:rsidRPr="009344A1">
        <w:t>37.</w:t>
      </w:r>
      <w:r w:rsidRPr="009344A1">
        <w:tab/>
        <w:t>wyraża zaniepokojenie wyrokiem TSUE, zgodnie z którym za naruszenie zasady proporcjonalności nie można uznać braku przeprowadzenia oceny skutków</w:t>
      </w:r>
      <w:r w:rsidRPr="009344A1">
        <w:rPr>
          <w:rStyle w:val="FootnoteReference"/>
        </w:rPr>
        <w:footnoteReference w:customMarkFollows="1" w:id="17"/>
        <w:t>17</w:t>
      </w:r>
      <w:r w:rsidRPr="009344A1">
        <w:t>; wzywa Komisję do przeprowadzania ocen skutków bez wyjątków i dopilnowania, aby w przypadku zmiany zakresu wniosku ustawodawczego Komisja przedstawiła nową ocenę skutków;</w:t>
      </w:r>
    </w:p>
    <w:p w14:paraId="2F6C6D28" w14:textId="77777777" w:rsidR="00E12E3D" w:rsidRPr="009344A1" w:rsidRDefault="00E12E3D" w:rsidP="00E12E3D">
      <w:pPr>
        <w:pStyle w:val="NormalHanging12a"/>
      </w:pPr>
      <w:r w:rsidRPr="009344A1">
        <w:t>38.</w:t>
      </w:r>
      <w:r w:rsidRPr="009344A1">
        <w:tab/>
        <w:t>podkreśla, że poszanowanie zasad pomocniczości i proporcjonalności ma kluczowe znaczenie dla zaufania obywateli do UE i jej prawodawstwa oraz że należy informować opinię publiczną o tych zasadach przy okazji informowania w sprawie pojedynczych inicjatyw ustawodawczych;</w:t>
      </w:r>
    </w:p>
    <w:p w14:paraId="6DA471F8" w14:textId="77777777" w:rsidR="00E12E3D" w:rsidRPr="009344A1" w:rsidRDefault="00E12E3D" w:rsidP="00E12E3D">
      <w:pPr>
        <w:pStyle w:val="NormalHanging12a"/>
      </w:pPr>
      <w:r w:rsidRPr="009344A1">
        <w:t>39.</w:t>
      </w:r>
      <w:r w:rsidRPr="009344A1">
        <w:tab/>
        <w:t xml:space="preserve">przypomina, ocena skutków powinna opierać się na dokładnych, obiektywnych i pełnych informacjach; w związku z tym uważa, że zasadnicze znaczenie ma zgromadzenie przez </w:t>
      </w:r>
      <w:proofErr w:type="spellStart"/>
      <w:r w:rsidRPr="009344A1">
        <w:t>współprawodawców</w:t>
      </w:r>
      <w:proofErr w:type="spellEnd"/>
      <w:r w:rsidRPr="009344A1">
        <w:t xml:space="preserve"> UE informacji od władz lokalnych i regionalnych, które są w stanie dostarczyć najbardziej dokładnych informacji na temat różnych kwestii;</w:t>
      </w:r>
    </w:p>
    <w:p w14:paraId="58B51A26" w14:textId="77777777" w:rsidR="00E12E3D" w:rsidRPr="009344A1" w:rsidRDefault="00E12E3D" w:rsidP="00E12E3D">
      <w:pPr>
        <w:pStyle w:val="NormalHanging12a"/>
      </w:pPr>
      <w:r w:rsidRPr="009344A1">
        <w:t>40.</w:t>
      </w:r>
      <w:r w:rsidRPr="009344A1">
        <w:tab/>
        <w:t>apeluje o przeprowadzenie ankiety wśród parlamentów narodowych w celu oceny, jakie czynniki wpływają na stosowanie przez nie procedury żółtej kartki i w jaki sposób postrzegają one poszanowanie zasady pomocniczości w procesie decyzyjnym UE;</w:t>
      </w:r>
    </w:p>
    <w:p w14:paraId="36B902BD" w14:textId="77777777" w:rsidR="00E12E3D" w:rsidRPr="009344A1" w:rsidRDefault="00E12E3D" w:rsidP="00E12E3D">
      <w:pPr>
        <w:pStyle w:val="NormalHanging12a"/>
      </w:pPr>
      <w:r w:rsidRPr="009344A1">
        <w:t>41.</w:t>
      </w:r>
      <w:r w:rsidRPr="009344A1">
        <w:tab/>
        <w:t>uważa, że należy przeprowadzić ankietę wśród krajowych organów ustawodawczych w celu zebrania informacji zwrotnych na temat stosowania zasad pomocniczości i proporcjonalności; proponuje w związku z tym, aby Komisja przeprowadziła taką ankietę w celu określenia, w jakich obszarach i w jakim stopniu krajowe organy ustawodawcze muszą być rzecznikami zmian;</w:t>
      </w:r>
    </w:p>
    <w:p w14:paraId="72AAEBD1" w14:textId="77777777" w:rsidR="00E12E3D" w:rsidRPr="009344A1" w:rsidRDefault="00E12E3D" w:rsidP="00E12E3D">
      <w:pPr>
        <w:pStyle w:val="Normal12a"/>
      </w:pPr>
      <w:r w:rsidRPr="009344A1">
        <w:rPr>
          <w:b/>
          <w:i/>
        </w:rPr>
        <w:t>Uwagi końcowe</w:t>
      </w:r>
    </w:p>
    <w:p w14:paraId="2225A4FE" w14:textId="77777777" w:rsidR="00E12E3D" w:rsidRPr="009344A1" w:rsidRDefault="00E12E3D" w:rsidP="00E12E3D">
      <w:pPr>
        <w:pStyle w:val="NormalHanging12a"/>
      </w:pPr>
      <w:r w:rsidRPr="009344A1">
        <w:t>42.</w:t>
      </w:r>
      <w:r w:rsidRPr="009344A1">
        <w:tab/>
        <w:t xml:space="preserve">wzywa do jaśniejszego i spójniejszego zdefiniowania i stosowania zasad pomocniczości i proporcjonalności, z uwzględnieniem aktywnego podejścia do zasady pomocniczości wypracowanego przez grupę zadaniową, tak aby w procesie legislacyjnym wszystkie </w:t>
      </w:r>
      <w:r w:rsidRPr="009344A1">
        <w:lastRenderedPageBreak/>
        <w:t>instytucje UE stosowały wspólne rozumienie tych zasad podstawowych; proponuje rozpoczęcie dyskusji na temat utworzenia „sądu ds. pomocniczości” z myślą o przyszłym przeglądzie Traktatu;</w:t>
      </w:r>
    </w:p>
    <w:p w14:paraId="193765B0" w14:textId="77777777" w:rsidR="00E12E3D" w:rsidRPr="009344A1" w:rsidRDefault="00E12E3D" w:rsidP="00E12E3D">
      <w:pPr>
        <w:pStyle w:val="NormalHanging12a"/>
      </w:pPr>
      <w:r w:rsidRPr="009344A1">
        <w:t>43.</w:t>
      </w:r>
      <w:r w:rsidRPr="009344A1">
        <w:tab/>
        <w:t>domaga się eliminacji luk celem uzyskania większej przejrzystości przy przygotowywaniu wniosków ustawodawczych przez Komisję oraz współpracy z parlamentami narodowymi na wcześniejszym etapie w celu zapewnienia należytego uwzględnienia pomocniczości;</w:t>
      </w:r>
    </w:p>
    <w:p w14:paraId="7D44DA5D" w14:textId="77777777" w:rsidR="00E12E3D" w:rsidRPr="009344A1" w:rsidRDefault="00E12E3D" w:rsidP="00E12E3D">
      <w:pPr>
        <w:pStyle w:val="NormalHanging12a"/>
      </w:pPr>
      <w:r w:rsidRPr="009344A1">
        <w:t>44.</w:t>
      </w:r>
      <w:r w:rsidRPr="009344A1">
        <w:tab/>
        <w:t xml:space="preserve">popiera wniosek znajdujący się w sprawozdaniu Maria </w:t>
      </w:r>
      <w:proofErr w:type="spellStart"/>
      <w:r w:rsidRPr="009344A1">
        <w:t>Draghiego</w:t>
      </w:r>
      <w:proofErr w:type="spellEnd"/>
      <w:r w:rsidRPr="009344A1">
        <w:t>, zgodnie z którym polityka i działania ustawodawcze UE powinny koncentrować się na dziedzinach, w których UE „rzeczywiście” wnosi większą wartość dodaną w porównaniu z działaniami politycznymi na szczeblu krajowym lub niższym niż krajowy; ponadto wzywa instytucje UE do przyjęcia zasady samoograniczenia w kształtowaniu polityki poprzez bardziej staranny wybór przyszłych inicjatyw i usprawnienie obecnego prawa;</w:t>
      </w:r>
    </w:p>
    <w:p w14:paraId="557A2249" w14:textId="77777777" w:rsidR="00E12E3D" w:rsidRPr="009344A1" w:rsidRDefault="00E12E3D" w:rsidP="00E12E3D">
      <w:pPr>
        <w:pStyle w:val="NormalHanging12a"/>
      </w:pPr>
      <w:r w:rsidRPr="009344A1">
        <w:t>45.</w:t>
      </w:r>
      <w:r w:rsidRPr="009344A1">
        <w:tab/>
        <w:t>uważa, że obecne prawodawstwo UE powinno być regularnie oceniane pod kątem proporcjonalności i adekwatności względem współczesnych realiów; podkreśla, że sztuczna inteligencja może odegrać zasadniczą rolę w wykryciu niespójności prawnych lub nieproporcjonalnych skutków, a tym samym ułatwić przestrzeganie przepisów i zaradzić, w stosownych przypadkach, brakowi proporcjonalności;</w:t>
      </w:r>
    </w:p>
    <w:p w14:paraId="49823824" w14:textId="77777777" w:rsidR="00E12E3D" w:rsidRPr="009344A1" w:rsidRDefault="00E12E3D" w:rsidP="00E12E3D">
      <w:pPr>
        <w:pStyle w:val="NormalHanging12a"/>
      </w:pPr>
      <w:r w:rsidRPr="009344A1">
        <w:t>46.</w:t>
      </w:r>
      <w:r w:rsidRPr="009344A1">
        <w:tab/>
        <w:t>sugeruje, aby wszystkie działania międzyparlamentarne prowadzone w ramach protokołu nr 1 do Traktatu z Lizbony (w tym COSAC, IPEX, ECPRD itp.) przez parlamenty narodowe i Parlament Europejski były lepiej wykorzystywane i synergicznie zintegrowane w celu lepszego stosowania zasad pomocniczości i proporcjonalności;</w:t>
      </w:r>
    </w:p>
    <w:p w14:paraId="23B08CF4" w14:textId="77777777" w:rsidR="00E12E3D" w:rsidRPr="009344A1" w:rsidRDefault="00E12E3D" w:rsidP="00E12E3D">
      <w:pPr>
        <w:pStyle w:val="NormalHanging12a"/>
      </w:pPr>
      <w:r w:rsidRPr="009344A1">
        <w:t>47.</w:t>
      </w:r>
      <w:r w:rsidRPr="009344A1">
        <w:tab/>
        <w:t>zwraca uwagę, że posłowie do PE, ponieważ są wybierani bezpośrednio przez obywateli europejskich, mają istotne uprawnienia do ustalania programu legislacyjnego UE; zobowiązuje się do skorzystania z prawa inicjatywy na mocy art. 225 TFUE, by zaproponować uchylenie przepisów w celu zmniejszenia obciążeń regulacyjnych, przy pełnym poszanowaniu zasad pomocniczości i proporcjonalności;</w:t>
      </w:r>
    </w:p>
    <w:p w14:paraId="471C383E" w14:textId="77777777" w:rsidR="00E12E3D" w:rsidRPr="009344A1" w:rsidRDefault="00E12E3D" w:rsidP="00E12E3D">
      <w:pPr>
        <w:pStyle w:val="NormalHanging12a"/>
      </w:pPr>
      <w:r w:rsidRPr="009344A1">
        <w:t>48.</w:t>
      </w:r>
      <w:r w:rsidRPr="009344A1">
        <w:tab/>
        <w:t>przypomina, że poszanowanie zasad pomocniczości i proporcjonalności będzie sprzyjać lepszemu stanowieniu prawa oraz zmniejszać obciążenia regulacyjne i biurokrację; nalega, aby przed przedstawieniem wniosku ustawodawczego Komisja oceniła, czy możliwe jest osiągnięcie pożądanego pozytywnego skutku na szczeblu lokalnym, regionalnym lub krajowym, a w przypadku niepewności co do najbardziej odpowiedniego poziomu działania należy przyjąć wzruszalne domniemanie na korzyść niższych szczebli sprawowania rządów;</w:t>
      </w:r>
    </w:p>
    <w:p w14:paraId="20A686EE" w14:textId="77777777" w:rsidR="00E12E3D" w:rsidRPr="009344A1" w:rsidRDefault="00E12E3D" w:rsidP="00E12E3D">
      <w:pPr>
        <w:pStyle w:val="NormalHanging12a"/>
      </w:pPr>
      <w:r w:rsidRPr="009344A1">
        <w:t>49.</w:t>
      </w:r>
      <w:r w:rsidRPr="009344A1">
        <w:tab/>
        <w:t xml:space="preserve">podkreśla wnioski grupy zadaniowej, zgodnie z którymi Komisja i </w:t>
      </w:r>
      <w:proofErr w:type="spellStart"/>
      <w:r w:rsidRPr="009344A1">
        <w:t>współprawodawcy</w:t>
      </w:r>
      <w:proofErr w:type="spellEnd"/>
      <w:r w:rsidRPr="009344A1">
        <w:t xml:space="preserve"> powinni wyważyć swoje prace na rzecz skuteczniejszego wdrażania, a nie inicjowania nowych przepisów lub ciągłych zmian obecnego prawodawstwa w obszarach, w których obecny zbiór przepisów jest nieaktualny lub został niedawno poddany gruntownym przeglądom;</w:t>
      </w:r>
    </w:p>
    <w:p w14:paraId="2F931B39" w14:textId="77777777" w:rsidR="00E12E3D" w:rsidRPr="009344A1" w:rsidRDefault="00E12E3D" w:rsidP="00E12E3D">
      <w:pPr>
        <w:pStyle w:val="NormalCenter12a"/>
      </w:pPr>
      <w:r w:rsidRPr="009344A1">
        <w:t>°</w:t>
      </w:r>
    </w:p>
    <w:p w14:paraId="39882D7A" w14:textId="77777777" w:rsidR="00E12E3D" w:rsidRPr="009344A1" w:rsidRDefault="00E12E3D" w:rsidP="00E12E3D">
      <w:pPr>
        <w:pStyle w:val="NormalCenter12a"/>
      </w:pPr>
      <w:r w:rsidRPr="009344A1">
        <w:t>°</w:t>
      </w:r>
      <w:r w:rsidRPr="009344A1">
        <w:tab/>
        <w:t>°</w:t>
      </w:r>
    </w:p>
    <w:p w14:paraId="38457E02" w14:textId="26F2951C" w:rsidR="009344A1" w:rsidRPr="009344A1" w:rsidRDefault="00E12E3D" w:rsidP="009344A1">
      <w:pPr>
        <w:pStyle w:val="NormalHanging12a"/>
      </w:pPr>
      <w:r w:rsidRPr="009344A1">
        <w:lastRenderedPageBreak/>
        <w:t>50.</w:t>
      </w:r>
      <w:r w:rsidRPr="009344A1">
        <w:tab/>
        <w:t>zobowiązuje swoją przewodniczącą do przekazania niniejszej rezolucji Radzie i Komisji oraz parlamentom narodowym.</w:t>
      </w:r>
    </w:p>
    <w:p w14:paraId="12686C7E" w14:textId="031B8AF9" w:rsidR="00E365E1" w:rsidRPr="009344A1" w:rsidRDefault="00E365E1" w:rsidP="00093ACD"/>
    <w:sectPr w:rsidR="00E365E1" w:rsidRPr="009344A1" w:rsidSect="009344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4746D" w14:textId="77777777" w:rsidR="00093ACD" w:rsidRPr="009344A1" w:rsidRDefault="00093ACD">
      <w:r w:rsidRPr="009344A1">
        <w:separator/>
      </w:r>
    </w:p>
  </w:endnote>
  <w:endnote w:type="continuationSeparator" w:id="0">
    <w:p w14:paraId="537F9F1A" w14:textId="77777777" w:rsidR="00093ACD" w:rsidRPr="009344A1" w:rsidRDefault="00093ACD">
      <w:r w:rsidRPr="009344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03948" w14:textId="77777777" w:rsidR="00064002" w:rsidRPr="009344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15550" w14:textId="77777777" w:rsidR="00064002" w:rsidRPr="009344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6A7E8" w14:textId="77777777" w:rsidR="00064002" w:rsidRPr="009344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815B7" w14:textId="77777777" w:rsidR="00093ACD" w:rsidRPr="009344A1" w:rsidRDefault="00093ACD">
      <w:r w:rsidRPr="009344A1">
        <w:separator/>
      </w:r>
    </w:p>
  </w:footnote>
  <w:footnote w:type="continuationSeparator" w:id="0">
    <w:p w14:paraId="2381FC02" w14:textId="77777777" w:rsidR="00093ACD" w:rsidRPr="009344A1" w:rsidRDefault="00093ACD">
      <w:r w:rsidRPr="009344A1">
        <w:continuationSeparator/>
      </w:r>
    </w:p>
  </w:footnote>
  <w:footnote w:id="1">
    <w:p w14:paraId="5F5A3CE9" w14:textId="349E009F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1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 xml:space="preserve">Dz.U. C 202 z </w:t>
      </w:r>
      <w:proofErr w:type="gramStart"/>
      <w:r w:rsidRPr="009344A1">
        <w:rPr>
          <w:sz w:val="24"/>
          <w:lang w:val="pl-PL"/>
        </w:rPr>
        <w:t>7.6.2016</w:t>
      </w:r>
      <w:proofErr w:type="gramEnd"/>
      <w:r w:rsidRPr="009344A1">
        <w:rPr>
          <w:sz w:val="24"/>
          <w:lang w:val="pl-PL"/>
        </w:rPr>
        <w:t xml:space="preserve">, s. 203, ELI: </w:t>
      </w:r>
      <w:hyperlink r:id="rId1" w:history="1">
        <w:r w:rsidR="00BE07EA" w:rsidRPr="00DD005C">
          <w:rPr>
            <w:rStyle w:val="Hyperlink"/>
            <w:sz w:val="24"/>
            <w:lang w:val="pl-PL"/>
          </w:rPr>
          <w:t>http://data.europa.eu/eli/treaty/tfeu_2016/pro_1/oj</w:t>
        </w:r>
      </w:hyperlink>
      <w:r w:rsidRPr="009344A1">
        <w:rPr>
          <w:sz w:val="24"/>
          <w:lang w:val="pl-PL"/>
        </w:rPr>
        <w:t>.</w:t>
      </w:r>
    </w:p>
  </w:footnote>
  <w:footnote w:id="2">
    <w:p w14:paraId="23DF931C" w14:textId="756F6F4C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2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 xml:space="preserve">Dz.U. C 115 z </w:t>
      </w:r>
      <w:proofErr w:type="gramStart"/>
      <w:r w:rsidRPr="009344A1">
        <w:rPr>
          <w:sz w:val="24"/>
          <w:lang w:val="pl-PL"/>
        </w:rPr>
        <w:t>9.5.2008</w:t>
      </w:r>
      <w:proofErr w:type="gramEnd"/>
      <w:r w:rsidRPr="009344A1">
        <w:rPr>
          <w:sz w:val="24"/>
          <w:lang w:val="pl-PL"/>
        </w:rPr>
        <w:t>, s. 206.</w:t>
      </w:r>
    </w:p>
  </w:footnote>
  <w:footnote w:id="3">
    <w:p w14:paraId="531B5231" w14:textId="5836CECD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3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>Dz.U. C 212</w:t>
      </w:r>
      <w:r w:rsidR="009F04E8">
        <w:rPr>
          <w:sz w:val="24"/>
          <w:lang w:val="pl-PL"/>
        </w:rPr>
        <w:t xml:space="preserve"> </w:t>
      </w:r>
      <w:r w:rsidRPr="009344A1">
        <w:rPr>
          <w:sz w:val="24"/>
          <w:lang w:val="pl-PL"/>
        </w:rPr>
        <w:t xml:space="preserve">E z </w:t>
      </w:r>
      <w:proofErr w:type="gramStart"/>
      <w:r w:rsidRPr="009344A1">
        <w:rPr>
          <w:sz w:val="24"/>
          <w:lang w:val="pl-PL"/>
        </w:rPr>
        <w:t>5.8.2010</w:t>
      </w:r>
      <w:proofErr w:type="gramEnd"/>
      <w:r w:rsidRPr="009344A1">
        <w:rPr>
          <w:sz w:val="24"/>
          <w:lang w:val="pl-PL"/>
        </w:rPr>
        <w:t>, s. 94.</w:t>
      </w:r>
    </w:p>
  </w:footnote>
  <w:footnote w:id="4">
    <w:p w14:paraId="5A2D0468" w14:textId="431DD1B3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4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>Dz.U. C 443 z 22.12.2017, s. 40.</w:t>
      </w:r>
    </w:p>
  </w:footnote>
  <w:footnote w:id="5">
    <w:p w14:paraId="0C0EE51F" w14:textId="011D8817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5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>Dz.U. C 390 z 18.11.2019, s. 121.</w:t>
      </w:r>
    </w:p>
  </w:footnote>
  <w:footnote w:id="6">
    <w:p w14:paraId="327899D9" w14:textId="6EB9C344" w:rsidR="00E12E3D" w:rsidRPr="00DD005C" w:rsidRDefault="00E12E3D" w:rsidP="009344A1">
      <w:pPr>
        <w:pStyle w:val="FootnoteText"/>
        <w:ind w:left="567" w:hanging="567"/>
        <w:rPr>
          <w:sz w:val="24"/>
          <w:lang w:val="fi-FI"/>
        </w:rPr>
      </w:pPr>
      <w:r w:rsidRPr="00DD005C">
        <w:rPr>
          <w:sz w:val="24"/>
          <w:vertAlign w:val="superscript"/>
          <w:lang w:val="fi-FI"/>
        </w:rPr>
        <w:t>6</w:t>
      </w:r>
      <w:r w:rsidR="009344A1" w:rsidRPr="00DD005C">
        <w:rPr>
          <w:sz w:val="24"/>
          <w:vertAlign w:val="superscript"/>
          <w:lang w:val="fi-FI"/>
        </w:rPr>
        <w:t xml:space="preserve"> </w:t>
      </w:r>
      <w:r w:rsidR="009344A1" w:rsidRPr="00DD005C">
        <w:rPr>
          <w:sz w:val="24"/>
          <w:vertAlign w:val="superscript"/>
          <w:lang w:val="fi-FI"/>
        </w:rPr>
        <w:tab/>
      </w:r>
      <w:proofErr w:type="spellStart"/>
      <w:r w:rsidRPr="00DD005C">
        <w:rPr>
          <w:sz w:val="24"/>
          <w:lang w:val="fi-FI"/>
        </w:rPr>
        <w:t>Dz.U</w:t>
      </w:r>
      <w:proofErr w:type="spellEnd"/>
      <w:r w:rsidRPr="00DD005C">
        <w:rPr>
          <w:sz w:val="24"/>
          <w:lang w:val="fi-FI"/>
        </w:rPr>
        <w:t xml:space="preserve">. C, C/2024/5714, 17.10.2024, ELI: </w:t>
      </w:r>
      <w:hyperlink r:id="rId2" w:history="1">
        <w:r w:rsidR="00BE07EA" w:rsidRPr="00691B25">
          <w:rPr>
            <w:rStyle w:val="Hyperlink"/>
            <w:sz w:val="24"/>
            <w:lang w:val="fi-FI"/>
          </w:rPr>
          <w:t>http://data.europa.eu/eli/C/2024/5714/oj</w:t>
        </w:r>
      </w:hyperlink>
      <w:r w:rsidRPr="00DD005C">
        <w:rPr>
          <w:sz w:val="24"/>
          <w:lang w:val="fi-FI"/>
        </w:rPr>
        <w:t>.</w:t>
      </w:r>
    </w:p>
  </w:footnote>
  <w:footnote w:id="7">
    <w:p w14:paraId="57B2ED87" w14:textId="715BC479" w:rsidR="00E12E3D" w:rsidRPr="00DD005C" w:rsidRDefault="00E12E3D" w:rsidP="009344A1">
      <w:pPr>
        <w:pStyle w:val="FootnoteText"/>
        <w:ind w:left="567" w:hanging="567"/>
        <w:rPr>
          <w:sz w:val="24"/>
          <w:lang w:val="fi-FI"/>
        </w:rPr>
      </w:pPr>
      <w:r w:rsidRPr="00DD005C">
        <w:rPr>
          <w:sz w:val="24"/>
          <w:vertAlign w:val="superscript"/>
          <w:lang w:val="fi-FI"/>
        </w:rPr>
        <w:t>7</w:t>
      </w:r>
      <w:r w:rsidR="009344A1" w:rsidRPr="00DD005C">
        <w:rPr>
          <w:sz w:val="24"/>
          <w:vertAlign w:val="superscript"/>
          <w:lang w:val="fi-FI"/>
        </w:rPr>
        <w:t xml:space="preserve"> </w:t>
      </w:r>
      <w:r w:rsidR="009344A1" w:rsidRPr="00DD005C">
        <w:rPr>
          <w:sz w:val="24"/>
          <w:vertAlign w:val="superscript"/>
          <w:lang w:val="fi-FI"/>
        </w:rPr>
        <w:tab/>
      </w:r>
      <w:proofErr w:type="spellStart"/>
      <w:r w:rsidRPr="00DD005C">
        <w:rPr>
          <w:sz w:val="24"/>
          <w:lang w:val="fi-FI"/>
        </w:rPr>
        <w:t>Dz.U</w:t>
      </w:r>
      <w:proofErr w:type="spellEnd"/>
      <w:r w:rsidRPr="00DD005C">
        <w:rPr>
          <w:sz w:val="24"/>
          <w:lang w:val="fi-FI"/>
        </w:rPr>
        <w:t xml:space="preserve">. C, C/2024/4216, 24.7.2024, ELI: </w:t>
      </w:r>
      <w:hyperlink r:id="rId3" w:tgtFrame="http://data.europa.eu/eli/C/2024/4216/oj" w:history="1">
        <w:r w:rsidRPr="00DD005C">
          <w:rPr>
            <w:rStyle w:val="Hyperlink"/>
            <w:sz w:val="24"/>
            <w:lang w:val="fi-FI"/>
          </w:rPr>
          <w:t>http://data.europa.eu/eli/C/2024/4216/oj</w:t>
        </w:r>
      </w:hyperlink>
      <w:r w:rsidRPr="00DD005C">
        <w:rPr>
          <w:sz w:val="24"/>
          <w:lang w:val="fi-FI"/>
        </w:rPr>
        <w:t>.</w:t>
      </w:r>
    </w:p>
  </w:footnote>
  <w:footnote w:id="8">
    <w:p w14:paraId="064F29C4" w14:textId="21669349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8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proofErr w:type="spellStart"/>
      <w:r w:rsidRPr="009344A1">
        <w:rPr>
          <w:sz w:val="24"/>
          <w:lang w:val="pl-PL"/>
        </w:rPr>
        <w:t>Draghi</w:t>
      </w:r>
      <w:proofErr w:type="spellEnd"/>
      <w:r w:rsidRPr="009344A1">
        <w:rPr>
          <w:sz w:val="24"/>
          <w:lang w:val="pl-PL"/>
        </w:rPr>
        <w:t xml:space="preserve">, M., „The </w:t>
      </w:r>
      <w:proofErr w:type="spellStart"/>
      <w:r w:rsidRPr="009344A1">
        <w:rPr>
          <w:sz w:val="24"/>
          <w:lang w:val="pl-PL"/>
        </w:rPr>
        <w:t>future</w:t>
      </w:r>
      <w:proofErr w:type="spellEnd"/>
      <w:r w:rsidRPr="009344A1">
        <w:rPr>
          <w:sz w:val="24"/>
          <w:lang w:val="pl-PL"/>
        </w:rPr>
        <w:t xml:space="preserve"> of </w:t>
      </w:r>
      <w:proofErr w:type="spellStart"/>
      <w:r w:rsidRPr="009344A1">
        <w:rPr>
          <w:sz w:val="24"/>
          <w:lang w:val="pl-PL"/>
        </w:rPr>
        <w:t>European</w:t>
      </w:r>
      <w:proofErr w:type="spellEnd"/>
      <w:r w:rsidRPr="009344A1">
        <w:rPr>
          <w:sz w:val="24"/>
          <w:lang w:val="pl-PL"/>
        </w:rPr>
        <w:t xml:space="preserve"> </w:t>
      </w:r>
      <w:proofErr w:type="spellStart"/>
      <w:r w:rsidRPr="009344A1">
        <w:rPr>
          <w:sz w:val="24"/>
          <w:lang w:val="pl-PL"/>
        </w:rPr>
        <w:t>Competitiveness</w:t>
      </w:r>
      <w:proofErr w:type="spellEnd"/>
      <w:r w:rsidRPr="009344A1">
        <w:rPr>
          <w:sz w:val="24"/>
          <w:lang w:val="pl-PL"/>
        </w:rPr>
        <w:t xml:space="preserve">” [Przyszłość europejskiej konkurencyjności], Komisja Europejska, 9 września 2024 r., </w:t>
      </w:r>
      <w:hyperlink r:id="rId4" w:anchor="paragraph_47059" w:history="1">
        <w:r w:rsidR="00BE07EA" w:rsidRPr="00DD005C">
          <w:rPr>
            <w:rStyle w:val="Hyperlink"/>
            <w:sz w:val="24"/>
            <w:lang w:val="pl-PL"/>
          </w:rPr>
          <w:t>https://commission.europa.eu/topics/eu-competitiveness/draghi-report_en#paragraph_47059</w:t>
        </w:r>
      </w:hyperlink>
      <w:r w:rsidRPr="009344A1">
        <w:rPr>
          <w:sz w:val="24"/>
          <w:lang w:val="pl-PL"/>
        </w:rPr>
        <w:t>.</w:t>
      </w:r>
    </w:p>
  </w:footnote>
  <w:footnote w:id="9">
    <w:p w14:paraId="2601EFE3" w14:textId="39FF1204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9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hyperlink r:id="rId5" w:tgtFrame="https://commission.europa.eu/document/download/8530a17b-e2b8-4cd4-a68d-597767cfbad7_en?filename=report-task-force-subsidiarity-proportionality-and-doing-less-more-efficiently_en.pdf" w:history="1">
        <w:r w:rsidRPr="009344A1">
          <w:rPr>
            <w:rStyle w:val="Hyperlink"/>
            <w:sz w:val="24"/>
            <w:lang w:val="pl-PL"/>
          </w:rPr>
          <w:t>https://commission.europa.eu/document/download/8530a17b-e2b8-4cd4-a68d-597767cfbad7_pl?filename=report-task-force-subsidiarity-proportionality-and-doing-less-more-efficiently_pl.pdf</w:t>
        </w:r>
      </w:hyperlink>
      <w:r w:rsidRPr="009344A1">
        <w:rPr>
          <w:sz w:val="24"/>
          <w:lang w:val="pl-PL"/>
        </w:rPr>
        <w:t>.</w:t>
      </w:r>
    </w:p>
  </w:footnote>
  <w:footnote w:id="10">
    <w:p w14:paraId="335CAD55" w14:textId="331AF4C2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10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>Wniosek dotyczący rozporządzenia Rady z 21 marca 2012 r. w sprawie wykonywania prawa do podejmowania działań zbiorowych w kontekście swobody przedsiębiorczości i swobody świadczenia usług (COM(2012)0130).</w:t>
      </w:r>
    </w:p>
  </w:footnote>
  <w:footnote w:id="11">
    <w:p w14:paraId="057275DE" w14:textId="4455E8D9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11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>Utworzenie Prokuratury Europejskiej: procedurę „żółtej kartki” uruchomiono w 2013 r., a w 2017 r. przyjęto na podstawie art. 86 TFUE wzmocnioną współpracę.</w:t>
      </w:r>
    </w:p>
  </w:footnote>
  <w:footnote w:id="12">
    <w:p w14:paraId="13206CEA" w14:textId="4446CA76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12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 xml:space="preserve">Dyrektywa Parlamentu Europejskiego i Rady (UE) 2018/957 z dnia 28 czerwca 2018 r. zmieniająca dyrektywę 96/71/WE dotyczącą delegowania pracowników w ramach świadczenia usług (Dz.U. L 173 z </w:t>
      </w:r>
      <w:proofErr w:type="gramStart"/>
      <w:r w:rsidRPr="009344A1">
        <w:rPr>
          <w:sz w:val="24"/>
          <w:lang w:val="pl-PL"/>
        </w:rPr>
        <w:t>9.7.2018</w:t>
      </w:r>
      <w:proofErr w:type="gramEnd"/>
      <w:r w:rsidRPr="009344A1">
        <w:rPr>
          <w:sz w:val="24"/>
          <w:lang w:val="pl-PL"/>
        </w:rPr>
        <w:t xml:space="preserve">, s. 16, ELI: </w:t>
      </w:r>
      <w:hyperlink r:id="rId6" w:history="1">
        <w:r w:rsidR="00BE07EA" w:rsidRPr="00DD005C">
          <w:rPr>
            <w:rStyle w:val="Hyperlink"/>
            <w:sz w:val="24"/>
            <w:lang w:val="pl-PL"/>
          </w:rPr>
          <w:t>http://data.europa.eu/eli/dir/2018/957/oj</w:t>
        </w:r>
      </w:hyperlink>
      <w:r w:rsidRPr="009344A1">
        <w:rPr>
          <w:sz w:val="24"/>
          <w:lang w:val="pl-PL"/>
        </w:rPr>
        <w:t>).</w:t>
      </w:r>
    </w:p>
  </w:footnote>
  <w:footnote w:id="13">
    <w:p w14:paraId="5DFF0760" w14:textId="711177B4" w:rsidR="00E12E3D" w:rsidRPr="00DD005C" w:rsidRDefault="00E12E3D" w:rsidP="009344A1">
      <w:pPr>
        <w:pStyle w:val="FootnoteText"/>
        <w:ind w:left="567" w:hanging="567"/>
        <w:rPr>
          <w:sz w:val="24"/>
          <w:lang w:val="fr-BE"/>
        </w:rPr>
      </w:pPr>
      <w:r w:rsidRPr="00DD005C">
        <w:rPr>
          <w:sz w:val="24"/>
          <w:vertAlign w:val="superscript"/>
          <w:lang w:val="fr-BE"/>
        </w:rPr>
        <w:t>13</w:t>
      </w:r>
      <w:r w:rsidR="009344A1" w:rsidRPr="00DD005C">
        <w:rPr>
          <w:sz w:val="24"/>
          <w:vertAlign w:val="superscript"/>
          <w:lang w:val="fr-BE"/>
        </w:rPr>
        <w:t xml:space="preserve"> </w:t>
      </w:r>
      <w:r w:rsidR="009344A1" w:rsidRPr="00DD005C">
        <w:rPr>
          <w:sz w:val="24"/>
          <w:vertAlign w:val="superscript"/>
          <w:lang w:val="fr-BE"/>
        </w:rPr>
        <w:tab/>
      </w:r>
      <w:r w:rsidRPr="00DD005C">
        <w:rPr>
          <w:sz w:val="24"/>
          <w:lang w:val="fr-BE"/>
        </w:rPr>
        <w:t xml:space="preserve">Le Sénat, Commission des affaires </w:t>
      </w:r>
      <w:proofErr w:type="spellStart"/>
      <w:r w:rsidRPr="00DD005C">
        <w:rPr>
          <w:sz w:val="24"/>
          <w:lang w:val="fr-BE"/>
        </w:rPr>
        <w:t>européenes</w:t>
      </w:r>
      <w:proofErr w:type="spellEnd"/>
      <w:r w:rsidRPr="00DD005C">
        <w:rPr>
          <w:sz w:val="24"/>
          <w:lang w:val="fr-BE"/>
        </w:rPr>
        <w:t xml:space="preserve">, „Dérive normative de l’Union européenne – Rapport d’information n° 190 (2024–2025)”, 4 </w:t>
      </w:r>
      <w:proofErr w:type="spellStart"/>
      <w:r w:rsidRPr="00DD005C">
        <w:rPr>
          <w:sz w:val="24"/>
          <w:lang w:val="fr-BE"/>
        </w:rPr>
        <w:t>grudnia</w:t>
      </w:r>
      <w:proofErr w:type="spellEnd"/>
      <w:r w:rsidRPr="00DD005C">
        <w:rPr>
          <w:sz w:val="24"/>
          <w:lang w:val="fr-BE"/>
        </w:rPr>
        <w:t xml:space="preserve"> 2024 r.</w:t>
      </w:r>
    </w:p>
  </w:footnote>
  <w:footnote w:id="14">
    <w:p w14:paraId="1BCADAD3" w14:textId="56234A27" w:rsidR="00E12E3D" w:rsidRPr="00DD005C" w:rsidRDefault="00E12E3D" w:rsidP="009344A1">
      <w:pPr>
        <w:pStyle w:val="FootnoteText"/>
        <w:ind w:left="567" w:hanging="567"/>
        <w:rPr>
          <w:sz w:val="24"/>
          <w:lang w:val="fr-BE"/>
        </w:rPr>
      </w:pPr>
      <w:r w:rsidRPr="00DD005C">
        <w:rPr>
          <w:sz w:val="24"/>
          <w:vertAlign w:val="superscript"/>
          <w:lang w:val="fr-BE"/>
        </w:rPr>
        <w:t>14</w:t>
      </w:r>
      <w:r w:rsidR="009344A1" w:rsidRPr="00DD005C">
        <w:rPr>
          <w:sz w:val="24"/>
          <w:vertAlign w:val="superscript"/>
          <w:lang w:val="fr-BE"/>
        </w:rPr>
        <w:t xml:space="preserve"> </w:t>
      </w:r>
      <w:r w:rsidR="009344A1" w:rsidRPr="00DD005C">
        <w:rPr>
          <w:sz w:val="24"/>
          <w:vertAlign w:val="superscript"/>
          <w:lang w:val="fr-BE"/>
        </w:rPr>
        <w:tab/>
      </w:r>
      <w:hyperlink r:id="rId7" w:history="1">
        <w:r w:rsidR="00BE07EA" w:rsidRPr="00691B25">
          <w:rPr>
            <w:rStyle w:val="Hyperlink"/>
            <w:sz w:val="24"/>
            <w:lang w:val="fr-BE"/>
          </w:rPr>
          <w:t>https://national-parliaments-opinions.ec.europa.eu/home</w:t>
        </w:r>
      </w:hyperlink>
      <w:r w:rsidR="00BE07EA" w:rsidRPr="00691B25">
        <w:rPr>
          <w:sz w:val="24"/>
          <w:lang w:val="fr-BE"/>
        </w:rPr>
        <w:t>.</w:t>
      </w:r>
    </w:p>
  </w:footnote>
  <w:footnote w:id="15">
    <w:p w14:paraId="5039882C" w14:textId="0F93E820" w:rsidR="00E12E3D" w:rsidRPr="00DD005C" w:rsidRDefault="00E12E3D" w:rsidP="009344A1">
      <w:pPr>
        <w:pStyle w:val="FootnoteText"/>
        <w:ind w:left="567" w:hanging="567"/>
        <w:rPr>
          <w:sz w:val="24"/>
          <w:lang w:val="fr-BE"/>
        </w:rPr>
      </w:pPr>
      <w:r w:rsidRPr="00DD005C">
        <w:rPr>
          <w:sz w:val="24"/>
          <w:vertAlign w:val="superscript"/>
          <w:lang w:val="fr-BE"/>
        </w:rPr>
        <w:t>15</w:t>
      </w:r>
      <w:r w:rsidR="009344A1" w:rsidRPr="00DD005C">
        <w:rPr>
          <w:sz w:val="24"/>
          <w:vertAlign w:val="superscript"/>
          <w:lang w:val="fr-BE"/>
        </w:rPr>
        <w:t xml:space="preserve"> </w:t>
      </w:r>
      <w:r w:rsidR="009344A1" w:rsidRPr="00DD005C">
        <w:rPr>
          <w:sz w:val="24"/>
          <w:vertAlign w:val="superscript"/>
          <w:lang w:val="fr-BE"/>
        </w:rPr>
        <w:tab/>
      </w:r>
      <w:hyperlink r:id="rId8" w:history="1">
        <w:r w:rsidR="00BE07EA" w:rsidRPr="00691B25">
          <w:rPr>
            <w:rStyle w:val="Hyperlink"/>
            <w:sz w:val="24"/>
            <w:lang w:val="fr-BE"/>
          </w:rPr>
          <w:t>https://secure.ipex.eu/IPEXL-WEB/download/file/8a8629a8930500d90193061cc8e70006/LXXII%20COSAC%20Contribution%20EN.pdf</w:t>
        </w:r>
      </w:hyperlink>
      <w:r w:rsidR="00BE07EA" w:rsidRPr="00691B25">
        <w:rPr>
          <w:sz w:val="24"/>
          <w:lang w:val="fr-BE"/>
        </w:rPr>
        <w:t>.</w:t>
      </w:r>
    </w:p>
  </w:footnote>
  <w:footnote w:id="16">
    <w:p w14:paraId="4A29F0AD" w14:textId="00D52BDC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16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>Wyrok Trybunału Sprawiedliwości z dnia 18 czerwca 2015 r., Republika Estońska/Parlament Europejski i Rada Unii Europejskiej, C-508/13, ECLI:EU:C:2015:403.</w:t>
      </w:r>
    </w:p>
  </w:footnote>
  <w:footnote w:id="17">
    <w:p w14:paraId="4602FDE1" w14:textId="615AE3E5" w:rsidR="00E12E3D" w:rsidRPr="009344A1" w:rsidRDefault="00E12E3D" w:rsidP="009344A1">
      <w:pPr>
        <w:pStyle w:val="FootnoteText"/>
        <w:ind w:left="567" w:hanging="567"/>
        <w:rPr>
          <w:sz w:val="24"/>
          <w:lang w:val="pl-PL"/>
        </w:rPr>
      </w:pPr>
      <w:r w:rsidRPr="009344A1">
        <w:rPr>
          <w:sz w:val="24"/>
          <w:vertAlign w:val="superscript"/>
          <w:lang w:val="pl-PL"/>
        </w:rPr>
        <w:t>17</w:t>
      </w:r>
      <w:r w:rsidR="009344A1" w:rsidRPr="009344A1">
        <w:rPr>
          <w:sz w:val="24"/>
          <w:vertAlign w:val="superscript"/>
          <w:lang w:val="pl-PL"/>
        </w:rPr>
        <w:t xml:space="preserve"> </w:t>
      </w:r>
      <w:r w:rsidR="009344A1" w:rsidRPr="009344A1">
        <w:rPr>
          <w:sz w:val="24"/>
          <w:vertAlign w:val="superscript"/>
          <w:lang w:val="pl-PL"/>
        </w:rPr>
        <w:tab/>
      </w:r>
      <w:r w:rsidRPr="009344A1">
        <w:rPr>
          <w:sz w:val="24"/>
          <w:lang w:val="pl-PL"/>
        </w:rPr>
        <w:t>Wyrok Trybunału Sprawiedliwości z dnia 3 grudnia 2019 r., Republika Czeska/Parlament Europejski i Rada Unii Europejskiej, C-482/17, ECLI:EU:C:2019:1035.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D4E26" w14:textId="77777777" w:rsidR="00064002" w:rsidRPr="009344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65737" w14:textId="77777777" w:rsidR="00064002" w:rsidRPr="009344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3D1F7" w14:textId="77777777" w:rsidR="00064002" w:rsidRPr="009344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8486143">
    <w:abstractNumId w:val="9"/>
  </w:num>
  <w:num w:numId="2" w16cid:durableId="1478108906">
    <w:abstractNumId w:val="9"/>
  </w:num>
  <w:num w:numId="3" w16cid:durableId="1882205218">
    <w:abstractNumId w:val="7"/>
  </w:num>
  <w:num w:numId="4" w16cid:durableId="733699187">
    <w:abstractNumId w:val="7"/>
  </w:num>
  <w:num w:numId="5" w16cid:durableId="1793329805">
    <w:abstractNumId w:val="6"/>
  </w:num>
  <w:num w:numId="6" w16cid:durableId="843473741">
    <w:abstractNumId w:val="6"/>
  </w:num>
  <w:num w:numId="7" w16cid:durableId="2089308219">
    <w:abstractNumId w:val="5"/>
  </w:num>
  <w:num w:numId="8" w16cid:durableId="517935377">
    <w:abstractNumId w:val="5"/>
  </w:num>
  <w:num w:numId="9" w16cid:durableId="1844128748">
    <w:abstractNumId w:val="4"/>
  </w:num>
  <w:num w:numId="10" w16cid:durableId="1821531533">
    <w:abstractNumId w:val="4"/>
  </w:num>
  <w:num w:numId="11" w16cid:durableId="382097503">
    <w:abstractNumId w:val="8"/>
  </w:num>
  <w:num w:numId="12" w16cid:durableId="1798178446">
    <w:abstractNumId w:val="8"/>
  </w:num>
  <w:num w:numId="13" w16cid:durableId="1228342308">
    <w:abstractNumId w:val="3"/>
  </w:num>
  <w:num w:numId="14" w16cid:durableId="1011181773">
    <w:abstractNumId w:val="3"/>
  </w:num>
  <w:num w:numId="15" w16cid:durableId="971791704">
    <w:abstractNumId w:val="2"/>
  </w:num>
  <w:num w:numId="16" w16cid:durableId="1344241626">
    <w:abstractNumId w:val="2"/>
  </w:num>
  <w:num w:numId="17" w16cid:durableId="1635209260">
    <w:abstractNumId w:val="1"/>
  </w:num>
  <w:num w:numId="18" w16cid:durableId="1092358642">
    <w:abstractNumId w:val="1"/>
  </w:num>
  <w:num w:numId="19" w16cid:durableId="1072196429">
    <w:abstractNumId w:val="0"/>
  </w:num>
  <w:num w:numId="20" w16cid:durableId="2065448108">
    <w:abstractNumId w:val="0"/>
  </w:num>
  <w:num w:numId="21" w16cid:durableId="1800759475">
    <w:abstractNumId w:val="9"/>
  </w:num>
  <w:num w:numId="22" w16cid:durableId="1600483272">
    <w:abstractNumId w:val="7"/>
  </w:num>
  <w:num w:numId="23" w16cid:durableId="243955397">
    <w:abstractNumId w:val="6"/>
  </w:num>
  <w:num w:numId="24" w16cid:durableId="533733627">
    <w:abstractNumId w:val="5"/>
  </w:num>
  <w:num w:numId="25" w16cid:durableId="923106908">
    <w:abstractNumId w:val="4"/>
  </w:num>
  <w:num w:numId="26" w16cid:durableId="479465202">
    <w:abstractNumId w:val="8"/>
  </w:num>
  <w:num w:numId="27" w16cid:durableId="1844928709">
    <w:abstractNumId w:val="3"/>
  </w:num>
  <w:num w:numId="28" w16cid:durableId="2142142173">
    <w:abstractNumId w:val="2"/>
  </w:num>
  <w:num w:numId="29" w16cid:durableId="1609849425">
    <w:abstractNumId w:val="1"/>
  </w:num>
  <w:num w:numId="30" w16cid:durableId="1008406820">
    <w:abstractNumId w:val="0"/>
  </w:num>
  <w:num w:numId="31" w16cid:durableId="996029279">
    <w:abstractNumId w:val="9"/>
  </w:num>
  <w:num w:numId="32" w16cid:durableId="218785209">
    <w:abstractNumId w:val="7"/>
  </w:num>
  <w:num w:numId="33" w16cid:durableId="1161850490">
    <w:abstractNumId w:val="6"/>
  </w:num>
  <w:num w:numId="34" w16cid:durableId="1867794437">
    <w:abstractNumId w:val="5"/>
  </w:num>
  <w:num w:numId="35" w16cid:durableId="1094396312">
    <w:abstractNumId w:val="4"/>
  </w:num>
  <w:num w:numId="36" w16cid:durableId="1898348468">
    <w:abstractNumId w:val="8"/>
  </w:num>
  <w:num w:numId="37" w16cid:durableId="116408929">
    <w:abstractNumId w:val="3"/>
  </w:num>
  <w:num w:numId="38" w16cid:durableId="2000844844">
    <w:abstractNumId w:val="2"/>
  </w:num>
  <w:num w:numId="39" w16cid:durableId="1264916978">
    <w:abstractNumId w:val="1"/>
  </w:num>
  <w:num w:numId="40" w16cid:durableId="1218593838">
    <w:abstractNumId w:val="0"/>
  </w:num>
  <w:num w:numId="41" w16cid:durableId="121461325">
    <w:abstractNumId w:val="10"/>
  </w:num>
  <w:num w:numId="42" w16cid:durableId="579869770">
    <w:abstractNumId w:val="10"/>
  </w:num>
  <w:num w:numId="43" w16cid:durableId="194847950">
    <w:abstractNumId w:val="10"/>
  </w:num>
  <w:num w:numId="44" w16cid:durableId="3330766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4/2025"/>
    <w:docVar w:name="dvlangue" w:val="PL"/>
    <w:docVar w:name="dvnumam" w:val="0"/>
    <w:docVar w:name="dvpe" w:val="768.159"/>
    <w:docVar w:name="dvrapporteur" w:val="Sprawozdawca: "/>
    <w:docVar w:name="dvtitre" w:val="Rezolucja Parlamentu Europejskiego z dnia  2025 r. w sprawie stosowania postanowień traktatowych dotyczących zasad pomocniczości i proporcjonalności oraz roli parlamentów narodowych w procesie legislacyjnym UE(2025/2042(INI))"/>
  </w:docVars>
  <w:rsids>
    <w:rsidRoot w:val="00093ACD"/>
    <w:rsid w:val="00002272"/>
    <w:rsid w:val="00064002"/>
    <w:rsid w:val="000677B9"/>
    <w:rsid w:val="000831BA"/>
    <w:rsid w:val="00093ACD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25D9"/>
    <w:rsid w:val="00343214"/>
    <w:rsid w:val="00361C00"/>
    <w:rsid w:val="00395FA1"/>
    <w:rsid w:val="003E15D4"/>
    <w:rsid w:val="00411CCE"/>
    <w:rsid w:val="0041666E"/>
    <w:rsid w:val="00421060"/>
    <w:rsid w:val="00433E2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E31"/>
    <w:rsid w:val="005C2568"/>
    <w:rsid w:val="005F1B17"/>
    <w:rsid w:val="006037C0"/>
    <w:rsid w:val="00622B5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4A1"/>
    <w:rsid w:val="009509D8"/>
    <w:rsid w:val="00950B64"/>
    <w:rsid w:val="00981893"/>
    <w:rsid w:val="009F04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7EA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05C"/>
    <w:rsid w:val="00E12E3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A3818"/>
  <w15:chartTrackingRefBased/>
  <w15:docId w15:val="{2B615799-6F06-440F-B4A8-C20792BD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E12E3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E12E3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E12E3D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12E3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E12E3D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12E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ipex.eu/IPEXL-WEB/download/file/8a8629a8930500d90193061cc8e70006/LXXII%20COSAC%20Contribution%20EN.pdf" TargetMode="External"/><Relationship Id="rId3" Type="http://schemas.openxmlformats.org/officeDocument/2006/relationships/hyperlink" Target="http://data.europa.eu/eli/C/2024/4216/oj" TargetMode="External"/><Relationship Id="rId7" Type="http://schemas.openxmlformats.org/officeDocument/2006/relationships/hyperlink" Target="https://national-parliaments-opinions.ec.europa.eu/home" TargetMode="External"/><Relationship Id="rId2" Type="http://schemas.openxmlformats.org/officeDocument/2006/relationships/hyperlink" Target="http://data.europa.eu/eli/C/2024/5714/oj" TargetMode="External"/><Relationship Id="rId1" Type="http://schemas.openxmlformats.org/officeDocument/2006/relationships/hyperlink" Target="http://data.europa.eu/eli/treaty/tfeu_2016/pro_1/oj" TargetMode="External"/><Relationship Id="rId6" Type="http://schemas.openxmlformats.org/officeDocument/2006/relationships/hyperlink" Target="http://data.europa.eu/eli/dir/2018/957/oj" TargetMode="External"/><Relationship Id="rId5" Type="http://schemas.openxmlformats.org/officeDocument/2006/relationships/hyperlink" Target="https://commission.europa.eu/document/download/8530a17b-e2b8-4cd4-a68d-597767cfbad7_en?filename=report-task-force-subsidiarity-proportionality-and-doing-less-more-efficiently_en.pdf" TargetMode="External"/><Relationship Id="rId4" Type="http://schemas.openxmlformats.org/officeDocument/2006/relationships/hyperlink" Target="https://commission.europa.eu/topics/eu-competitiveness/draghi-report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3921</Words>
  <Characters>27095</Characters>
  <Application>Microsoft Office Word</Application>
  <DocSecurity>0</DocSecurity>
  <Lines>576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2025-12-17T14:18:00Z</dcterms:created>
  <dcterms:modified xsi:type="dcterms:W3CDTF">2025-12-17T14:18:00Z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A10-0224/2025</vt:lpwstr>
  </property>
  <property fmtid="{D5CDD505-2E9C-101B-9397-08002B2CF9AE}" pid="4" name="&lt;Type&gt;">
    <vt:lpwstr>RR</vt:lpwstr>
  </property>
</Properties>
</file>