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17C6" w14:paraId="3E21239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C880CA" w14:textId="77777777" w:rsidR="00751A4A" w:rsidRPr="006C17C6" w:rsidRDefault="00413B6C" w:rsidP="0010095E">
            <w:pPr>
              <w:pStyle w:val="EPName"/>
            </w:pPr>
            <w:r w:rsidRPr="006C17C6">
              <w:t>Európsky parlament</w:t>
            </w:r>
          </w:p>
          <w:p w14:paraId="4A01D1E0" w14:textId="77777777" w:rsidR="00751A4A" w:rsidRPr="006C17C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17C6">
              <w:t>2024</w:t>
            </w:r>
            <w:r w:rsidR="00817416" w:rsidRPr="006C17C6">
              <w:t>-202</w:t>
            </w:r>
            <w:r w:rsidRPr="006C17C6">
              <w:t>9</w:t>
            </w:r>
          </w:p>
        </w:tc>
        <w:tc>
          <w:tcPr>
            <w:tcW w:w="2268" w:type="dxa"/>
            <w:shd w:val="clear" w:color="auto" w:fill="auto"/>
          </w:tcPr>
          <w:p w14:paraId="42DD4808" w14:textId="77777777" w:rsidR="00751A4A" w:rsidRPr="006C17C6" w:rsidRDefault="00187494" w:rsidP="0010095E">
            <w:pPr>
              <w:pStyle w:val="EPLogo"/>
            </w:pPr>
            <w:r w:rsidRPr="006C17C6">
              <w:rPr>
                <w:noProof/>
                <w:lang w:eastAsia="ja-JP"/>
              </w:rPr>
              <w:drawing>
                <wp:inline distT="0" distB="0" distL="0" distR="0" wp14:anchorId="042AC7ED" wp14:editId="7844742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5F12AD" w14:textId="77777777" w:rsidR="00D058B8" w:rsidRPr="006C17C6" w:rsidRDefault="00D058B8" w:rsidP="004C5D52">
      <w:pPr>
        <w:pStyle w:val="LineTop"/>
      </w:pPr>
    </w:p>
    <w:p w14:paraId="125C40E1" w14:textId="77777777" w:rsidR="00680577" w:rsidRPr="006C17C6" w:rsidRDefault="00413B6C" w:rsidP="00680577">
      <w:pPr>
        <w:pStyle w:val="EPBodyTA1"/>
      </w:pPr>
      <w:r w:rsidRPr="006C17C6">
        <w:t>PRIJATÉ TEXTY</w:t>
      </w:r>
    </w:p>
    <w:p w14:paraId="7831BCE5" w14:textId="77777777" w:rsidR="00D058B8" w:rsidRPr="006C17C6" w:rsidRDefault="00D058B8" w:rsidP="00D058B8">
      <w:pPr>
        <w:pStyle w:val="LineBottom"/>
      </w:pPr>
    </w:p>
    <w:p w14:paraId="27289022" w14:textId="01C713DA" w:rsidR="00413B6C" w:rsidRPr="006C17C6" w:rsidRDefault="00413B6C" w:rsidP="00413B6C">
      <w:pPr>
        <w:pStyle w:val="ATHeading1"/>
      </w:pPr>
      <w:bookmarkStart w:id="0" w:name="TANumber"/>
      <w:r w:rsidRPr="006C17C6">
        <w:t>P10_TA(2025)0</w:t>
      </w:r>
      <w:r w:rsidR="006C17C6" w:rsidRPr="006C17C6">
        <w:t>309</w:t>
      </w:r>
      <w:bookmarkEnd w:id="0"/>
    </w:p>
    <w:p w14:paraId="5A2E3467" w14:textId="77777777" w:rsidR="00413B6C" w:rsidRPr="006C17C6" w:rsidRDefault="00413B6C" w:rsidP="00413B6C">
      <w:pPr>
        <w:pStyle w:val="ATHeading2"/>
      </w:pPr>
      <w:bookmarkStart w:id="1" w:name="title"/>
      <w:r w:rsidRPr="006C17C6">
        <w:t>Uplatňovanie ustanovení zmluvy týkajúcich sa zásad subsidiarity a proporcionality a úloha národných parlamentov v legislatívnom procese EÚ</w:t>
      </w:r>
      <w:bookmarkEnd w:id="1"/>
    </w:p>
    <w:p w14:paraId="399D3B45" w14:textId="77777777" w:rsidR="00413B6C" w:rsidRPr="006C17C6" w:rsidRDefault="00413B6C" w:rsidP="00413B6C">
      <w:pPr>
        <w:rPr>
          <w:i/>
          <w:vanish/>
        </w:rPr>
      </w:pPr>
      <w:r w:rsidRPr="006C17C6">
        <w:rPr>
          <w:i/>
        </w:rPr>
        <w:fldChar w:fldCharType="begin"/>
      </w:r>
      <w:r w:rsidRPr="006C17C6">
        <w:rPr>
          <w:i/>
        </w:rPr>
        <w:instrText xml:space="preserve"> TC"(</w:instrText>
      </w:r>
      <w:bookmarkStart w:id="2" w:name="DocNumber"/>
      <w:r w:rsidRPr="006C17C6">
        <w:rPr>
          <w:i/>
        </w:rPr>
        <w:instrText>A10-0224/2025</w:instrText>
      </w:r>
      <w:bookmarkEnd w:id="2"/>
      <w:r w:rsidRPr="006C17C6">
        <w:rPr>
          <w:i/>
        </w:rPr>
        <w:instrText xml:space="preserve"> - Spravodajkyňa: Marieke Ehlers)"\l3 \n&gt; \* MERGEFORMAT </w:instrText>
      </w:r>
      <w:r w:rsidRPr="006C17C6">
        <w:rPr>
          <w:i/>
        </w:rPr>
        <w:fldChar w:fldCharType="end"/>
      </w:r>
    </w:p>
    <w:p w14:paraId="5FF79676" w14:textId="77777777" w:rsidR="00413B6C" w:rsidRPr="006C17C6" w:rsidRDefault="00413B6C" w:rsidP="00413B6C">
      <w:pPr>
        <w:rPr>
          <w:vanish/>
        </w:rPr>
      </w:pPr>
      <w:bookmarkStart w:id="3" w:name="Commission"/>
      <w:r w:rsidRPr="006C17C6">
        <w:rPr>
          <w:vanish/>
        </w:rPr>
        <w:t>Výbor pre ústavné veci</w:t>
      </w:r>
      <w:bookmarkEnd w:id="3"/>
    </w:p>
    <w:p w14:paraId="38542940" w14:textId="77777777" w:rsidR="00413B6C" w:rsidRPr="006C17C6" w:rsidRDefault="00413B6C" w:rsidP="00413B6C">
      <w:pPr>
        <w:rPr>
          <w:vanish/>
        </w:rPr>
      </w:pPr>
      <w:bookmarkStart w:id="4" w:name="PE"/>
      <w:r w:rsidRPr="006C17C6">
        <w:rPr>
          <w:vanish/>
        </w:rPr>
        <w:t>PE768.159</w:t>
      </w:r>
      <w:bookmarkEnd w:id="4"/>
    </w:p>
    <w:p w14:paraId="0FBF43CF" w14:textId="78592B36" w:rsidR="00413B6C" w:rsidRPr="006C17C6" w:rsidRDefault="00413B6C" w:rsidP="006C17C6">
      <w:pPr>
        <w:pStyle w:val="ATHeading3"/>
        <w:spacing w:after="240"/>
      </w:pPr>
      <w:bookmarkStart w:id="5" w:name="Sujet"/>
      <w:r w:rsidRPr="006C17C6">
        <w:t>Uznesenie Európskeho parlamentu z</w:t>
      </w:r>
      <w:r w:rsidR="006C17C6" w:rsidRPr="006C17C6">
        <w:t> 27</w:t>
      </w:r>
      <w:r w:rsidRPr="006C17C6">
        <w:t>. novembra 2025 o uplatňovaní ustanovení zmluvy týkajúcich sa zásad subsidiarity a proporcionality a úlohe národných parlamentov v legislatívnom procese EÚ</w:t>
      </w:r>
      <w:bookmarkEnd w:id="5"/>
      <w:r w:rsidRPr="006C17C6">
        <w:t xml:space="preserve"> </w:t>
      </w:r>
      <w:bookmarkStart w:id="6" w:name="References"/>
      <w:r w:rsidRPr="006C17C6">
        <w:t>(2025/2042(INI))</w:t>
      </w:r>
      <w:bookmarkEnd w:id="6"/>
    </w:p>
    <w:p w14:paraId="002DAEA4" w14:textId="77777777" w:rsidR="0024343C" w:rsidRPr="006C17C6" w:rsidRDefault="0024343C" w:rsidP="0024343C">
      <w:pPr>
        <w:pStyle w:val="Normal12"/>
      </w:pPr>
      <w:r w:rsidRPr="006C17C6">
        <w:rPr>
          <w:i/>
        </w:rPr>
        <w:t>Európsky parlament</w:t>
      </w:r>
      <w:r w:rsidRPr="006C17C6">
        <w:t>,</w:t>
      </w:r>
    </w:p>
    <w:p w14:paraId="73917A81" w14:textId="43A2E352" w:rsidR="0024343C" w:rsidRPr="006C17C6" w:rsidRDefault="0024343C" w:rsidP="0024343C">
      <w:pPr>
        <w:pStyle w:val="NormalHanging"/>
      </w:pPr>
      <w:r w:rsidRPr="006C17C6">
        <w:t>–</w:t>
      </w:r>
      <w:r w:rsidRPr="006C17C6">
        <w:tab/>
        <w:t>so zreteľom na Zmluvu o Európskej únii (</w:t>
      </w:r>
      <w:r w:rsidR="006648AA" w:rsidRPr="006C17C6">
        <w:t>ďalej len „</w:t>
      </w:r>
      <w:r w:rsidRPr="006C17C6">
        <w:t>Z</w:t>
      </w:r>
      <w:r w:rsidR="006648AA" w:rsidRPr="006C17C6">
        <w:t xml:space="preserve">mluva o </w:t>
      </w:r>
      <w:r w:rsidRPr="006C17C6">
        <w:t>EÚ</w:t>
      </w:r>
      <w:r w:rsidR="006648AA" w:rsidRPr="006C17C6">
        <w:t>“</w:t>
      </w:r>
      <w:r w:rsidRPr="006C17C6">
        <w:t xml:space="preserve">), a najmä na jej článok 5 týkajúci sa prenesenia právomocí, subsidiarity a proporcionality, článok 10 ods. 1 o zastupiteľskej demokracii, článok 10 ods. 2 o zastúpení občanov EÚ, článok 10 ods. 3 o práve občanov EÚ podieľať sa na demokratickom živote </w:t>
      </w:r>
      <w:r w:rsidR="00811002">
        <w:t>EÚ</w:t>
      </w:r>
      <w:r w:rsidRPr="006C17C6">
        <w:t>, článok 11 o </w:t>
      </w:r>
      <w:proofErr w:type="spellStart"/>
      <w:r w:rsidRPr="006C17C6">
        <w:t>participatívnej</w:t>
      </w:r>
      <w:proofErr w:type="spellEnd"/>
      <w:r w:rsidRPr="006C17C6">
        <w:t xml:space="preserve"> demokracii a článok 12 o úlohe národných parlamentov,</w:t>
      </w:r>
    </w:p>
    <w:p w14:paraId="2F159828" w14:textId="5ACA738B" w:rsidR="0024343C" w:rsidRPr="006C17C6" w:rsidRDefault="0024343C" w:rsidP="0024343C">
      <w:pPr>
        <w:pStyle w:val="NormalHanging"/>
      </w:pPr>
      <w:r w:rsidRPr="006C17C6">
        <w:t>–</w:t>
      </w:r>
      <w:r w:rsidRPr="006C17C6">
        <w:tab/>
        <w:t>so zreteľom na Protokol č. 1 k</w:t>
      </w:r>
      <w:r w:rsidR="006648AA" w:rsidRPr="006C17C6">
        <w:t> </w:t>
      </w:r>
      <w:r w:rsidRPr="006C17C6">
        <w:t>Z</w:t>
      </w:r>
      <w:r w:rsidR="006648AA" w:rsidRPr="006C17C6">
        <w:t xml:space="preserve">mluve o </w:t>
      </w:r>
      <w:r w:rsidRPr="006C17C6">
        <w:t>EÚ a Zmluve o fungovaní Európskej únie (</w:t>
      </w:r>
      <w:r w:rsidR="006648AA" w:rsidRPr="006C17C6">
        <w:t>ďalej len „</w:t>
      </w:r>
      <w:r w:rsidRPr="006C17C6">
        <w:t>ZFEÚ</w:t>
      </w:r>
      <w:r w:rsidR="006648AA" w:rsidRPr="006C17C6">
        <w:t>“</w:t>
      </w:r>
      <w:r w:rsidRPr="006C17C6">
        <w:t>) o úlohe národných parlamentov v Európskej únii</w:t>
      </w:r>
      <w:r w:rsidRPr="006C17C6">
        <w:rPr>
          <w:rStyle w:val="FootnoteReference"/>
        </w:rPr>
        <w:footnoteReference w:customMarkFollows="1" w:id="1"/>
        <w:t>1</w:t>
      </w:r>
      <w:r w:rsidRPr="006C17C6">
        <w:t xml:space="preserve"> a na Protokol č. 2 k</w:t>
      </w:r>
      <w:r w:rsidR="006648AA" w:rsidRPr="006C17C6">
        <w:t> </w:t>
      </w:r>
      <w:r w:rsidRPr="006C17C6">
        <w:t>Z</w:t>
      </w:r>
      <w:r w:rsidR="006648AA" w:rsidRPr="006C17C6">
        <w:t xml:space="preserve">mluve o </w:t>
      </w:r>
      <w:r w:rsidRPr="006C17C6">
        <w:t>EÚ a ZFEÚ o uplatňovaní zásad subsidiarity a proporcionality</w:t>
      </w:r>
      <w:r w:rsidRPr="006C17C6">
        <w:rPr>
          <w:rStyle w:val="FootnoteReference"/>
        </w:rPr>
        <w:footnoteReference w:customMarkFollows="1" w:id="2"/>
        <w:t>2</w:t>
      </w:r>
      <w:r w:rsidRPr="006C17C6">
        <w:t>,</w:t>
      </w:r>
    </w:p>
    <w:p w14:paraId="6A7B10F8" w14:textId="77777777" w:rsidR="0024343C" w:rsidRPr="006C17C6" w:rsidRDefault="0024343C" w:rsidP="0024343C">
      <w:pPr>
        <w:pStyle w:val="NormalHanging"/>
      </w:pPr>
      <w:r w:rsidRPr="006C17C6">
        <w:t>–</w:t>
      </w:r>
      <w:r w:rsidRPr="006C17C6">
        <w:tab/>
        <w:t>so zreteľom na články 2 až 6, 153 a 122 ZFEÚ,</w:t>
      </w:r>
    </w:p>
    <w:p w14:paraId="0E46DD27" w14:textId="77777777" w:rsidR="0024343C" w:rsidRPr="006C17C6" w:rsidRDefault="0024343C" w:rsidP="0024343C">
      <w:pPr>
        <w:pStyle w:val="NormalHanging"/>
      </w:pPr>
      <w:r w:rsidRPr="006C17C6">
        <w:t>–</w:t>
      </w:r>
      <w:r w:rsidRPr="006C17C6">
        <w:tab/>
        <w:t>so zreteľom na svoje uznesenia zo 7. mája 2009 o rozvoji vzťahov medzi Európskym parlamentom a národnými parlamentmi podľa Lisabonskej zmluvy</w:t>
      </w:r>
      <w:r w:rsidRPr="006C17C6">
        <w:rPr>
          <w:rStyle w:val="FootnoteReference"/>
        </w:rPr>
        <w:footnoteReference w:customMarkFollows="1" w:id="3"/>
        <w:t>3</w:t>
      </w:r>
      <w:r w:rsidRPr="006C17C6">
        <w:t>, zo 16. apríla 2014 o vzťahoch medzi Európskym parlamentom a národnými parlamentmi</w:t>
      </w:r>
      <w:r w:rsidRPr="006C17C6">
        <w:rPr>
          <w:rStyle w:val="FootnoteReference"/>
        </w:rPr>
        <w:footnoteReference w:customMarkFollows="1" w:id="4"/>
        <w:t>4</w:t>
      </w:r>
      <w:r w:rsidRPr="006C17C6">
        <w:t>, z 19. apríla 2018 o vykonávaní ustanovení zmluvy týkajúcich sa národných parlamentov</w:t>
      </w:r>
      <w:r w:rsidRPr="006C17C6">
        <w:rPr>
          <w:rStyle w:val="FootnoteReference"/>
        </w:rPr>
        <w:footnoteReference w:customMarkFollows="1" w:id="5"/>
        <w:t>5</w:t>
      </w:r>
      <w:r w:rsidRPr="006C17C6">
        <w:t xml:space="preserve"> a zo 17. januára 2024 o vykonávaní ustanovení zmluvy týkajúcich sa národných parlamentov</w:t>
      </w:r>
      <w:r w:rsidRPr="006C17C6">
        <w:rPr>
          <w:rStyle w:val="FootnoteReference"/>
        </w:rPr>
        <w:footnoteReference w:customMarkFollows="1" w:id="6"/>
        <w:t>6</w:t>
      </w:r>
      <w:r w:rsidRPr="006C17C6">
        <w:t>,</w:t>
      </w:r>
    </w:p>
    <w:p w14:paraId="4F9ED997" w14:textId="77777777" w:rsidR="0024343C" w:rsidRPr="006C17C6" w:rsidRDefault="0024343C" w:rsidP="0024343C">
      <w:pPr>
        <w:pStyle w:val="NormalHanging"/>
      </w:pPr>
      <w:r w:rsidRPr="006C17C6">
        <w:lastRenderedPageBreak/>
        <w:t>–</w:t>
      </w:r>
      <w:r w:rsidRPr="006C17C6">
        <w:tab/>
        <w:t>so zreteľom na svoje uznesenie z 22. novembra 2023 o podnetoch Európskeho parlamentu na revíziu zmlúv</w:t>
      </w:r>
      <w:r w:rsidRPr="006C17C6">
        <w:rPr>
          <w:rStyle w:val="FootnoteReference"/>
        </w:rPr>
        <w:footnoteReference w:customMarkFollows="1" w:id="7"/>
        <w:t>7</w:t>
      </w:r>
      <w:r w:rsidRPr="006C17C6">
        <w:t>, najmä na navrhované zmeny týkajúce sa zásady subsidiarity a protokolu č. 2,</w:t>
      </w:r>
    </w:p>
    <w:p w14:paraId="1C0E4715" w14:textId="77777777" w:rsidR="0024343C" w:rsidRPr="006C17C6" w:rsidRDefault="0024343C" w:rsidP="0024343C">
      <w:pPr>
        <w:pStyle w:val="NormalHanging"/>
      </w:pPr>
      <w:r w:rsidRPr="006C17C6">
        <w:t>–</w:t>
      </w:r>
      <w:r w:rsidRPr="006C17C6">
        <w:tab/>
        <w:t xml:space="preserve">so zreteľom na správu Maria </w:t>
      </w:r>
      <w:proofErr w:type="spellStart"/>
      <w:r w:rsidRPr="006C17C6">
        <w:t>Draghiho</w:t>
      </w:r>
      <w:proofErr w:type="spellEnd"/>
      <w:r w:rsidRPr="006C17C6">
        <w:t xml:space="preserve"> z 9. septembra 2024 s názvom Budúcnosť európskej konkurencieschopnosti</w:t>
      </w:r>
      <w:r w:rsidRPr="006C17C6">
        <w:rPr>
          <w:rStyle w:val="FootnoteReference"/>
        </w:rPr>
        <w:footnoteReference w:customMarkFollows="1" w:id="8"/>
        <w:t>8</w:t>
      </w:r>
      <w:r w:rsidRPr="006C17C6">
        <w:t xml:space="preserve"> (</w:t>
      </w:r>
      <w:proofErr w:type="spellStart"/>
      <w:r w:rsidRPr="006C17C6">
        <w:t>Draghiho</w:t>
      </w:r>
      <w:proofErr w:type="spellEnd"/>
      <w:r w:rsidRPr="006C17C6">
        <w:t xml:space="preserve"> správa),</w:t>
      </w:r>
    </w:p>
    <w:p w14:paraId="6AC9A035" w14:textId="77777777" w:rsidR="0024343C" w:rsidRPr="006C17C6" w:rsidRDefault="0024343C" w:rsidP="0024343C">
      <w:pPr>
        <w:pStyle w:val="NormalHanging"/>
      </w:pPr>
      <w:r w:rsidRPr="006C17C6">
        <w:t>–</w:t>
      </w:r>
      <w:r w:rsidRPr="006C17C6">
        <w:tab/>
        <w:t>so zreteľom na výročné správy Komisie o uplatňovaní zásad subsidiarity a proporcionality a o vzťahoch s národnými parlamentmi,</w:t>
      </w:r>
    </w:p>
    <w:p w14:paraId="5413F834" w14:textId="77777777" w:rsidR="0024343C" w:rsidRPr="006C17C6" w:rsidRDefault="0024343C" w:rsidP="0024343C">
      <w:pPr>
        <w:pStyle w:val="NormalHanging"/>
      </w:pPr>
      <w:r w:rsidRPr="006C17C6">
        <w:t>–</w:t>
      </w:r>
      <w:r w:rsidRPr="006C17C6">
        <w:tab/>
        <w:t>so zreteľom na záverečnú správu osobitnej skupiny pre subsidiaritu a proporcionalitu a scenár s názvom Menej, ale efektívnejšie z 10. júla 2018</w:t>
      </w:r>
      <w:r w:rsidRPr="006C17C6">
        <w:rPr>
          <w:rStyle w:val="FootnoteReference"/>
        </w:rPr>
        <w:footnoteReference w:customMarkFollows="1" w:id="9"/>
        <w:t>9</w:t>
      </w:r>
      <w:r w:rsidRPr="006C17C6">
        <w:t>,</w:t>
      </w:r>
    </w:p>
    <w:p w14:paraId="1D25D2E9" w14:textId="77777777" w:rsidR="0024343C" w:rsidRPr="006C17C6" w:rsidRDefault="0024343C" w:rsidP="0024343C">
      <w:pPr>
        <w:pStyle w:val="NormalHanging"/>
      </w:pPr>
      <w:r w:rsidRPr="006C17C6">
        <w:t>–</w:t>
      </w:r>
      <w:r w:rsidRPr="006C17C6">
        <w:tab/>
        <w:t>so zreteľom na oznámenie Komisie z 23. októbra 2018 s názvom Zásady subsidiarity a proporcionality: Posilnenie ich úloh v tvorbe politík EÚ (COM(2018)0703),</w:t>
      </w:r>
    </w:p>
    <w:p w14:paraId="4F18FD53" w14:textId="77777777" w:rsidR="0024343C" w:rsidRPr="006C17C6" w:rsidRDefault="0024343C" w:rsidP="0024343C">
      <w:pPr>
        <w:pStyle w:val="NormalHanging"/>
      </w:pPr>
      <w:r w:rsidRPr="006C17C6">
        <w:t>–</w:t>
      </w:r>
      <w:r w:rsidRPr="006C17C6">
        <w:tab/>
        <w:t>so zreteľom na článok 55 rokovacieho poriadku,</w:t>
      </w:r>
    </w:p>
    <w:p w14:paraId="0CBB3A56" w14:textId="77777777" w:rsidR="0024343C" w:rsidRPr="006C17C6" w:rsidRDefault="0024343C" w:rsidP="0024343C">
      <w:pPr>
        <w:pStyle w:val="NormalHanging"/>
      </w:pPr>
      <w:r w:rsidRPr="006C17C6">
        <w:t>–</w:t>
      </w:r>
      <w:r w:rsidRPr="006C17C6">
        <w:tab/>
        <w:t>so zreteľom na správu Výboru pre ústavné veci (A10-0224/2025),</w:t>
      </w:r>
    </w:p>
    <w:p w14:paraId="05B9BF46" w14:textId="2B8F2B9E" w:rsidR="0024343C" w:rsidRPr="006C17C6" w:rsidRDefault="0024343C" w:rsidP="0024343C">
      <w:pPr>
        <w:pStyle w:val="NormalHanging"/>
      </w:pPr>
      <w:r w:rsidRPr="006C17C6">
        <w:t>A.</w:t>
      </w:r>
      <w:r w:rsidRPr="006C17C6">
        <w:tab/>
        <w:t>keďže zásada subsidiarity zakotvená v článku 5 ods. 3 Z</w:t>
      </w:r>
      <w:r w:rsidR="006648AA" w:rsidRPr="006C17C6">
        <w:t xml:space="preserve">mluvy o </w:t>
      </w:r>
      <w:r w:rsidRPr="006C17C6">
        <w:t>EÚ zabezpečuje, že: „Únia [koná] v oblastiach, ktoré nepatria do jej výlučnej právomoci, len v takom rozsahu a vtedy, ak ciele zamýšľané touto činnosťou nemôžu členské štáty uspokojivo dosiahnuť na ústrednej úrovni alebo na regionálnej a miestnej úrovni, ale z dôvodov rozsahu alebo účinkov navrhovanej činnosti ich možno lepšie dosiahnuť na úrovni Únie“; keďže táto zásada chráni rovnováhu moci v EÚ; keďže podľa zásady proporcionality uvedenej v článku 5 ods. 4 Z</w:t>
      </w:r>
      <w:r w:rsidR="006648AA" w:rsidRPr="006C17C6">
        <w:t xml:space="preserve">mluvy o </w:t>
      </w:r>
      <w:r w:rsidRPr="006C17C6">
        <w:t>EÚ nesmie obsah a forma činnosti EÚ presahovať rámec toho, čo je nevyhnutné na dosiahnutie cieľov zmlúv;</w:t>
      </w:r>
    </w:p>
    <w:p w14:paraId="41EBA597" w14:textId="77777777" w:rsidR="0024343C" w:rsidRPr="006C17C6" w:rsidRDefault="0024343C" w:rsidP="0024343C">
      <w:pPr>
        <w:pStyle w:val="NormalHanging"/>
      </w:pPr>
      <w:r w:rsidRPr="006C17C6">
        <w:t>B.</w:t>
      </w:r>
      <w:r w:rsidRPr="006C17C6">
        <w:tab/>
        <w:t>keďže uplatňovanie zásad subsidiarity a proporcionality je nevyhnutné na zabezpečenie demokratickej legitimity a regulačného vplyvu a efektívnosti EÚ; keďže je nevyhnutné, aby EÚ rešpektovala rozmanitosť členských štátov a vyhýbala sa zbytočnému regulačnému zaťaženiu členských štátov a právnych subjektov;</w:t>
      </w:r>
    </w:p>
    <w:p w14:paraId="083C5E70" w14:textId="77777777" w:rsidR="0024343C" w:rsidRPr="006C17C6" w:rsidRDefault="0024343C" w:rsidP="0024343C">
      <w:pPr>
        <w:pStyle w:val="NormalHanging"/>
      </w:pPr>
      <w:r w:rsidRPr="006C17C6">
        <w:t>C.</w:t>
      </w:r>
      <w:r w:rsidRPr="006C17C6">
        <w:tab/>
        <w:t>keďže v článkoch 2 až 6 ZFEÚ sa jasne vymedzujú výlučné, spoločné a podporné právomoci EÚ;</w:t>
      </w:r>
    </w:p>
    <w:p w14:paraId="0EFF943B" w14:textId="6CD5E772" w:rsidR="0024343C" w:rsidRPr="006C17C6" w:rsidRDefault="0024343C" w:rsidP="0024343C">
      <w:pPr>
        <w:pStyle w:val="NormalHanging"/>
      </w:pPr>
      <w:r w:rsidRPr="006C17C6">
        <w:t>D.</w:t>
      </w:r>
      <w:r w:rsidRPr="006C17C6">
        <w:tab/>
        <w:t>keďže zásady subsidiarity a proporcionality sa výslovne uviedli po prvýkrát v Maastrichtskej zmluve s cieľom vyvážiť rastúce právomoc</w:t>
      </w:r>
      <w:r w:rsidR="00811002">
        <w:t>i EÚ</w:t>
      </w:r>
      <w:r w:rsidRPr="006C17C6">
        <w:t xml:space="preserve"> a zvrchovanosť členských štátov; keďže úloha národných parlamentov bola posilnená protokolom č. 2 k zmluvám doplneným Lisabonskou zmluvou, a to zavedením systému včasného varovania;</w:t>
      </w:r>
    </w:p>
    <w:p w14:paraId="7DE64EFB" w14:textId="77777777" w:rsidR="0024343C" w:rsidRPr="006C17C6" w:rsidRDefault="0024343C" w:rsidP="0024343C">
      <w:pPr>
        <w:pStyle w:val="NormalHanging"/>
      </w:pPr>
      <w:r w:rsidRPr="006C17C6">
        <w:lastRenderedPageBreak/>
        <w:t>E.</w:t>
      </w:r>
      <w:r w:rsidRPr="006C17C6">
        <w:tab/>
        <w:t>keďže od nadobudnutia platnosti Lisabonskej zmluvy v roku 2009 národné parlamenty predložili 577 kontrol subsidiarity a odôvodnených stanovísk, 3 803 príspevkov, tri „žlté karty“ a nepredložili žiadne „oranžové karty“;</w:t>
      </w:r>
    </w:p>
    <w:p w14:paraId="0770F231" w14:textId="77777777" w:rsidR="0024343C" w:rsidRPr="006C17C6" w:rsidRDefault="0024343C" w:rsidP="0024343C">
      <w:pPr>
        <w:pStyle w:val="NormalHanging"/>
      </w:pPr>
      <w:r w:rsidRPr="006C17C6">
        <w:t>F.</w:t>
      </w:r>
      <w:r w:rsidRPr="006C17C6">
        <w:tab/>
        <w:t>keďže v súlade so zásadami zakotvenými v Lisabonskej zmluve, najmä v protokole č. 2 o uplatňovaní zásad subsidiarity a proporcionality, sa v celom inštitucionálnom rámci EÚ musí vyvíjať konzistentné a trvalé úsilie o zabezpečenie aktívneho zapojenia národných parlamentov do európskeho rozhodovacieho procesu; keďže mechanizmy „žltej karty“ a „oranžovej karty“ stanovené v Lisabonskej zmluve by sa mali posilniť a malo by sa zvážiť ďalšie zvýšenie ich účinnosti;</w:t>
      </w:r>
    </w:p>
    <w:p w14:paraId="1307F0C9" w14:textId="77777777" w:rsidR="0024343C" w:rsidRPr="006C17C6" w:rsidRDefault="0024343C" w:rsidP="0024343C">
      <w:pPr>
        <w:pStyle w:val="NormalHanging"/>
      </w:pPr>
      <w:r w:rsidRPr="006C17C6">
        <w:t>G.</w:t>
      </w:r>
      <w:r w:rsidRPr="006C17C6">
        <w:tab/>
        <w:t>keďže len prvý z troch postupov „žltej karty“ viedol k stiahnutiu návrhu nariadenia</w:t>
      </w:r>
      <w:r w:rsidRPr="006C17C6">
        <w:rPr>
          <w:rStyle w:val="FootnoteReference"/>
        </w:rPr>
        <w:footnoteReference w:customMarkFollows="1" w:id="10"/>
        <w:t>10</w:t>
      </w:r>
      <w:r w:rsidRPr="006C17C6">
        <w:t>, druhý viedol k posilnenej spolupráci medzi 20 členskými štátmi namiesto jednotného vykonávania</w:t>
      </w:r>
      <w:r w:rsidRPr="006C17C6">
        <w:rPr>
          <w:rStyle w:val="FootnoteReference"/>
        </w:rPr>
        <w:footnoteReference w:customMarkFollows="1" w:id="11"/>
        <w:t>11</w:t>
      </w:r>
      <w:r w:rsidRPr="006C17C6">
        <w:t xml:space="preserve"> a tretí nemal žiadny účinok, aj keď 14 odôvodnených stanovísk bolo predložených parlamentmi v 11 členských štátoch</w:t>
      </w:r>
      <w:r w:rsidRPr="006C17C6">
        <w:rPr>
          <w:rStyle w:val="FootnoteReference"/>
        </w:rPr>
        <w:footnoteReference w:customMarkFollows="1" w:id="12"/>
        <w:t>12</w:t>
      </w:r>
      <w:r w:rsidRPr="006C17C6">
        <w:t>;</w:t>
      </w:r>
    </w:p>
    <w:p w14:paraId="32ACFE3A" w14:textId="7FBC9A74" w:rsidR="0024343C" w:rsidRPr="006C17C6" w:rsidRDefault="0024343C" w:rsidP="0024343C">
      <w:pPr>
        <w:pStyle w:val="NormalHanging"/>
      </w:pPr>
      <w:r w:rsidRPr="006C17C6">
        <w:t>H.</w:t>
      </w:r>
      <w:r w:rsidRPr="006C17C6">
        <w:tab/>
        <w:t>keďže systém včasného varovania viedol len k dvom konaniam na Súdnom dvore Európskej únie (</w:t>
      </w:r>
      <w:r w:rsidR="00EC7D6F">
        <w:t>ďalej len „</w:t>
      </w:r>
      <w:r w:rsidRPr="006C17C6">
        <w:t>S</w:t>
      </w:r>
      <w:r w:rsidR="00EC7D6F">
        <w:t>údny dvor“)</w:t>
      </w:r>
      <w:r w:rsidRPr="006C17C6">
        <w:t xml:space="preserve"> s cieľom posúdiť správne uplatňovanie zásad subsidiarity a proporcionality; keďže </w:t>
      </w:r>
      <w:r w:rsidR="00EC7D6F" w:rsidRPr="006C17C6">
        <w:t>S</w:t>
      </w:r>
      <w:r w:rsidR="00EC7D6F">
        <w:t>údny dvor</w:t>
      </w:r>
      <w:r w:rsidR="00EC7D6F" w:rsidRPr="006C17C6">
        <w:t xml:space="preserve"> </w:t>
      </w:r>
      <w:r w:rsidRPr="006C17C6">
        <w:t>v oboch prípadoch rozhodol, že nedošlo k porušeniu zásad subsidiarity a proporcionality;</w:t>
      </w:r>
    </w:p>
    <w:p w14:paraId="31A1BB2E" w14:textId="77777777" w:rsidR="0024343C" w:rsidRPr="006C17C6" w:rsidRDefault="0024343C" w:rsidP="0024343C">
      <w:pPr>
        <w:pStyle w:val="NormalHanging"/>
      </w:pPr>
      <w:r w:rsidRPr="006C17C6">
        <w:t>I.</w:t>
      </w:r>
      <w:r w:rsidRPr="006C17C6">
        <w:tab/>
        <w:t xml:space="preserve">keďže prísne dodržiavanie zásad subsidiarity a proporcionality Komisiou a </w:t>
      </w:r>
      <w:proofErr w:type="spellStart"/>
      <w:r w:rsidRPr="006C17C6">
        <w:t>spoluzákonodarcami</w:t>
      </w:r>
      <w:proofErr w:type="spellEnd"/>
      <w:r w:rsidRPr="006C17C6">
        <w:t xml:space="preserve"> môže pomôcť zmierniť regulačné zaťaženie a v konečnom dôsledku prispieť k efektívnejšiemu procesu tvorby právnych predpisov;</w:t>
      </w:r>
    </w:p>
    <w:p w14:paraId="2496B1D3" w14:textId="77777777" w:rsidR="0024343C" w:rsidRPr="006C17C6" w:rsidRDefault="0024343C" w:rsidP="0024343C">
      <w:pPr>
        <w:pStyle w:val="NormalHanging"/>
      </w:pPr>
      <w:r w:rsidRPr="006C17C6">
        <w:t>J.</w:t>
      </w:r>
      <w:r w:rsidRPr="006C17C6">
        <w:tab/>
        <w:t>keďže je zaužívanou praxou, že každé rotujúce predsedníctvo Rady Európskej únie má parlamentný rozmer, pričom národné parlamenty sa spoločne s Európskym parlamentom zúčastňujú na mnohých medziparlamentných konferenciách na rôzne témy;</w:t>
      </w:r>
    </w:p>
    <w:p w14:paraId="4430A486" w14:textId="77777777" w:rsidR="0024343C" w:rsidRPr="006C17C6" w:rsidRDefault="0024343C" w:rsidP="0024343C">
      <w:pPr>
        <w:pStyle w:val="NormalHanging"/>
      </w:pPr>
      <w:r w:rsidRPr="006C17C6">
        <w:t>K.</w:t>
      </w:r>
      <w:r w:rsidRPr="006C17C6">
        <w:tab/>
        <w:t>keďže národné parlamenty sú zapojené do legislatívneho procesu EÚ na základe osobitných ustanovení protokolu č. 2 k ZFEÚ, ako aj vykonávaním demokratickej kontroly nad svojimi národnými vládami, ktoré zastupujú záujmy členských štátov v Rade;</w:t>
      </w:r>
    </w:p>
    <w:p w14:paraId="19247D5A" w14:textId="23BF751D" w:rsidR="0024343C" w:rsidRPr="006C17C6" w:rsidRDefault="0024343C" w:rsidP="0024343C">
      <w:pPr>
        <w:pStyle w:val="NormalHanging"/>
      </w:pPr>
      <w:r w:rsidRPr="006C17C6">
        <w:t>L.</w:t>
      </w:r>
      <w:r w:rsidRPr="006C17C6">
        <w:tab/>
        <w:t xml:space="preserve">keďže článok 122 ZFEÚ je určený na použitie iba vo výnimočných a krízových situáciách a nemal by sa zneužívať na obchádzanie iných postupov stanovených v zmluvách, najmä preto, že by to vylúčilo účasť </w:t>
      </w:r>
      <w:r w:rsidR="006648AA" w:rsidRPr="006C17C6">
        <w:t>Európskeho p</w:t>
      </w:r>
      <w:r w:rsidRPr="006C17C6">
        <w:t>arlamentu, a tým by sa mohla oslabiť dôvera verejnosti;</w:t>
      </w:r>
    </w:p>
    <w:p w14:paraId="27E9A2EA" w14:textId="77777777" w:rsidR="0024343C" w:rsidRPr="006C17C6" w:rsidRDefault="0024343C" w:rsidP="0024343C">
      <w:pPr>
        <w:pStyle w:val="NormalHanging"/>
      </w:pPr>
      <w:r w:rsidRPr="006C17C6">
        <w:t>M.</w:t>
      </w:r>
      <w:r w:rsidRPr="006C17C6">
        <w:tab/>
        <w:t>keďže kontrolu nad Komisiou ako výkonným orgánom EÚ by mal vykonávať Európsky parlament aj národné parlamenty;</w:t>
      </w:r>
    </w:p>
    <w:p w14:paraId="491BADD8" w14:textId="77777777" w:rsidR="0024343C" w:rsidRPr="006C17C6" w:rsidRDefault="0024343C" w:rsidP="0024343C">
      <w:pPr>
        <w:pStyle w:val="NormalHanging12a"/>
      </w:pPr>
      <w:r w:rsidRPr="006C17C6">
        <w:lastRenderedPageBreak/>
        <w:t>1.</w:t>
      </w:r>
      <w:r w:rsidRPr="006C17C6">
        <w:tab/>
        <w:t>opätovne potvrdzuje zásadný význam zásad subsidiarity a proporcionality pre právny a inštitucionálny rámec EÚ; pripomína, že zásady subsidiarity a proporcionality by mali byť základnými prvkami prístupu Komisie k lepšej právnej regulácii, ktorý je založený na troch základných procesoch hodnotenia, posudzovania vplyvu a konzultácií so zainteresovanými stranami; pripomína, že tieto zásady sú nevyhnutné na zabezpečenie rozdelenia právomocí a na zaručenie toho, aby opatrenia EÚ boli potrebné a primerané;</w:t>
      </w:r>
    </w:p>
    <w:p w14:paraId="45E91235" w14:textId="47BA93D2" w:rsidR="0024343C" w:rsidRPr="006C17C6" w:rsidRDefault="0024343C" w:rsidP="0024343C">
      <w:pPr>
        <w:pStyle w:val="NormalHanging12a"/>
      </w:pPr>
      <w:r w:rsidRPr="006C17C6">
        <w:t>2.</w:t>
      </w:r>
      <w:r w:rsidRPr="006C17C6">
        <w:tab/>
        <w:t xml:space="preserve">zdôrazňuje, že základným odôvodnením uplatňovania zásady subsidiarity je to, že rozhodnutia by sa mali prijímať čo najbližšie k občanom, pričom sa zachová schopnosť členských štátov prijímať rozhodnutia a opatrenia, a intervencia EÚ sa má umožniť v prípadoch, ak ciele činnosti nie je možné uspokojivo dosiahnuť na úrovni členských štátov, ale z dôvodov rozsahu alebo účinkov navrhovanej činnosti ich možno lepšie dosiahnuť na úrovni </w:t>
      </w:r>
      <w:r w:rsidR="00811002">
        <w:t>E</w:t>
      </w:r>
      <w:r w:rsidRPr="006C17C6">
        <w:t>Ú, s primárnym cieľom maximalizovať účinnosť a zabezpečiť väčšiu blízkosť k občanom;</w:t>
      </w:r>
    </w:p>
    <w:p w14:paraId="196C53D2" w14:textId="77777777" w:rsidR="0024343C" w:rsidRPr="006C17C6" w:rsidRDefault="0024343C" w:rsidP="0024343C">
      <w:pPr>
        <w:pStyle w:val="NormalHanging12a"/>
      </w:pPr>
      <w:r w:rsidRPr="006C17C6">
        <w:t>3.</w:t>
      </w:r>
      <w:r w:rsidRPr="006C17C6">
        <w:tab/>
        <w:t>pripomína, že zásady subsidiarity a proporcionality vyžadujú, aby opatrenia prijaté inštitúciami EÚ neprekračovali hranice toho, čo je primerané a nevyhnutné na dosiahnutie legitímnych cieľov sledovaných právnymi predpismi EÚ;</w:t>
      </w:r>
    </w:p>
    <w:p w14:paraId="6BD86D96" w14:textId="77777777" w:rsidR="0024343C" w:rsidRPr="006C17C6" w:rsidRDefault="0024343C" w:rsidP="0024343C">
      <w:pPr>
        <w:pStyle w:val="NormalHanging12a"/>
      </w:pPr>
      <w:r w:rsidRPr="006C17C6">
        <w:t>4.</w:t>
      </w:r>
      <w:r w:rsidRPr="006C17C6">
        <w:tab/>
        <w:t>zdôrazňuje, že koncepcia „aktívnej subsidiarity“, ktorú vypracovala osobitná skupina pre subsidiaritu, proporcionalitu a scenár „Menej, ale efektívnejšie“ (osobitná skupina), je založená na konštruktívnej spolupráci medzi všetkými úrovňami riadenia počas všetkých fáz životného cyklu právnych predpisov EÚ v prospech občanov EÚ;</w:t>
      </w:r>
    </w:p>
    <w:p w14:paraId="68F10C93" w14:textId="77777777" w:rsidR="0024343C" w:rsidRPr="006C17C6" w:rsidRDefault="0024343C" w:rsidP="0024343C">
      <w:pPr>
        <w:pStyle w:val="Normal12a"/>
      </w:pPr>
      <w:r w:rsidRPr="006C17C6">
        <w:rPr>
          <w:b/>
          <w:i/>
        </w:rPr>
        <w:t>Úloha Komisie</w:t>
      </w:r>
    </w:p>
    <w:p w14:paraId="027C51A0" w14:textId="77777777" w:rsidR="0024343C" w:rsidRPr="006C17C6" w:rsidRDefault="0024343C" w:rsidP="0024343C">
      <w:pPr>
        <w:pStyle w:val="NormalHanging12a"/>
      </w:pPr>
      <w:r w:rsidRPr="006C17C6">
        <w:t>5.</w:t>
      </w:r>
      <w:r w:rsidRPr="006C17C6">
        <w:tab/>
        <w:t>vyzýva Komisiu, aby konala s náležitou starostlivosťou a obozretnosťou pri navrhovaní právnych predpisov, ktoré patria do spoločných právomocí; vyzýva Komisiu, aby jasne a dôkladne vymedzila právny základ na opatrenia EÚ a zabezpečila plné rešpektovanie právomocí členských štátov a primerané využívanie právnych základov; zdôrazňuje, že celý inštitucionálny rámec EÚ musí vyvíjať konzistentné a trvalé úsilie o zabezpečenie aktívneho zapojenia národných parlamentov do európskeho rozhodovacieho procesu;</w:t>
      </w:r>
    </w:p>
    <w:p w14:paraId="76542204" w14:textId="77777777" w:rsidR="0024343C" w:rsidRPr="006C17C6" w:rsidRDefault="0024343C" w:rsidP="0024343C">
      <w:pPr>
        <w:pStyle w:val="NormalHanging12a"/>
      </w:pPr>
      <w:r w:rsidRPr="006C17C6">
        <w:t>6.</w:t>
      </w:r>
      <w:r w:rsidRPr="006C17C6">
        <w:tab/>
        <w:t xml:space="preserve">so znepokojením berie na vedomie, že Komisia zvolila článok 122 ZFEÚ ako právny základ na využitie 800 miliárd EUR pre plán </w:t>
      </w:r>
      <w:proofErr w:type="spellStart"/>
      <w:r w:rsidRPr="006C17C6">
        <w:t>ReArm</w:t>
      </w:r>
      <w:proofErr w:type="spellEnd"/>
      <w:r w:rsidRPr="006C17C6">
        <w:t xml:space="preserve"> </w:t>
      </w:r>
      <w:proofErr w:type="spellStart"/>
      <w:r w:rsidRPr="006C17C6">
        <w:t>Europe</w:t>
      </w:r>
      <w:proofErr w:type="spellEnd"/>
      <w:r w:rsidRPr="006C17C6">
        <w:t>/Pripravenosť 2030; vyzýva Komisiu, aby zrevidovala právny základ tejto iniciatívy; naliehavo vyzýva Komisiu, aby článok 122 ZFEÚ vykladala vzhľadom na jeho pôvodnú koncepciu ako mimoriadne riešenie na riadenie krízových situácií a v duchu zásady subsidiarity vo všetkých budúcich návrhoch;</w:t>
      </w:r>
    </w:p>
    <w:p w14:paraId="14A9EAD2" w14:textId="77777777" w:rsidR="0024343C" w:rsidRPr="006C17C6" w:rsidRDefault="0024343C" w:rsidP="0024343C">
      <w:pPr>
        <w:pStyle w:val="NormalHanging12a"/>
      </w:pPr>
      <w:r w:rsidRPr="006C17C6">
        <w:t>7.</w:t>
      </w:r>
      <w:r w:rsidRPr="006C17C6">
        <w:tab/>
        <w:t>zdôrazňuje, že každá legislatívna iniciatíva Komisie, ktorá patrí do spoločných právomocí, musí byť striktne podložená dôkladným posúdením vplyvu ex </w:t>
      </w:r>
      <w:proofErr w:type="spellStart"/>
      <w:r w:rsidRPr="006C17C6">
        <w:t>ante</w:t>
      </w:r>
      <w:proofErr w:type="spellEnd"/>
      <w:r w:rsidRPr="006C17C6">
        <w:t xml:space="preserve">, v ktorom sa kvantifikovaným a odôvodneným spôsobom preukáže potreba efektívnych opatrení a výber nástrojov; žiada, aby Komisia porovnávacou analýzou medzi členskými štátmi výslovne odôvodnila, že harmonizácia právnych predpisov na úrovni EÚ prináša značnú pridanú hodnotu a nepredstavuje skryté rozšírenie právomocí; pripomína zámer Komisie vyjadrený v jej oznámení z roku 2018 začleniť tabuľku na posudzovanie do usmernení pre lepšiu právnu reguláciu a použiť ju ako súčasť posúdení vplyvu, hodnotení a dôvodových správ, ktoré sú pripojené k legislatívnym návrhom; vyjadruje poľutovanie nad tým, že v praxi to zatiaľ nebolo splnené; v tejto súvislosti víta tabuľku subsidiarity, ktorú vypracoval Európsky výbor regiónov, a nabáda </w:t>
      </w:r>
      <w:r w:rsidRPr="006C17C6">
        <w:lastRenderedPageBreak/>
        <w:t>Komisiu, aby ju použila ako základ na svoje posúdenia subsidiarity; trvá na potrebe prísnejšej kontroly uplatňovania článkov 122 a 352 ZFEÚ ako právneho základu a vyzýva na posilnenie predchádzajúcej konzultácie s národnými a regionálnymi parlamentmi s legislatívnymi právomocami pred tým, ako sa navrhnú právne predpisy na úrovni EÚ;</w:t>
      </w:r>
    </w:p>
    <w:p w14:paraId="55A22BF7" w14:textId="77777777" w:rsidR="0024343C" w:rsidRPr="006C17C6" w:rsidRDefault="0024343C" w:rsidP="0024343C">
      <w:pPr>
        <w:pStyle w:val="NormalHanging12a"/>
      </w:pPr>
      <w:r w:rsidRPr="006C17C6">
        <w:t>8.</w:t>
      </w:r>
      <w:r w:rsidRPr="006C17C6">
        <w:tab/>
        <w:t>berie na vedomie obavy, ktoré jednomyseľne vyjadril Výbor pre európske záležitosti francúzskeho Senátu</w:t>
      </w:r>
      <w:r w:rsidRPr="006C17C6">
        <w:rPr>
          <w:rStyle w:val="FootnoteReference"/>
        </w:rPr>
        <w:footnoteReference w:customMarkFollows="1" w:id="13"/>
        <w:t>13</w:t>
      </w:r>
      <w:r w:rsidRPr="006C17C6">
        <w:t xml:space="preserve"> v súvislosti so slabým právnym základom niektorých legislatívnych iniciatív EÚ, s rastúcou tendenciou uprednostňovať nariadenia pred smernicami a s nadmerným využívaním vykonávacích alebo delegovaných aktov;</w:t>
      </w:r>
    </w:p>
    <w:p w14:paraId="497D8CFB" w14:textId="77777777" w:rsidR="0024343C" w:rsidRPr="006C17C6" w:rsidRDefault="0024343C" w:rsidP="0024343C">
      <w:pPr>
        <w:pStyle w:val="NormalHanging12a"/>
      </w:pPr>
      <w:r w:rsidRPr="006C17C6">
        <w:t>9.</w:t>
      </w:r>
      <w:r w:rsidRPr="006C17C6">
        <w:tab/>
        <w:t>pripomína, že v článku 5 protokolu č. 2 k zmluvám sa od Komisie vyžaduje, aby podrobne posúdila, či dodržala zásady subsidiarity a proporcionality; naliehavo vyzýva Komisiu, aby spolu s Európskym parlamentom pri vypracovaní legislatívnych návrhov vykonávala systematickejšiu analýzu subsidiarity a proporcionality; pripomína, že kontroly subsidiarity sú nevyhnutné na dobrú správu vecí verejných a nemali by byť len zaškrtávaním políčok; požaduje väčšiu transparentnosť pri uplatňovaní týchto zásad, pričom každý legislatívny návrh by mal obsahovať podrobné odôvodnenie zásahu EÚ, pridanú hodnotu činnosti a proporcionalitu opatrení vo vzťahu k cieľom;</w:t>
      </w:r>
    </w:p>
    <w:p w14:paraId="70964263" w14:textId="77777777" w:rsidR="0024343C" w:rsidRPr="006C17C6" w:rsidRDefault="0024343C" w:rsidP="0024343C">
      <w:pPr>
        <w:pStyle w:val="NormalHanging12a"/>
      </w:pPr>
      <w:r w:rsidRPr="006C17C6">
        <w:t>10.</w:t>
      </w:r>
      <w:r w:rsidRPr="006C17C6">
        <w:tab/>
        <w:t>konštatuje, že odpovede Komisie na odôvodnené stanoviská treba dôkladne posúdiť, aj keď ich nepodporuje veľký počet národných parlamentov; zdôrazňuje, že je dôležité zohľadňovať osobitnú situáciu v jednotlivých členských štátoch s ohľadom na rozmanitosť právnych tradícií a regionálne rozdiely v rámci EÚ; vyjadruje znepokojenie nad tým, že existuje len málo dôkazov o tom, že by Komisia výrazne menila svoje návrhy v dôsledku odôvodnených stanovísk predložených národnými parlamentmi;</w:t>
      </w:r>
    </w:p>
    <w:p w14:paraId="4F7DBB90" w14:textId="77777777" w:rsidR="0024343C" w:rsidRPr="006C17C6" w:rsidRDefault="0024343C" w:rsidP="0024343C">
      <w:pPr>
        <w:pStyle w:val="NormalHanging12a"/>
      </w:pPr>
      <w:r w:rsidRPr="006C17C6">
        <w:t>11.</w:t>
      </w:r>
      <w:r w:rsidRPr="006C17C6">
        <w:tab/>
        <w:t>poukazuje na to, že vykonávanie nových právnych predpisov EÚ môže pre obce znamenať veľmi vysoké náklady, najmä v odľahlých alebo riedko osídlených oblastiach; domnieva sa, že obce musia mať k dispozícii dostatočné finančné zdroje na vykonávanie právnych predpisov EÚ, aby mohli dodržiavať nové právne normy EÚ; poukazuje na to, že tieto finančné zdroje by mali zodpovedať nákladom na vykonávanie, ktoré obciam vznikajú;</w:t>
      </w:r>
    </w:p>
    <w:p w14:paraId="259156DC" w14:textId="77777777" w:rsidR="0024343C" w:rsidRPr="006C17C6" w:rsidRDefault="0024343C" w:rsidP="0024343C">
      <w:pPr>
        <w:pStyle w:val="NormalHanging12a"/>
      </w:pPr>
      <w:r w:rsidRPr="006C17C6">
        <w:t>12.</w:t>
      </w:r>
      <w:r w:rsidRPr="006C17C6">
        <w:tab/>
        <w:t xml:space="preserve">poukazuje na to, že národné parlamenty zriedka využívajú postupy „žltej karty“ alebo „oranžovej karty“; zdôrazňuje, že to nie je spôsobené nezáujmom národných parlamentov; konštatuje, že existuje niekoľko možných vysvetlení obmedzeného používania postupu „žltej karty“ vrátane nedostatočnej transparentnosti pri tvorbe právnych predpisov EÚ, absentujúcich znalostí o legislatívnom procese EÚ a časových obmedzení; domnieva sa, že parlamenty, ktoré nevyužívajú tento nástroj, sťažujú dosiahnutie požadovanej prahovej hodnoty; uznáva, že súčasný postup je príliš ťažkopádny a ponecháva priestor na zlepšenie; v tejto súvislosti pripomína svoje skoršie návrhy na predĺženie lehoty na postupy „žltej karty“ na 12 týždňov a na širšiu diskusiu o možnosti modernizovať systém včasného varovania tak, aby sa stal nástrojom, ktorý národným parlamentom umožní formovať politiky EÚ; v tejto súvislosti pripomína svoje najnovšie uznesenie o vykonávaní ustanovení zmluvy týkajúcich sa národných parlamentov, v ktorom vyzval členské štáty, aby zabezpečili, že národné parlamenty budú mať dostatočné zdroje na plnenie svojej ústavnej úlohy v oblasti dohľadu, a </w:t>
      </w:r>
      <w:r w:rsidRPr="006C17C6">
        <w:lastRenderedPageBreak/>
        <w:t>odporučil, aby národné parlamenty účinnejšie využívali platformu medziparlamentná výmena informácií o EÚ (IPEX) a zapájali svoje regionálne parlamenty do zavádzania mechanizmu včasného varovania;</w:t>
      </w:r>
    </w:p>
    <w:p w14:paraId="53BDFDB4" w14:textId="02FC964E" w:rsidR="0024343C" w:rsidRPr="006C17C6" w:rsidRDefault="0024343C" w:rsidP="0024343C">
      <w:pPr>
        <w:pStyle w:val="NormalHanging12a"/>
      </w:pPr>
      <w:r w:rsidRPr="006C17C6">
        <w:t>13.</w:t>
      </w:r>
      <w:r w:rsidRPr="006C17C6">
        <w:tab/>
        <w:t>víta vytvorenie neformálnych postupov na zlepšenie koordinácie medzi Komisiou, Európskym parlamentom a národnými parlamentmi, ako sú politický dialóg, dialóg so spravodajcami a webová stránka s názvom Stanoviská národných parlamentov a odpovede Komisie</w:t>
      </w:r>
      <w:r w:rsidRPr="006C17C6">
        <w:rPr>
          <w:rStyle w:val="FootnoteReference"/>
        </w:rPr>
        <w:footnoteReference w:customMarkFollows="1" w:id="14"/>
        <w:t>14</w:t>
      </w:r>
      <w:r w:rsidRPr="006C17C6">
        <w:t xml:space="preserve">; naliehavo vyzýva Komisiu, aby preskúmala možnosti ďalšieho zlepšenia konzultácií s národnými parlamentmi o otázkach subsidiarity, napríklad vytvorením jednotného centra pre subsidiaritu (single subsidiarity hub) založeného na platforme IPEX, kde by sa zhromažďovali a boli voľne prístupné odôvodnené stanoviská a tiež napríklad príspevky, stanoviská Európskeho výboru regiónov, odpovede Komisie a uznesenia </w:t>
      </w:r>
      <w:r w:rsidR="006648AA" w:rsidRPr="006C17C6">
        <w:t>Európskeho p</w:t>
      </w:r>
      <w:r w:rsidRPr="006C17C6">
        <w:t>arlamentu; domnieva sa, že jednotné centrum pre subsidiaritu by bolo vhodným miestom, kde by členské štáty mohli žiadať Komisiu, aby navrhla podporné alebo koordinačné právne predpisy v oblasti výlučnej právomoci členských štátov;</w:t>
      </w:r>
    </w:p>
    <w:p w14:paraId="3ABABCAE" w14:textId="77777777" w:rsidR="0024343C" w:rsidRPr="006C17C6" w:rsidRDefault="0024343C" w:rsidP="0024343C">
      <w:pPr>
        <w:pStyle w:val="NormalHanging12a"/>
      </w:pPr>
      <w:r w:rsidRPr="006C17C6">
        <w:t>14.</w:t>
      </w:r>
      <w:r w:rsidRPr="006C17C6">
        <w:tab/>
        <w:t>víta nedávne úsilie Komisie o rozšírenie a zdokonalenie tabuľky subsidiarity, ktorú používa v rámci ex </w:t>
      </w:r>
      <w:proofErr w:type="spellStart"/>
      <w:r w:rsidRPr="006C17C6">
        <w:t>ante</w:t>
      </w:r>
      <w:proofErr w:type="spellEnd"/>
      <w:r w:rsidRPr="006C17C6">
        <w:t xml:space="preserve"> posudzovania vplyvu právnych predpisov EÚ s použitím súboru nástrojov pre lepšiu právnu reguláciu; vyzýva Komisiu, aby preskúmanie subsidiarity ďalej začleňovala do svojho politického cyklu okrem iného tým, že hodnotenie subsidiarity bude vykonávať aj po </w:t>
      </w:r>
      <w:proofErr w:type="spellStart"/>
      <w:r w:rsidRPr="006C17C6">
        <w:t>medziinštitucionálnych</w:t>
      </w:r>
      <w:proofErr w:type="spellEnd"/>
      <w:r w:rsidRPr="006C17C6">
        <w:t xml:space="preserve"> rokovaniach, ak to budú vyžadovať dohodnuté zmeny;</w:t>
      </w:r>
    </w:p>
    <w:p w14:paraId="28E53455" w14:textId="77777777" w:rsidR="0024343C" w:rsidRPr="006C17C6" w:rsidRDefault="0024343C" w:rsidP="0024343C">
      <w:pPr>
        <w:pStyle w:val="NormalHanging12a"/>
      </w:pPr>
      <w:r w:rsidRPr="006C17C6">
        <w:t>15.</w:t>
      </w:r>
      <w:r w:rsidRPr="006C17C6">
        <w:tab/>
        <w:t>berie na vedomie obavy, že zapojenie Komisie do spolupráce s národnými parlamentmi je obmedzené a prebieha príliš neskoro v rámci legislatívneho procesu, čo zase obmedzuje schopnosť národných parlamentov ovplyvňovať legislatívne návrhy; naliehavo vyzýva Komisiu, aby vyzývala národné parlamenty k poskytovaniu príspevkov už v skoršom štádiu, konkrétne počas konzultácií;</w:t>
      </w:r>
    </w:p>
    <w:p w14:paraId="7C15618A" w14:textId="77777777" w:rsidR="0024343C" w:rsidRPr="006C17C6" w:rsidRDefault="0024343C" w:rsidP="0024343C">
      <w:pPr>
        <w:pStyle w:val="NormalHanging12a"/>
      </w:pPr>
      <w:r w:rsidRPr="006C17C6">
        <w:t>16.</w:t>
      </w:r>
      <w:r w:rsidRPr="006C17C6">
        <w:tab/>
        <w:t>domnieva sa, že formálny a neformálny medziparlamentný dialóg v skoršom štádiu legislatívneho procesu je kľúčom k správnej transpozícii zásady subsidiarity; poznamenáva, že by to mohlo nadobudnúť formu mesačných alebo štvrťročných stretnutí poslancov Európskeho parlamentu a poslancov národných parlamentov v duchu článku 9 protokolu č. 1;</w:t>
      </w:r>
    </w:p>
    <w:p w14:paraId="5B4BE1F8" w14:textId="77777777" w:rsidR="0024343C" w:rsidRPr="006C17C6" w:rsidRDefault="0024343C" w:rsidP="0024343C">
      <w:pPr>
        <w:pStyle w:val="NormalHanging12a"/>
      </w:pPr>
      <w:r w:rsidRPr="006C17C6">
        <w:t>17.</w:t>
      </w:r>
      <w:r w:rsidRPr="006C17C6">
        <w:tab/>
        <w:t>vyzýva Komisiu, aby vždy starostlivo zvážila, či by v konkrétnych oblastiach nebolo lepším riešením posilnenie koordinácie s vnútroštátnymi orgánmi ako vytváranie nových nadnárodných agentúr;</w:t>
      </w:r>
    </w:p>
    <w:p w14:paraId="0928C43C" w14:textId="77777777" w:rsidR="0024343C" w:rsidRPr="006C17C6" w:rsidRDefault="0024343C" w:rsidP="0024343C">
      <w:pPr>
        <w:pStyle w:val="NormalHanging12a"/>
      </w:pPr>
      <w:r w:rsidRPr="006C17C6">
        <w:t>18.</w:t>
      </w:r>
      <w:r w:rsidRPr="006C17C6">
        <w:tab/>
        <w:t>zdôrazňuje kľúčovú úlohu parlamentov ako ústredného prvku demokracie a potrebu rešpektovať jasné rozdelenie právomocí medzi rôzne úrovne európskej liberálnej demokracie, konkrétne na miestnej, regionálnej, celoštátnej a európskej úrovni, v súlade so zásadami subsidiarity stanovenými v článku 5 Zmluvy o EÚ s cieľom zabezpečiť demokratickú legitimitu a efektívny rozhodovací proces a posilniť dôveru a spoluprácu medzi parlamentmi na rôznych úrovniach;</w:t>
      </w:r>
    </w:p>
    <w:p w14:paraId="7BFCDCCD" w14:textId="77777777" w:rsidR="0024343C" w:rsidRPr="006C17C6" w:rsidRDefault="0024343C" w:rsidP="0024343C">
      <w:pPr>
        <w:pStyle w:val="NormalHanging12a"/>
      </w:pPr>
      <w:r w:rsidRPr="006C17C6">
        <w:t>19.</w:t>
      </w:r>
      <w:r w:rsidRPr="006C17C6">
        <w:tab/>
        <w:t xml:space="preserve">vyzýva Komisiu, aby vo väčšej miere zohľadňovala stanoviská, ktoré vyjadril Európsky výbor regiónov prostredníctvom siete na monitorovanie subsidiarity, ktorá bola zriadená </w:t>
      </w:r>
      <w:r w:rsidRPr="006C17C6">
        <w:lastRenderedPageBreak/>
        <w:t>s cieľom uľahčiť výmenu informácií medzi regionálnymi a miestnymi orgánmi a EÚ o rôznych legislatívnych návrhoch, ktoré budú mať po prijatí priamy vplyv na tieto orgány a na oblasť ich činnosti;</w:t>
      </w:r>
    </w:p>
    <w:p w14:paraId="2EAFAEB7" w14:textId="77777777" w:rsidR="0024343C" w:rsidRPr="006C17C6" w:rsidRDefault="0024343C" w:rsidP="0024343C">
      <w:pPr>
        <w:pStyle w:val="Normal12a"/>
      </w:pPr>
      <w:r w:rsidRPr="006C17C6">
        <w:rPr>
          <w:b/>
          <w:i/>
        </w:rPr>
        <w:t>Úloha národných parlamentov</w:t>
      </w:r>
    </w:p>
    <w:p w14:paraId="24CE8144" w14:textId="62B71915" w:rsidR="0024343C" w:rsidRPr="006C17C6" w:rsidRDefault="0024343C" w:rsidP="0024343C">
      <w:pPr>
        <w:pStyle w:val="NormalHanging12a"/>
      </w:pPr>
      <w:r w:rsidRPr="006C17C6">
        <w:t>20.</w:t>
      </w:r>
      <w:r w:rsidRPr="006C17C6">
        <w:tab/>
        <w:t xml:space="preserve">zdôrazňuje, že národné parlamenty zohrávajú kľúčovú úlohu pri dodržiavaní zásady subsidiarity </w:t>
      </w:r>
      <w:r w:rsidR="002375E6">
        <w:t>E</w:t>
      </w:r>
      <w:r w:rsidRPr="006C17C6">
        <w:t>Ú a legislatívny proces posilní platnosť a demokratickú legitimitu EÚ a jej legislatívnych iniciatív; zdôrazňuje, že treba, aby sa právne predpisy EÚ priebežne kontrolovali a do tohto postupu sa aktívne zapájali národné parlamenty prostredníctvom mechanizmov stanovených v zmluvách vrátane postupov „žltej karty“ a „oranžovej“ karty; nabáda národné parlamenty, aby posilnili svoju schopnosť účinne kontrolovať opatrenia EÚ a namietať proti nim v súlade so zásadami subsidiarity a proporcionality, vykonávali účinnejší a včasnejší dohľad nad legislatívnymi návrhmi a zabezpečili, že legislatívne iniciatívy EÚ rešpektujú rovnováhu a rozdelenie právomocí medzi EÚ a jej členskými štátmi;</w:t>
      </w:r>
    </w:p>
    <w:p w14:paraId="2141DEED" w14:textId="77777777" w:rsidR="0024343C" w:rsidRPr="006C17C6" w:rsidRDefault="0024343C" w:rsidP="0024343C">
      <w:pPr>
        <w:pStyle w:val="NormalHanging12a"/>
      </w:pPr>
      <w:r w:rsidRPr="006C17C6">
        <w:t>21.</w:t>
      </w:r>
      <w:r w:rsidRPr="006C17C6">
        <w:tab/>
        <w:t>pripomína, že národné parlamenty vykonávajú demokratickú kontrolu nad svojimi národnými vládami, ktoré zastupujú záujmy členských štátov v Rade; zdôrazňuje, že niektoré členské štáty umožňujú aktívnejšiu účasť svojich národných a/alebo regionálnych parlamentov na európskom legislatívnom procese, napríklad uplatňovaním výhrady parlamentného preskúmania; vyzýva všetky členské štáty, aby podnikli kroky k aktívnejšej účasti národných parlamentov na vytváraní ich postojov s cieľom posilniť demokratickú legitimitu rokovaní Rady;</w:t>
      </w:r>
    </w:p>
    <w:p w14:paraId="7712000A" w14:textId="77777777" w:rsidR="0024343C" w:rsidRPr="006C17C6" w:rsidRDefault="0024343C" w:rsidP="0024343C">
      <w:pPr>
        <w:pStyle w:val="NormalHanging12a"/>
      </w:pPr>
      <w:r w:rsidRPr="006C17C6">
        <w:t>22.</w:t>
      </w:r>
      <w:r w:rsidRPr="006C17C6">
        <w:tab/>
        <w:t>víta príspevky zo LXXII plenárneho zasadnutia Konferencie parlamentných výborov pre záležitosti Únie z parlamentov Európskej únie (COSAC)</w:t>
      </w:r>
      <w:r w:rsidRPr="006C17C6">
        <w:rPr>
          <w:rStyle w:val="FootnoteReference"/>
        </w:rPr>
        <w:footnoteReference w:customMarkFollows="1" w:id="15"/>
        <w:t>15</w:t>
      </w:r>
      <w:r w:rsidRPr="006C17C6">
        <w:t>, ktorá odporučila posilniť preskúmanie subsidiarity vykonávané národnými parlamentmi predĺžením lehoty na predkladanie stanovísk z ôsmych na desať týždňov a znížením prahovej hodnoty na aktiváciu postupu „žltej karty“ na jednu štvrtinu odovzdaných hlasov;</w:t>
      </w:r>
    </w:p>
    <w:p w14:paraId="08986697" w14:textId="77777777" w:rsidR="0024343C" w:rsidRPr="006C17C6" w:rsidRDefault="0024343C" w:rsidP="0024343C">
      <w:pPr>
        <w:pStyle w:val="NormalHanging12a"/>
      </w:pPr>
      <w:r w:rsidRPr="006C17C6">
        <w:t>23.</w:t>
      </w:r>
      <w:r w:rsidRPr="006C17C6">
        <w:tab/>
        <w:t>vyzýva na zvýšenie úlohy národných parlamentov v EÚ posilnením transparentnosti, dialógu a mechanizmov spolupráce medzi národnými parlamentmi a Komisiou; zdôrazňuje, že hoci národné parlamenty nemajú formálne priame právomoci nad Komisiou podobné právomociam Európskeho parlamentu, ich politický vplyv by sa mal posilniť, aby sa zabezpečil účinnejší dohľad nad činnosťou Komisie a jej zodpovednosť za túto činnosť;</w:t>
      </w:r>
    </w:p>
    <w:p w14:paraId="59A45225" w14:textId="77777777" w:rsidR="0024343C" w:rsidRPr="006C17C6" w:rsidRDefault="0024343C" w:rsidP="0024343C">
      <w:pPr>
        <w:pStyle w:val="NormalHanging12a"/>
      </w:pPr>
      <w:r w:rsidRPr="006C17C6">
        <w:t>24.</w:t>
      </w:r>
      <w:r w:rsidRPr="006C17C6">
        <w:tab/>
        <w:t>domnieva sa, že národné parlamenty by mali mať pozitívnejšiu a aktívnejšiu úlohu, napríklad vytvorením postupu „zelenej karty“ s nižšími prahovými hodnotami; okrem toho požaduje, aby sa v súvislosti s ďalšou revíziou zmlúv predĺžila súčasná lehota na predloženie odôvodnených stanovísk národnými parlamentmi z ôsmych na dvanásť týždňov podľa článku 4 protokolu č. 1; pripomína, že pokiaľ ide o lehoty, Komisia už poskytla určitú flexibilitu, keď vylúčila obdobie od 20. decembra do 10. januára;</w:t>
      </w:r>
    </w:p>
    <w:p w14:paraId="0FF0447D" w14:textId="77777777" w:rsidR="0024343C" w:rsidRPr="006C17C6" w:rsidRDefault="0024343C" w:rsidP="0024343C">
      <w:pPr>
        <w:pStyle w:val="NormalHanging12a"/>
      </w:pPr>
      <w:r w:rsidRPr="006C17C6">
        <w:t>25.</w:t>
      </w:r>
      <w:r w:rsidRPr="006C17C6">
        <w:tab/>
        <w:t xml:space="preserve">opätovne zdôrazňuje potrebu posilniť štrukturálnu spoluprácu </w:t>
      </w:r>
      <w:proofErr w:type="spellStart"/>
      <w:r w:rsidRPr="006C17C6">
        <w:t>spoluzákonodarcov</w:t>
      </w:r>
      <w:proofErr w:type="spellEnd"/>
      <w:r w:rsidRPr="006C17C6">
        <w:t xml:space="preserve"> EÚ s národnými, regionálnymi a miestnymi zákonodarcami; zdôrazňuje, že v tejto </w:t>
      </w:r>
      <w:r w:rsidRPr="006C17C6">
        <w:lastRenderedPageBreak/>
        <w:t>súvislosti zohrávajú kľúčovú úlohu Európsky parlamentný týždeň a medziparlamentné schôdze výborov; domnieva sa, že ďalší rozvoj rozšírenej iniciatívy každoročného Európskeho parlamentného týždňa by mal poslancom Európskeho parlamentu, komisárom a ministrom predsedajúcich krajín Rady umožniť vystúpiť v každom národnom alebo prípadne regionálnom parlamente, aby s poslancami diskutovali o európskej agende a poskytovali potrebné vysvetlenia;</w:t>
      </w:r>
    </w:p>
    <w:p w14:paraId="0F802A3B" w14:textId="3444EA39" w:rsidR="0024343C" w:rsidRPr="006C17C6" w:rsidRDefault="0024343C" w:rsidP="0024343C">
      <w:pPr>
        <w:pStyle w:val="NormalHanging12a"/>
      </w:pPr>
      <w:r w:rsidRPr="006C17C6">
        <w:t>26.</w:t>
      </w:r>
      <w:r w:rsidRPr="006C17C6">
        <w:tab/>
        <w:t>navrhuje otvoriť diskusiu o vypracovaní spoločného politického vyhlásenia alebo rámcovej dohody medzi národnými parlamentmi a Európskym parlamentom o organizácii navrhovaného Európskeho parlamentného týždňa s cieľom vytvoriť koherentnejší rámec spolupráce na politickej, inštitucionálnej a administratívnej úrovni; domnieva sa, že navrhovaný Európsky parlamentný týždeň by mal čerpať poučenie zo súčasných a predchádzajúcich fór, ako je parlamentný týždeň organizovaný konferenciou o európskom semestri a medziparlamentná konferencia o stabilite, hospodárskej koordinácii a riadení v E</w:t>
      </w:r>
      <w:r w:rsidR="00891B97">
        <w:t>Ú</w:t>
      </w:r>
      <w:r w:rsidRPr="006C17C6">
        <w:t>, ako aj Konferencia o budúcnosti Európy; ďalej sa domnieva, že stretnutia politických rodín a politických skupín medzi národnými a európskymi politickými skupinami a v rámci nich by mohli v rámci medziparlamentnej spolupráce EÚ priniesť pridanú hodnotu v podobe autentickej európskej politickej diskusie;</w:t>
      </w:r>
    </w:p>
    <w:p w14:paraId="42E0E377" w14:textId="77777777" w:rsidR="0024343C" w:rsidRPr="006C17C6" w:rsidRDefault="0024343C" w:rsidP="0024343C">
      <w:pPr>
        <w:pStyle w:val="NormalHanging12a"/>
      </w:pPr>
      <w:r w:rsidRPr="006C17C6">
        <w:t>27.</w:t>
      </w:r>
      <w:r w:rsidRPr="006C17C6">
        <w:tab/>
        <w:t>domnieva sa, že obmedzené využívanie postupu „žltej karty“ a neúčinnosť postupu „oranžovej karty“ svedčí o tom, že stále existuje priestor na zlepšenie a v tejto oblasti je možná lepšia koordinácia medzi národnými parlamentmi; domnieva sa, že v tomto ohľade možno zlepšiť koordináciu medzi národnými parlamentmi; zdôrazňuje, že lepšia spolupráca medzi národnými parlamentmi a Európskym parlamentom by viedla k aktívnejšiemu zapojeniu do legislatívnych návrhov EÚ a že spolupráca prostredníctvom národných vlád ako sprostredkovateľov by mala za následok posilnenie úlohy národných parlamentov pri formovaní právnych predpisov EÚ;</w:t>
      </w:r>
    </w:p>
    <w:p w14:paraId="48831164" w14:textId="77777777" w:rsidR="0024343C" w:rsidRPr="006C17C6" w:rsidRDefault="0024343C" w:rsidP="0024343C">
      <w:pPr>
        <w:pStyle w:val="NormalHanging12a"/>
      </w:pPr>
      <w:r w:rsidRPr="006C17C6">
        <w:t>28.</w:t>
      </w:r>
      <w:r w:rsidRPr="006C17C6">
        <w:tab/>
        <w:t>zdôrazňuje dôležitú úlohu regionálnych a miestnych spoločenstiev a naliehavo vyzýva Komisiu, aby preskúmala spôsoby, ako lepšie začleniť ich príspevok do legislatívnych návrhov, ako aj do hodnotenia súčasných právnych predpisov EÚ; v tejto súvislosti sa domnieva, že Komisia by mala uľahčiť organizovanie verejných konzultácií na miestnej a regionálnej úrovni, aby sa posilnila úloha a účasť občanov na tvorbe politík EÚ;</w:t>
      </w:r>
    </w:p>
    <w:p w14:paraId="673EF5E7" w14:textId="77777777" w:rsidR="0024343C" w:rsidRPr="006C17C6" w:rsidRDefault="0024343C" w:rsidP="0024343C">
      <w:pPr>
        <w:pStyle w:val="NormalHanging12a"/>
      </w:pPr>
      <w:r w:rsidRPr="006C17C6">
        <w:t>29.</w:t>
      </w:r>
      <w:r w:rsidRPr="006C17C6">
        <w:tab/>
        <w:t>vyzýva inštitúcie EÚ a regionálne parlamenty s legislatívnymi právomocami, aby sa aktívnejšie angažovali a navzájom priamo spolupracovali, pričom by mali plne rešpektovať úlohu a právomoci národných parlamentov; vyzýva národné parlamenty, aby do svojich konečných odôvodnených stanovísk, ktoré sa zasielajú predsedom Parlamentu, Rady a Komisie, začleňovali odôvodnené stanoviská regionálnych parlamentov s legislatívnymi právomocami, ak by to malo vplyv na výlučné regionálne právomoci; potvrdzuje, že článok 12 Zmluvy o EÚ a protokol č. 1 dávajú národným parlamentom právo prijímať informácie priamo od inštitúcií EÚ; navrhuje, aby sa právo na informácie rozšírilo aj na regionálne parlamenty s legislatívnymi právomocami;</w:t>
      </w:r>
    </w:p>
    <w:p w14:paraId="756C912E" w14:textId="77777777" w:rsidR="0024343C" w:rsidRPr="006C17C6" w:rsidRDefault="0024343C" w:rsidP="0024343C">
      <w:pPr>
        <w:pStyle w:val="NormalHanging12a"/>
      </w:pPr>
      <w:r w:rsidRPr="006C17C6">
        <w:t>30.</w:t>
      </w:r>
      <w:r w:rsidRPr="006C17C6">
        <w:tab/>
        <w:t xml:space="preserve">vyzýva Komisiu, aby v súlade s odporúčaniami </w:t>
      </w:r>
      <w:proofErr w:type="spellStart"/>
      <w:r w:rsidRPr="006C17C6">
        <w:t>Draghiho</w:t>
      </w:r>
      <w:proofErr w:type="spellEnd"/>
      <w:r w:rsidRPr="006C17C6">
        <w:t xml:space="preserve"> správy začala vyšetrovanie v celej EÚ s cieľom identifikovať a analyzovať dôvody obmedzeného výkonu kontrolnej kapacity národných parlamentov v súvislosti so subsidiaritou; vyzýva Komisiu, aby pri presadzovaní a vykonávaní právnych predpisov EÚ čerpala z odborných znalostí a skúseností národných a regionálnych orgánov;</w:t>
      </w:r>
    </w:p>
    <w:p w14:paraId="610A91FD" w14:textId="2DEAE283" w:rsidR="0024343C" w:rsidRPr="006C17C6" w:rsidRDefault="0024343C" w:rsidP="0024343C">
      <w:pPr>
        <w:pStyle w:val="Normal12a"/>
      </w:pPr>
      <w:r w:rsidRPr="006C17C6">
        <w:rPr>
          <w:b/>
          <w:i/>
        </w:rPr>
        <w:lastRenderedPageBreak/>
        <w:t xml:space="preserve">Úloha </w:t>
      </w:r>
      <w:r w:rsidR="00E45FE1" w:rsidRPr="00E45FE1">
        <w:rPr>
          <w:b/>
          <w:bCs/>
          <w:i/>
          <w:iCs/>
        </w:rPr>
        <w:t>Súdneho dvora</w:t>
      </w:r>
    </w:p>
    <w:p w14:paraId="6D8F6F8C" w14:textId="581340F0" w:rsidR="0024343C" w:rsidRPr="006C17C6" w:rsidRDefault="0024343C" w:rsidP="0024343C">
      <w:pPr>
        <w:pStyle w:val="NormalHanging12a"/>
      </w:pPr>
      <w:r w:rsidRPr="006C17C6">
        <w:t>31.</w:t>
      </w:r>
      <w:r w:rsidRPr="006C17C6">
        <w:tab/>
        <w:t>zdôrazňuje, že Súdny dvor zohráva kľúčovú úlohu pri uplatňovaní a výklade zásad subsidiarity a proporcionality v právnom rámci EÚ; zdôrazňuje, že zásada subsidiarity nebola od svojho zavedenia ako všeobecnej zásady predmetom intenzívneho súdneho preskúmania Súdnym dvorom; konštatuje, že generálni advokáti sa vo svojich stanoviskách málo venujú argumentom týkajúcim sa subsidiarity;</w:t>
      </w:r>
    </w:p>
    <w:p w14:paraId="32B7497E" w14:textId="0D2E92C2" w:rsidR="0024343C" w:rsidRPr="006C17C6" w:rsidRDefault="0024343C" w:rsidP="0024343C">
      <w:pPr>
        <w:pStyle w:val="NormalHanging12a"/>
      </w:pPr>
      <w:r w:rsidRPr="006C17C6">
        <w:t>32.</w:t>
      </w:r>
      <w:r w:rsidRPr="006C17C6">
        <w:tab/>
        <w:t xml:space="preserve">varuje, že zjavná neochota </w:t>
      </w:r>
      <w:r w:rsidR="00E45FE1" w:rsidRPr="006C17C6">
        <w:t>S</w:t>
      </w:r>
      <w:r w:rsidR="00E45FE1">
        <w:t>údneho dvora</w:t>
      </w:r>
      <w:r w:rsidR="00E45FE1" w:rsidRPr="006C17C6">
        <w:t xml:space="preserve"> </w:t>
      </w:r>
      <w:r w:rsidRPr="006C17C6">
        <w:t xml:space="preserve">presadzovať subsidiaritu by mohla spôsobiť neochotu členských štátov obracať sa v prvom rade na </w:t>
      </w:r>
      <w:r w:rsidR="00E45FE1" w:rsidRPr="006C17C6">
        <w:t>S</w:t>
      </w:r>
      <w:r w:rsidR="00E45FE1">
        <w:t>údny dvor</w:t>
      </w:r>
      <w:r w:rsidRPr="006C17C6">
        <w:t>;</w:t>
      </w:r>
    </w:p>
    <w:p w14:paraId="3C8B3586" w14:textId="77777777" w:rsidR="0024343C" w:rsidRPr="006C17C6" w:rsidRDefault="0024343C" w:rsidP="0024343C">
      <w:pPr>
        <w:pStyle w:val="NormalHanging12a"/>
      </w:pPr>
      <w:r w:rsidRPr="006C17C6">
        <w:t>33.</w:t>
      </w:r>
      <w:r w:rsidRPr="006C17C6">
        <w:tab/>
        <w:t>odporúča, aby Komisia pri konzultáciách s členskými štátmi zabezpečila, aby vlády predložili dôkazy o tom, že zohľadňujú stanoviská národných a regionálnych parlamentov s legislatívnymi právomocami;</w:t>
      </w:r>
    </w:p>
    <w:p w14:paraId="43912BD9" w14:textId="1F1BBD65" w:rsidR="0024343C" w:rsidRPr="006C17C6" w:rsidRDefault="0024343C" w:rsidP="0024343C">
      <w:pPr>
        <w:pStyle w:val="NormalHanging12a"/>
      </w:pPr>
      <w:r w:rsidRPr="006C17C6">
        <w:t>34.</w:t>
      </w:r>
      <w:r w:rsidRPr="006C17C6">
        <w:tab/>
        <w:t>berie na vedomie vnímanú neochotu S</w:t>
      </w:r>
      <w:r w:rsidR="00E45FE1">
        <w:t>údneho dvora</w:t>
      </w:r>
      <w:r w:rsidRPr="006C17C6">
        <w:t xml:space="preserve"> dôrazne presadzovať subsidiaritu ako zmysluplné obmedzenie legislatívnych opatrení EÚ;</w:t>
      </w:r>
    </w:p>
    <w:p w14:paraId="334BF954" w14:textId="250E9690" w:rsidR="0024343C" w:rsidRPr="006C17C6" w:rsidRDefault="0024343C" w:rsidP="0024343C">
      <w:pPr>
        <w:pStyle w:val="NormalHanging12a"/>
      </w:pPr>
      <w:r w:rsidRPr="006C17C6">
        <w:t>35.</w:t>
      </w:r>
      <w:r w:rsidRPr="006C17C6">
        <w:tab/>
        <w:t>konštatuje, že </w:t>
      </w:r>
      <w:r w:rsidR="00E45FE1" w:rsidRPr="006C17C6">
        <w:t>S</w:t>
      </w:r>
      <w:r w:rsidR="00E45FE1">
        <w:t>údny dvor</w:t>
      </w:r>
      <w:r w:rsidR="00E45FE1" w:rsidRPr="006C17C6">
        <w:t xml:space="preserve"> </w:t>
      </w:r>
      <w:r w:rsidRPr="006C17C6">
        <w:t>je pri výklade otázok spoločných právomocí viazaný aj zásadami subsidiarity, keďže akt súdneho výkladu právnych predpisov sa rovná tvorbe právnych predpisov;</w:t>
      </w:r>
    </w:p>
    <w:p w14:paraId="04A8C8A9" w14:textId="4A632A26" w:rsidR="0024343C" w:rsidRPr="006C17C6" w:rsidRDefault="0024343C" w:rsidP="0024343C">
      <w:pPr>
        <w:pStyle w:val="NormalHanging12a"/>
      </w:pPr>
      <w:r w:rsidRPr="006C17C6">
        <w:t>36.</w:t>
      </w:r>
      <w:r w:rsidRPr="006C17C6">
        <w:tab/>
        <w:t xml:space="preserve">berie na vedomie výklad </w:t>
      </w:r>
      <w:r w:rsidR="009D19C5" w:rsidRPr="006C17C6">
        <w:t>S</w:t>
      </w:r>
      <w:r w:rsidR="009D19C5">
        <w:t>údneho dvora</w:t>
      </w:r>
      <w:r w:rsidRPr="006C17C6">
        <w:t>, podľa ktorého nezohľadnenie osobitnej situácie jedného alebo viacerých členských štátov pri posudzovaní legislatívnej iniciatívy nepredstavuje porušenie zásady proporcionality</w:t>
      </w:r>
      <w:r w:rsidRPr="006C17C6">
        <w:rPr>
          <w:rStyle w:val="FootnoteReference"/>
        </w:rPr>
        <w:footnoteReference w:customMarkFollows="1" w:id="16"/>
        <w:t>16</w:t>
      </w:r>
      <w:r w:rsidRPr="006C17C6">
        <w:t>; trvá na tom, že individuálne osobitosti členských štátov sú dôležité pri tvorbe právnych predpisov pre EÚ ako celok;</w:t>
      </w:r>
    </w:p>
    <w:p w14:paraId="5A26B743" w14:textId="5EDC6B59" w:rsidR="0024343C" w:rsidRPr="006C17C6" w:rsidRDefault="0024343C" w:rsidP="0024343C">
      <w:pPr>
        <w:pStyle w:val="NormalHanging12a"/>
      </w:pPr>
      <w:r w:rsidRPr="006C17C6">
        <w:t>37.</w:t>
      </w:r>
      <w:r w:rsidRPr="006C17C6">
        <w:tab/>
        <w:t xml:space="preserve">vyjadruje znepokojenie nad rozsudkom </w:t>
      </w:r>
      <w:r w:rsidR="009D19C5" w:rsidRPr="006C17C6">
        <w:t>S</w:t>
      </w:r>
      <w:r w:rsidR="009D19C5">
        <w:t>údneho dvora</w:t>
      </w:r>
      <w:r w:rsidRPr="006C17C6">
        <w:t>, v ktorom sa uvádza, že nevykonanie posúdenia vplyvu nemožno považovať za porušenie zásady proporcionality</w:t>
      </w:r>
      <w:r w:rsidRPr="006C17C6">
        <w:rPr>
          <w:rStyle w:val="FootnoteReference"/>
        </w:rPr>
        <w:footnoteReference w:customMarkFollows="1" w:id="17"/>
        <w:t>17</w:t>
      </w:r>
      <w:r w:rsidRPr="006C17C6">
        <w:t>; vyzýva Komisiu, aby bez výnimky vykonávala posúdenia vplyvu a zabezpečila, že v prípade zmeny rozsahu pôsobnosti legislatívneho návrhu Komisia predloží nové posúdenie vplyvu;</w:t>
      </w:r>
    </w:p>
    <w:p w14:paraId="1A516434" w14:textId="77777777" w:rsidR="0024343C" w:rsidRPr="006C17C6" w:rsidRDefault="0024343C" w:rsidP="0024343C">
      <w:pPr>
        <w:pStyle w:val="NormalHanging12a"/>
      </w:pPr>
      <w:r w:rsidRPr="006C17C6">
        <w:t>38.</w:t>
      </w:r>
      <w:r w:rsidRPr="006C17C6">
        <w:tab/>
        <w:t>zdôrazňuje, že dodržiavanie zásad subsidiarity a proporcionality má kľúčový význam pre dôveru občanov v EÚ a jej právne predpisy a verejnosť by o ňom mala byť jasnejšie informovaná pri komunikácii o jednotlivých legislatívnych iniciatívach;</w:t>
      </w:r>
    </w:p>
    <w:p w14:paraId="3F7DD0B8" w14:textId="77777777" w:rsidR="0024343C" w:rsidRPr="006C17C6" w:rsidRDefault="0024343C" w:rsidP="0024343C">
      <w:pPr>
        <w:pStyle w:val="NormalHanging12a"/>
      </w:pPr>
      <w:r w:rsidRPr="006C17C6">
        <w:t>39.</w:t>
      </w:r>
      <w:r w:rsidRPr="006C17C6">
        <w:tab/>
        <w:t>opätovne zdôrazňuje, že posudzovanie vplyvu by malo vychádzať z presných, objektívnych a úplných informácií; považuje preto za nevyhnutné, aby zákonodarcovia EÚ zhromažďovali príspevky od miestnych a regionálnych orgánov, ktoré sú schopné poskytnúť najpresnejšie informácie o rôznych otázkach;</w:t>
      </w:r>
    </w:p>
    <w:p w14:paraId="58BCF4AA" w14:textId="77777777" w:rsidR="0024343C" w:rsidRPr="006C17C6" w:rsidRDefault="0024343C" w:rsidP="0024343C">
      <w:pPr>
        <w:pStyle w:val="NormalHanging12a"/>
      </w:pPr>
      <w:r w:rsidRPr="006C17C6">
        <w:t>40.</w:t>
      </w:r>
      <w:r w:rsidRPr="006C17C6">
        <w:tab/>
        <w:t>požaduje, aby sa realizoval prieskum medzi národnými parlamentmi s cieľom posúdiť, aké faktory ovplyvňujú ich používanie postupu „žltej karty“ a ako vnímajú dodržiavanie zásady subsidiarity v rozhodovacom procese EÚ;</w:t>
      </w:r>
    </w:p>
    <w:p w14:paraId="64030515" w14:textId="77777777" w:rsidR="0024343C" w:rsidRPr="006C17C6" w:rsidRDefault="0024343C" w:rsidP="0024343C">
      <w:pPr>
        <w:pStyle w:val="NormalHanging12a"/>
      </w:pPr>
      <w:r w:rsidRPr="006C17C6">
        <w:lastRenderedPageBreak/>
        <w:t>41.</w:t>
      </w:r>
      <w:r w:rsidRPr="006C17C6">
        <w:tab/>
        <w:t>považuje za vhodné uskutočniť prieskum medzi vnútroštátnymi zákonodarnými orgánmi s cieľom získať spätnú väzbu o uplatňovaní zásad subsidiarity a proporcionality; navrhuje preto, aby Komisia uskutočnila takýto prieskum s cieľom zistiť, v ktorých oblastiach a do akej miery majú byť vnútroštátne zákonodarné orgány hlavnými aktérmi zmien;</w:t>
      </w:r>
    </w:p>
    <w:p w14:paraId="62E6E2F9" w14:textId="77777777" w:rsidR="0024343C" w:rsidRPr="006C17C6" w:rsidRDefault="0024343C" w:rsidP="0024343C">
      <w:pPr>
        <w:pStyle w:val="Normal12a"/>
      </w:pPr>
      <w:r w:rsidRPr="006C17C6">
        <w:rPr>
          <w:b/>
          <w:i/>
        </w:rPr>
        <w:t>Záverečné pozorovania</w:t>
      </w:r>
    </w:p>
    <w:p w14:paraId="4E9E5D52" w14:textId="77777777" w:rsidR="0024343C" w:rsidRPr="006C17C6" w:rsidRDefault="0024343C" w:rsidP="0024343C">
      <w:pPr>
        <w:pStyle w:val="NormalHanging12a"/>
      </w:pPr>
      <w:r w:rsidRPr="006C17C6">
        <w:t>42.</w:t>
      </w:r>
      <w:r w:rsidRPr="006C17C6">
        <w:tab/>
        <w:t>požaduje jasnejšie a konzistentnejšie vymedzenie a uplatňovanie zásad subsidiarity a proporcionality pri zohľadnení aktívneho prístupu k subsidiarite, ktorý vypracovala pracovná skupina, a zabezpečenie toho, aby všetky inštitúcie EÚ uplatňovali v legislatívnom procese spoločné chápanie týchto základných zásad; navrhuje začatie diskusie o vytvorení tzv. súdu pre subsidiaritu s prihliadnutím na budúcu revíziu zmluvy;</w:t>
      </w:r>
    </w:p>
    <w:p w14:paraId="2C6EFE17" w14:textId="77777777" w:rsidR="0024343C" w:rsidRPr="006C17C6" w:rsidRDefault="0024343C" w:rsidP="0024343C">
      <w:pPr>
        <w:pStyle w:val="NormalHanging12a"/>
      </w:pPr>
      <w:r w:rsidRPr="006C17C6">
        <w:t>43.</w:t>
      </w:r>
      <w:r w:rsidRPr="006C17C6">
        <w:tab/>
        <w:t>požaduje, aby sa odstránili všetky medzery v záujme zvýšenia transparentnosti pri príprave legislatívnych návrhov Komisiou vrátane skoršej spolupráce s národnými parlamentmi s cieľom zaručiť, aby sa primerane riešili otázky subsidiarity;</w:t>
      </w:r>
    </w:p>
    <w:p w14:paraId="39167007" w14:textId="77777777" w:rsidR="0024343C" w:rsidRPr="006C17C6" w:rsidRDefault="0024343C" w:rsidP="0024343C">
      <w:pPr>
        <w:pStyle w:val="NormalHanging12a"/>
      </w:pPr>
      <w:r w:rsidRPr="006C17C6">
        <w:t>44.</w:t>
      </w:r>
      <w:r w:rsidRPr="006C17C6">
        <w:tab/>
        <w:t xml:space="preserve">súhlasí so záverom </w:t>
      </w:r>
      <w:proofErr w:type="spellStart"/>
      <w:r w:rsidRPr="006C17C6">
        <w:t>Draghiho</w:t>
      </w:r>
      <w:proofErr w:type="spellEnd"/>
      <w:r w:rsidRPr="006C17C6">
        <w:t xml:space="preserve"> správy, že politika a legislatívne opatrenia EÚ by sa mali zamerať na oblasti, v ktorých má EÚ naozaj väčšiu pridanú hodnotu v porovnaní s politickými opatreniami na vnútroštátnej alebo regionálnej úrovni; okrem toho naliehavo vyzýva inštitúcie EÚ, aby prijali zásadu zdržanlivosti pri tvorbe politík a starostlivejšie vyberali budúce iniciatívy a zefektívnili súčasné právne predpisy;</w:t>
      </w:r>
    </w:p>
    <w:p w14:paraId="2CD494CF" w14:textId="77777777" w:rsidR="0024343C" w:rsidRPr="006C17C6" w:rsidRDefault="0024343C" w:rsidP="0024343C">
      <w:pPr>
        <w:pStyle w:val="NormalHanging12a"/>
      </w:pPr>
      <w:r w:rsidRPr="006C17C6">
        <w:t>45.</w:t>
      </w:r>
      <w:r w:rsidRPr="006C17C6">
        <w:tab/>
        <w:t>domnieva sa, že súčasné právne predpisy EÚ by sa mali pravidelne posudzovať z hľadiska ich proporcionality a primeranosti rešpektujúc súčasnú realitu; zdôrazňuje, že umelá inteligencia môže byť nápomocná pri odhaľovaní právnych nezrovnalostí alebo neprimeraných účinkov, a tým uľahčiť dodržiavanie právnych predpisov a v prípade potreby riešiť akýkoľvek nedostatok proporcionality;</w:t>
      </w:r>
    </w:p>
    <w:p w14:paraId="725DA1FD" w14:textId="77777777" w:rsidR="0024343C" w:rsidRPr="006C17C6" w:rsidRDefault="0024343C" w:rsidP="0024343C">
      <w:pPr>
        <w:pStyle w:val="NormalHanging12a"/>
      </w:pPr>
      <w:r w:rsidRPr="006C17C6">
        <w:t>46.</w:t>
      </w:r>
      <w:r w:rsidRPr="006C17C6">
        <w:tab/>
        <w:t>navrhuje, aby všetky medziparlamentné činnosti vykonávané v rámci protokolu č. 1 k Lisabonskej zmluve (vrátane COSAC, IPEX, ECPRD atď.) národnými parlamentmi a Európskym parlamentom boli lepšie využívané a synergicky integrované s cieľom lepšie uplatňovať zásady subsidiarity a proporcionality;</w:t>
      </w:r>
    </w:p>
    <w:p w14:paraId="0D1C4A1E" w14:textId="56B7DA1D" w:rsidR="0024343C" w:rsidRPr="006C17C6" w:rsidRDefault="0024343C" w:rsidP="0024343C">
      <w:pPr>
        <w:pStyle w:val="NormalHanging12a"/>
      </w:pPr>
      <w:r w:rsidRPr="006C17C6">
        <w:t>47.</w:t>
      </w:r>
      <w:r w:rsidRPr="006C17C6">
        <w:tab/>
        <w:t>pripomína, že poslanci E</w:t>
      </w:r>
      <w:r w:rsidR="009D19C5">
        <w:t>urópskeho parlamentu</w:t>
      </w:r>
      <w:r w:rsidRPr="006C17C6">
        <w:t>, keďže sú priamo volení európskymi občanmi, majú významné právomoci pri stanovovaní legislatívneho programu EÚ; zaväzuje sa využívať právo iniciatívy podľa článku 225 ZFEÚ na navrhnutie zrušenia právnych predpisov, aby sa znížilo regulačné zaťaženie, a to pri plnom dodržiavaní zásad subsidiarity a proporcionality;</w:t>
      </w:r>
    </w:p>
    <w:p w14:paraId="11542742" w14:textId="77777777" w:rsidR="0024343C" w:rsidRPr="006C17C6" w:rsidRDefault="0024343C" w:rsidP="0024343C">
      <w:pPr>
        <w:pStyle w:val="NormalHanging12a"/>
      </w:pPr>
      <w:r w:rsidRPr="006C17C6">
        <w:t>48.</w:t>
      </w:r>
      <w:r w:rsidRPr="006C17C6">
        <w:tab/>
        <w:t>opakuje, že dodržiavanie zásad subsidiarity a proporcionality prispeje k lepšej legislatívnej činnosti a zníži regulačné zaťaženie a byrokraciu; trvá na tom, že pred predložením legislatívneho návrhu by Komisia mala posúdiť, či želaný pozitívny účinok možno dosiahnuť na miestnej, regionálnej alebo vnútroštátnej úrovni, a že v prípadoch neistoty, pokiaľ ide o najvhodnejšiu úroveň opatrenia, by mala existovať vyvrátiteľná domnienka v prospech nižších úrovní verejnej správy;</w:t>
      </w:r>
    </w:p>
    <w:p w14:paraId="6472D7F4" w14:textId="77777777" w:rsidR="0024343C" w:rsidRPr="006C17C6" w:rsidRDefault="0024343C" w:rsidP="0024343C">
      <w:pPr>
        <w:pStyle w:val="NormalHanging12a"/>
      </w:pPr>
      <w:r w:rsidRPr="006C17C6">
        <w:t>49.</w:t>
      </w:r>
      <w:r w:rsidRPr="006C17C6">
        <w:tab/>
        <w:t xml:space="preserve">zdôrazňuje závery pracovnej skupiny o tom, že Komisia a </w:t>
      </w:r>
      <w:proofErr w:type="spellStart"/>
      <w:r w:rsidRPr="006C17C6">
        <w:t>spoluzákonodarcovia</w:t>
      </w:r>
      <w:proofErr w:type="spellEnd"/>
      <w:r w:rsidRPr="006C17C6">
        <w:t xml:space="preserve"> by mali vyvážiť svoju činnosť tak, aby sa zamerali skôr na účinnejšie vykonávanie právnych </w:t>
      </w:r>
      <w:r w:rsidRPr="006C17C6">
        <w:lastRenderedPageBreak/>
        <w:t>predpisov ako na prijímanie nových právnych predpisov alebo neustále zmeny súčasných právnych predpisov v oblastiach, v ktorých je súčasný rámec zastaraný a/alebo bol nedávno podstatne revidovaný;</w:t>
      </w:r>
    </w:p>
    <w:p w14:paraId="2408369A" w14:textId="6A23675E" w:rsidR="006648AA" w:rsidRPr="006C17C6" w:rsidRDefault="006648AA" w:rsidP="006648AA">
      <w:pPr>
        <w:pStyle w:val="NormalHanging12a"/>
        <w:ind w:left="0" w:firstLine="0"/>
        <w:jc w:val="center"/>
      </w:pPr>
      <w:r w:rsidRPr="006C17C6">
        <w:t>°</w:t>
      </w:r>
    </w:p>
    <w:p w14:paraId="483AABD4" w14:textId="0DDEBC0F" w:rsidR="006648AA" w:rsidRPr="006C17C6" w:rsidRDefault="006648AA" w:rsidP="006648AA">
      <w:pPr>
        <w:pStyle w:val="NormalHanging12a"/>
        <w:ind w:left="0" w:firstLine="0"/>
        <w:jc w:val="center"/>
      </w:pPr>
      <w:r w:rsidRPr="006C17C6">
        <w:t>°     °</w:t>
      </w:r>
    </w:p>
    <w:p w14:paraId="04647094" w14:textId="10338404" w:rsidR="00E365E1" w:rsidRPr="006C17C6" w:rsidRDefault="0024343C" w:rsidP="006648AA">
      <w:pPr>
        <w:pStyle w:val="NormalHanging12a"/>
      </w:pPr>
      <w:r w:rsidRPr="006C17C6">
        <w:t>50.</w:t>
      </w:r>
      <w:r w:rsidRPr="006C17C6">
        <w:tab/>
        <w:t>poveruje svoju predsedníčku, aby postúpila toto uznesenie Rade, Komisii a národným parlamentom.</w:t>
      </w:r>
    </w:p>
    <w:sectPr w:rsidR="00E365E1" w:rsidRPr="006C17C6" w:rsidSect="008644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E83C7" w14:textId="77777777" w:rsidR="00413B6C" w:rsidRPr="00864409" w:rsidRDefault="00413B6C">
      <w:r w:rsidRPr="00864409">
        <w:separator/>
      </w:r>
    </w:p>
  </w:endnote>
  <w:endnote w:type="continuationSeparator" w:id="0">
    <w:p w14:paraId="10EC2C47" w14:textId="77777777" w:rsidR="00413B6C" w:rsidRPr="00864409" w:rsidRDefault="00413B6C">
      <w:r w:rsidRPr="008644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9ABCA" w14:textId="77777777" w:rsidR="00064002" w:rsidRPr="008644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87BEB" w14:textId="77777777" w:rsidR="00064002" w:rsidRPr="008644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2544" w14:textId="77777777" w:rsidR="00064002" w:rsidRPr="008644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32E6F" w14:textId="77777777" w:rsidR="00413B6C" w:rsidRPr="00864409" w:rsidRDefault="00413B6C">
      <w:r w:rsidRPr="00864409">
        <w:separator/>
      </w:r>
    </w:p>
  </w:footnote>
  <w:footnote w:type="continuationSeparator" w:id="0">
    <w:p w14:paraId="289A3A97" w14:textId="77777777" w:rsidR="00413B6C" w:rsidRPr="00864409" w:rsidRDefault="00413B6C">
      <w:r w:rsidRPr="00864409">
        <w:continuationSeparator/>
      </w:r>
    </w:p>
  </w:footnote>
  <w:footnote w:id="1">
    <w:p w14:paraId="6BE42C8B" w14:textId="5B1F19BA" w:rsidR="0024343C" w:rsidRPr="00864409" w:rsidRDefault="0024343C" w:rsidP="00864409">
      <w:pPr>
        <w:pStyle w:val="FootnoteText"/>
        <w:ind w:left="567" w:hanging="567"/>
        <w:rPr>
          <w:sz w:val="24"/>
          <w:lang w:val="sk-SK"/>
        </w:rPr>
      </w:pPr>
      <w:r w:rsidRPr="00864409">
        <w:rPr>
          <w:sz w:val="24"/>
          <w:vertAlign w:val="superscript"/>
          <w:lang w:val="sk-SK"/>
        </w:rPr>
        <w:t>1</w:t>
      </w:r>
      <w:r w:rsidR="00864409" w:rsidRPr="00864409">
        <w:rPr>
          <w:sz w:val="24"/>
          <w:vertAlign w:val="superscript"/>
          <w:lang w:val="sk-SK"/>
        </w:rPr>
        <w:t xml:space="preserve"> </w:t>
      </w:r>
      <w:r w:rsidR="00864409" w:rsidRPr="00864409">
        <w:rPr>
          <w:sz w:val="24"/>
          <w:vertAlign w:val="superscript"/>
          <w:lang w:val="sk-SK"/>
        </w:rPr>
        <w:tab/>
      </w:r>
      <w:r w:rsidRPr="00864409">
        <w:rPr>
          <w:sz w:val="24"/>
          <w:lang w:val="sk-SK"/>
        </w:rPr>
        <w:t xml:space="preserve">Ú. v. EÚ C 202, 7.6.2016, s. 203, ELI: </w:t>
      </w:r>
      <w:hyperlink r:id="rId1" w:history="1">
        <w:r w:rsidRPr="008C27ED">
          <w:rPr>
            <w:rStyle w:val="Hyperlink"/>
            <w:sz w:val="24"/>
            <w:lang w:val="sk-SK"/>
          </w:rPr>
          <w:t>http://data.europa.eu/eli/treaty/tfeu_2016/pro_1/oj</w:t>
        </w:r>
      </w:hyperlink>
      <w:r w:rsidRPr="00864409">
        <w:rPr>
          <w:sz w:val="24"/>
          <w:lang w:val="sk-SK"/>
        </w:rPr>
        <w:t>.</w:t>
      </w:r>
    </w:p>
  </w:footnote>
  <w:footnote w:id="2">
    <w:p w14:paraId="2B8DB1E8" w14:textId="2AB12C7A" w:rsidR="0024343C" w:rsidRPr="00864409" w:rsidRDefault="0024343C" w:rsidP="00864409">
      <w:pPr>
        <w:pStyle w:val="FootnoteText"/>
        <w:ind w:left="567" w:hanging="567"/>
        <w:rPr>
          <w:sz w:val="24"/>
          <w:lang w:val="sk-SK"/>
        </w:rPr>
      </w:pPr>
      <w:r w:rsidRPr="00864409">
        <w:rPr>
          <w:sz w:val="24"/>
          <w:vertAlign w:val="superscript"/>
          <w:lang w:val="sk-SK"/>
        </w:rPr>
        <w:t>2</w:t>
      </w:r>
      <w:r w:rsidR="00864409" w:rsidRPr="00864409">
        <w:rPr>
          <w:sz w:val="24"/>
          <w:vertAlign w:val="superscript"/>
          <w:lang w:val="sk-SK"/>
        </w:rPr>
        <w:t xml:space="preserve"> </w:t>
      </w:r>
      <w:r w:rsidR="00864409" w:rsidRPr="00864409">
        <w:rPr>
          <w:sz w:val="24"/>
          <w:vertAlign w:val="superscript"/>
          <w:lang w:val="sk-SK"/>
        </w:rPr>
        <w:tab/>
      </w:r>
      <w:r w:rsidRPr="00864409">
        <w:rPr>
          <w:sz w:val="24"/>
          <w:lang w:val="sk-SK"/>
        </w:rPr>
        <w:t>Ú. v. EÚ C 115, 9.5.2008, s. 206.</w:t>
      </w:r>
    </w:p>
  </w:footnote>
  <w:footnote w:id="3">
    <w:p w14:paraId="75EEC9D9" w14:textId="44F27CD5" w:rsidR="0024343C" w:rsidRPr="00864409" w:rsidRDefault="0024343C" w:rsidP="00864409">
      <w:pPr>
        <w:pStyle w:val="FootnoteText"/>
        <w:ind w:left="567" w:hanging="567"/>
        <w:rPr>
          <w:sz w:val="24"/>
          <w:lang w:val="sk-SK"/>
        </w:rPr>
      </w:pPr>
      <w:r w:rsidRPr="00864409">
        <w:rPr>
          <w:sz w:val="24"/>
          <w:vertAlign w:val="superscript"/>
          <w:lang w:val="sk-SK"/>
        </w:rPr>
        <w:t>3</w:t>
      </w:r>
      <w:r w:rsidR="00864409" w:rsidRPr="00864409">
        <w:rPr>
          <w:sz w:val="24"/>
          <w:vertAlign w:val="superscript"/>
          <w:lang w:val="sk-SK"/>
        </w:rPr>
        <w:t xml:space="preserve"> </w:t>
      </w:r>
      <w:r w:rsidR="00864409" w:rsidRPr="00864409">
        <w:rPr>
          <w:sz w:val="24"/>
          <w:vertAlign w:val="superscript"/>
          <w:lang w:val="sk-SK"/>
        </w:rPr>
        <w:tab/>
      </w:r>
      <w:r w:rsidRPr="00864409">
        <w:rPr>
          <w:sz w:val="24"/>
          <w:lang w:val="sk-SK"/>
        </w:rPr>
        <w:t>Ú. v. EÚ C 212</w:t>
      </w:r>
      <w:r w:rsidR="008C27ED">
        <w:rPr>
          <w:sz w:val="24"/>
          <w:lang w:val="sk-SK"/>
        </w:rPr>
        <w:t xml:space="preserve"> </w:t>
      </w:r>
      <w:r w:rsidRPr="00864409">
        <w:rPr>
          <w:sz w:val="24"/>
          <w:lang w:val="sk-SK"/>
        </w:rPr>
        <w:t>E, 5.8.2010, s. 94.</w:t>
      </w:r>
    </w:p>
  </w:footnote>
  <w:footnote w:id="4">
    <w:p w14:paraId="64C28F5A" w14:textId="3583EF74" w:rsidR="0024343C" w:rsidRPr="00864409" w:rsidRDefault="0024343C" w:rsidP="00864409">
      <w:pPr>
        <w:pStyle w:val="FootnoteText"/>
        <w:ind w:left="567" w:hanging="567"/>
        <w:rPr>
          <w:sz w:val="24"/>
          <w:lang w:val="sk-SK"/>
        </w:rPr>
      </w:pPr>
      <w:r w:rsidRPr="00864409">
        <w:rPr>
          <w:sz w:val="24"/>
          <w:vertAlign w:val="superscript"/>
          <w:lang w:val="sk-SK"/>
        </w:rPr>
        <w:t>4</w:t>
      </w:r>
      <w:r w:rsidR="00864409" w:rsidRPr="00864409">
        <w:rPr>
          <w:sz w:val="24"/>
          <w:vertAlign w:val="superscript"/>
          <w:lang w:val="sk-SK"/>
        </w:rPr>
        <w:t xml:space="preserve"> </w:t>
      </w:r>
      <w:r w:rsidR="00864409" w:rsidRPr="00864409">
        <w:rPr>
          <w:sz w:val="24"/>
          <w:vertAlign w:val="superscript"/>
          <w:lang w:val="sk-SK"/>
        </w:rPr>
        <w:tab/>
      </w:r>
      <w:r w:rsidRPr="00864409">
        <w:rPr>
          <w:sz w:val="24"/>
          <w:lang w:val="sk-SK"/>
        </w:rPr>
        <w:t>Ú. v. EÚ C 443, 22.12.2017, s. 40.</w:t>
      </w:r>
    </w:p>
  </w:footnote>
  <w:footnote w:id="5">
    <w:p w14:paraId="170263E9" w14:textId="2C9DE004" w:rsidR="0024343C" w:rsidRPr="00864409" w:rsidRDefault="0024343C" w:rsidP="00864409">
      <w:pPr>
        <w:pStyle w:val="FootnoteText"/>
        <w:ind w:left="567" w:hanging="567"/>
        <w:rPr>
          <w:sz w:val="24"/>
          <w:lang w:val="sk-SK"/>
        </w:rPr>
      </w:pPr>
      <w:r w:rsidRPr="00864409">
        <w:rPr>
          <w:sz w:val="24"/>
          <w:vertAlign w:val="superscript"/>
          <w:lang w:val="sk-SK"/>
        </w:rPr>
        <w:t>5</w:t>
      </w:r>
      <w:r w:rsidR="00864409" w:rsidRPr="00864409">
        <w:rPr>
          <w:sz w:val="24"/>
          <w:vertAlign w:val="superscript"/>
          <w:lang w:val="sk-SK"/>
        </w:rPr>
        <w:t xml:space="preserve"> </w:t>
      </w:r>
      <w:r w:rsidR="00864409" w:rsidRPr="00864409">
        <w:rPr>
          <w:sz w:val="24"/>
          <w:vertAlign w:val="superscript"/>
          <w:lang w:val="sk-SK"/>
        </w:rPr>
        <w:tab/>
      </w:r>
      <w:r w:rsidRPr="00864409">
        <w:rPr>
          <w:sz w:val="24"/>
          <w:lang w:val="sk-SK"/>
        </w:rPr>
        <w:t>Ú. v. EÚ C 390, 18.11.2019, s. 121.</w:t>
      </w:r>
    </w:p>
  </w:footnote>
  <w:footnote w:id="6">
    <w:p w14:paraId="51BFB0EB" w14:textId="247539C3" w:rsidR="0024343C" w:rsidRPr="00864409" w:rsidRDefault="0024343C" w:rsidP="00864409">
      <w:pPr>
        <w:pStyle w:val="FootnoteText"/>
        <w:ind w:left="567" w:hanging="567"/>
        <w:rPr>
          <w:sz w:val="24"/>
          <w:lang w:val="sk-SK"/>
        </w:rPr>
      </w:pPr>
      <w:r w:rsidRPr="00864409">
        <w:rPr>
          <w:sz w:val="24"/>
          <w:vertAlign w:val="superscript"/>
          <w:lang w:val="sk-SK"/>
        </w:rPr>
        <w:t>6</w:t>
      </w:r>
      <w:r w:rsidR="00864409" w:rsidRPr="00864409">
        <w:rPr>
          <w:sz w:val="24"/>
          <w:vertAlign w:val="superscript"/>
          <w:lang w:val="sk-SK"/>
        </w:rPr>
        <w:t xml:space="preserve"> </w:t>
      </w:r>
      <w:r w:rsidR="00864409" w:rsidRPr="00864409">
        <w:rPr>
          <w:sz w:val="24"/>
          <w:vertAlign w:val="superscript"/>
          <w:lang w:val="sk-SK"/>
        </w:rPr>
        <w:tab/>
      </w:r>
      <w:r w:rsidRPr="00864409">
        <w:rPr>
          <w:sz w:val="24"/>
          <w:lang w:val="sk-SK"/>
        </w:rPr>
        <w:t>Ú. v. </w:t>
      </w:r>
      <w:r w:rsidRPr="00864409">
        <w:rPr>
          <w:sz w:val="24"/>
          <w:lang w:val="sk-SK"/>
        </w:rPr>
        <w:t xml:space="preserve">EÚ C, C/2024/5714, 17.10.2024, ELI: </w:t>
      </w:r>
      <w:hyperlink r:id="rId2" w:history="1">
        <w:r w:rsidRPr="008C27ED">
          <w:rPr>
            <w:rStyle w:val="Hyperlink"/>
            <w:sz w:val="24"/>
            <w:lang w:val="sk-SK"/>
          </w:rPr>
          <w:t>http://data.europa.eu/eli/C/2024/5714/oj</w:t>
        </w:r>
      </w:hyperlink>
      <w:r w:rsidRPr="00864409">
        <w:rPr>
          <w:sz w:val="24"/>
          <w:lang w:val="sk-SK"/>
        </w:rPr>
        <w:t>.</w:t>
      </w:r>
    </w:p>
  </w:footnote>
  <w:footnote w:id="7">
    <w:p w14:paraId="41F307F4" w14:textId="67EA356C" w:rsidR="0024343C" w:rsidRPr="00864409" w:rsidRDefault="0024343C" w:rsidP="00864409">
      <w:pPr>
        <w:pStyle w:val="FootnoteText"/>
        <w:ind w:left="567" w:hanging="567"/>
        <w:rPr>
          <w:sz w:val="24"/>
          <w:lang w:val="sk-SK"/>
        </w:rPr>
      </w:pPr>
      <w:r w:rsidRPr="00864409">
        <w:rPr>
          <w:sz w:val="24"/>
          <w:vertAlign w:val="superscript"/>
          <w:lang w:val="sk-SK"/>
        </w:rPr>
        <w:t>7</w:t>
      </w:r>
      <w:r w:rsidR="00864409" w:rsidRPr="00864409">
        <w:rPr>
          <w:sz w:val="24"/>
          <w:vertAlign w:val="superscript"/>
          <w:lang w:val="sk-SK"/>
        </w:rPr>
        <w:t xml:space="preserve"> </w:t>
      </w:r>
      <w:r w:rsidR="00864409" w:rsidRPr="00864409">
        <w:rPr>
          <w:sz w:val="24"/>
          <w:vertAlign w:val="superscript"/>
          <w:lang w:val="sk-SK"/>
        </w:rPr>
        <w:tab/>
      </w:r>
      <w:r w:rsidRPr="00864409">
        <w:rPr>
          <w:sz w:val="24"/>
          <w:lang w:val="sk-SK"/>
        </w:rPr>
        <w:t>Ú. v. EÚ</w:t>
      </w:r>
      <w:r w:rsidR="005D3951">
        <w:rPr>
          <w:sz w:val="24"/>
          <w:lang w:val="sk-SK"/>
        </w:rPr>
        <w:t xml:space="preserve"> C,</w:t>
      </w:r>
      <w:r w:rsidRPr="00864409">
        <w:rPr>
          <w:sz w:val="24"/>
          <w:lang w:val="sk-SK"/>
        </w:rPr>
        <w:t xml:space="preserve"> C/2024/4216, 24.7.2024, ELI: </w:t>
      </w:r>
      <w:hyperlink r:id="rId3" w:tgtFrame="http://data.europa.eu/eli/C/2024/4216/oj" w:history="1">
        <w:r w:rsidRPr="00864409">
          <w:rPr>
            <w:rStyle w:val="Hyperlink"/>
            <w:sz w:val="24"/>
            <w:lang w:val="sk-SK"/>
          </w:rPr>
          <w:t>http://data.europa.eu/eli/C/2024/4216/oj</w:t>
        </w:r>
      </w:hyperlink>
      <w:r w:rsidRPr="00864409">
        <w:rPr>
          <w:sz w:val="24"/>
          <w:lang w:val="sk-SK"/>
        </w:rPr>
        <w:t>.</w:t>
      </w:r>
    </w:p>
  </w:footnote>
  <w:footnote w:id="8">
    <w:p w14:paraId="2384FAA7" w14:textId="4387A9BB" w:rsidR="0024343C" w:rsidRPr="00864409" w:rsidRDefault="0024343C" w:rsidP="00864409">
      <w:pPr>
        <w:pStyle w:val="FootnoteText"/>
        <w:ind w:left="567" w:hanging="567"/>
        <w:rPr>
          <w:sz w:val="24"/>
          <w:lang w:val="sk-SK"/>
        </w:rPr>
      </w:pPr>
      <w:r w:rsidRPr="00864409">
        <w:rPr>
          <w:sz w:val="24"/>
          <w:vertAlign w:val="superscript"/>
          <w:lang w:val="sk-SK"/>
        </w:rPr>
        <w:t>8</w:t>
      </w:r>
      <w:r w:rsidR="00864409" w:rsidRPr="00864409">
        <w:rPr>
          <w:sz w:val="24"/>
          <w:vertAlign w:val="superscript"/>
          <w:lang w:val="sk-SK"/>
        </w:rPr>
        <w:t xml:space="preserve"> </w:t>
      </w:r>
      <w:r w:rsidR="00864409" w:rsidRPr="00864409">
        <w:rPr>
          <w:sz w:val="24"/>
          <w:vertAlign w:val="superscript"/>
          <w:lang w:val="sk-SK"/>
        </w:rPr>
        <w:tab/>
      </w:r>
      <w:proofErr w:type="spellStart"/>
      <w:r w:rsidRPr="00864409">
        <w:rPr>
          <w:sz w:val="24"/>
          <w:lang w:val="sk-SK"/>
        </w:rPr>
        <w:t>Draghi</w:t>
      </w:r>
      <w:proofErr w:type="spellEnd"/>
      <w:r w:rsidRPr="00864409">
        <w:rPr>
          <w:sz w:val="24"/>
          <w:lang w:val="sk-SK"/>
        </w:rPr>
        <w:t xml:space="preserve">, M., </w:t>
      </w:r>
      <w:proofErr w:type="spellStart"/>
      <w:r w:rsidRPr="00864409">
        <w:rPr>
          <w:sz w:val="24"/>
          <w:lang w:val="sk-SK"/>
        </w:rPr>
        <w:t>The</w:t>
      </w:r>
      <w:proofErr w:type="spellEnd"/>
      <w:r w:rsidRPr="00864409">
        <w:rPr>
          <w:sz w:val="24"/>
          <w:lang w:val="sk-SK"/>
        </w:rPr>
        <w:t xml:space="preserve"> </w:t>
      </w:r>
      <w:proofErr w:type="spellStart"/>
      <w:r w:rsidRPr="00864409">
        <w:rPr>
          <w:sz w:val="24"/>
          <w:lang w:val="sk-SK"/>
        </w:rPr>
        <w:t>future</w:t>
      </w:r>
      <w:proofErr w:type="spellEnd"/>
      <w:r w:rsidRPr="00864409">
        <w:rPr>
          <w:sz w:val="24"/>
          <w:lang w:val="sk-SK"/>
        </w:rPr>
        <w:t xml:space="preserve"> of </w:t>
      </w:r>
      <w:proofErr w:type="spellStart"/>
      <w:r w:rsidRPr="00864409">
        <w:rPr>
          <w:sz w:val="24"/>
          <w:lang w:val="sk-SK"/>
        </w:rPr>
        <w:t>European</w:t>
      </w:r>
      <w:proofErr w:type="spellEnd"/>
      <w:r w:rsidRPr="00864409">
        <w:rPr>
          <w:sz w:val="24"/>
          <w:lang w:val="sk-SK"/>
        </w:rPr>
        <w:t xml:space="preserve"> </w:t>
      </w:r>
      <w:proofErr w:type="spellStart"/>
      <w:r w:rsidRPr="00864409">
        <w:rPr>
          <w:sz w:val="24"/>
          <w:lang w:val="sk-SK"/>
        </w:rPr>
        <w:t>Competitiveness</w:t>
      </w:r>
      <w:proofErr w:type="spellEnd"/>
      <w:r w:rsidRPr="00864409">
        <w:rPr>
          <w:sz w:val="24"/>
          <w:lang w:val="sk-SK"/>
        </w:rPr>
        <w:t xml:space="preserve"> (Budúcnosť európskej konkurencieschopnosti), Európska komisia, 9. </w:t>
      </w:r>
      <w:r w:rsidRPr="00864409">
        <w:rPr>
          <w:sz w:val="24"/>
          <w:lang w:val="sk-SK"/>
        </w:rPr>
        <w:t xml:space="preserve">septembra 2024, </w:t>
      </w:r>
      <w:hyperlink r:id="rId4" w:history="1">
        <w:r w:rsidRPr="008C27ED">
          <w:rPr>
            <w:rStyle w:val="Hyperlink"/>
            <w:sz w:val="24"/>
            <w:lang w:val="sk-SK"/>
          </w:rPr>
          <w:t>https://commission.europa.eu/topics/eu-competitiveness/draghi-report_en#paragraph_47059</w:t>
        </w:r>
      </w:hyperlink>
      <w:r w:rsidRPr="00864409">
        <w:rPr>
          <w:sz w:val="24"/>
          <w:lang w:val="sk-SK"/>
        </w:rPr>
        <w:t>.</w:t>
      </w:r>
    </w:p>
  </w:footnote>
  <w:footnote w:id="9">
    <w:p w14:paraId="3F90986F" w14:textId="7F33F165" w:rsidR="0024343C" w:rsidRPr="00864409" w:rsidRDefault="0024343C" w:rsidP="00864409">
      <w:pPr>
        <w:pStyle w:val="FootnoteText"/>
        <w:ind w:left="567" w:hanging="567"/>
        <w:rPr>
          <w:sz w:val="24"/>
          <w:lang w:val="sk-SK"/>
        </w:rPr>
      </w:pPr>
      <w:r w:rsidRPr="00864409">
        <w:rPr>
          <w:sz w:val="24"/>
          <w:vertAlign w:val="superscript"/>
          <w:lang w:val="sk-SK"/>
        </w:rPr>
        <w:t>9</w:t>
      </w:r>
      <w:r w:rsidR="00864409" w:rsidRPr="00864409">
        <w:rPr>
          <w:sz w:val="24"/>
          <w:vertAlign w:val="superscript"/>
          <w:lang w:val="sk-SK"/>
        </w:rPr>
        <w:t xml:space="preserve"> </w:t>
      </w:r>
      <w:r w:rsidR="00864409" w:rsidRPr="00864409">
        <w:rPr>
          <w:sz w:val="24"/>
          <w:vertAlign w:val="superscript"/>
          <w:lang w:val="sk-SK"/>
        </w:rPr>
        <w:tab/>
      </w:r>
      <w:hyperlink r:id="rId5" w:tgtFrame="https://commission.europa.eu/document/download/8530a17b-e2b8-4cd4-a68d-597767cfbad7_en?filename=report-task-force-subsidiarity-proportionality-and-doing-less-more-efficiently_en.pdf" w:history="1">
        <w:r w:rsidRPr="00864409">
          <w:rPr>
            <w:rStyle w:val="Hyperlink"/>
            <w:sz w:val="24"/>
            <w:lang w:val="sk-SK"/>
          </w:rPr>
          <w:t>https://commission.europa.eu/document/download/8530a17b-e2b8-4cd4-a68d-597767cfbad7_en?filename=report-task-force-subsidiarity-proportionality-and-doing-less-more-efficiently_en.pdf</w:t>
        </w:r>
      </w:hyperlink>
      <w:r w:rsidRPr="00864409">
        <w:rPr>
          <w:sz w:val="24"/>
          <w:lang w:val="sk-SK"/>
        </w:rPr>
        <w:t>.</w:t>
      </w:r>
    </w:p>
  </w:footnote>
  <w:footnote w:id="10">
    <w:p w14:paraId="2934A3E8" w14:textId="13BDE08D" w:rsidR="0024343C" w:rsidRPr="00864409" w:rsidRDefault="0024343C" w:rsidP="00864409">
      <w:pPr>
        <w:pStyle w:val="FootnoteText"/>
        <w:ind w:left="567" w:hanging="567"/>
        <w:rPr>
          <w:sz w:val="24"/>
          <w:lang w:val="sk-SK"/>
        </w:rPr>
      </w:pPr>
      <w:r w:rsidRPr="00864409">
        <w:rPr>
          <w:sz w:val="24"/>
          <w:vertAlign w:val="superscript"/>
          <w:lang w:val="sk-SK"/>
        </w:rPr>
        <w:t>10</w:t>
      </w:r>
      <w:r w:rsidR="00864409" w:rsidRPr="00864409">
        <w:rPr>
          <w:sz w:val="24"/>
          <w:vertAlign w:val="superscript"/>
          <w:lang w:val="sk-SK"/>
        </w:rPr>
        <w:t xml:space="preserve"> </w:t>
      </w:r>
      <w:r w:rsidR="00864409" w:rsidRPr="00864409">
        <w:rPr>
          <w:sz w:val="24"/>
          <w:vertAlign w:val="superscript"/>
          <w:lang w:val="sk-SK"/>
        </w:rPr>
        <w:tab/>
      </w:r>
      <w:r w:rsidRPr="00864409">
        <w:rPr>
          <w:sz w:val="24"/>
          <w:lang w:val="sk-SK"/>
        </w:rPr>
        <w:t>Návrh nariadenia Rady z 21. </w:t>
      </w:r>
      <w:r w:rsidRPr="00864409">
        <w:rPr>
          <w:sz w:val="24"/>
          <w:lang w:val="sk-SK"/>
        </w:rPr>
        <w:t>marca 2012 o výkone práva uskutočniť kolektívnu akciu v rámci slobody usadiť sa a slobody poskytovať služby (COM(2012)0130).</w:t>
      </w:r>
    </w:p>
  </w:footnote>
  <w:footnote w:id="11">
    <w:p w14:paraId="6380BCFE" w14:textId="765C4016" w:rsidR="0024343C" w:rsidRPr="00864409" w:rsidRDefault="0024343C" w:rsidP="00864409">
      <w:pPr>
        <w:pStyle w:val="FootnoteText"/>
        <w:ind w:left="567" w:hanging="567"/>
        <w:rPr>
          <w:sz w:val="24"/>
          <w:lang w:val="sk-SK"/>
        </w:rPr>
      </w:pPr>
      <w:r w:rsidRPr="00864409">
        <w:rPr>
          <w:sz w:val="24"/>
          <w:vertAlign w:val="superscript"/>
          <w:lang w:val="sk-SK"/>
        </w:rPr>
        <w:t>11</w:t>
      </w:r>
      <w:r w:rsidR="00864409" w:rsidRPr="00864409">
        <w:rPr>
          <w:sz w:val="24"/>
          <w:vertAlign w:val="superscript"/>
          <w:lang w:val="sk-SK"/>
        </w:rPr>
        <w:t xml:space="preserve"> </w:t>
      </w:r>
      <w:r w:rsidR="00864409" w:rsidRPr="00864409">
        <w:rPr>
          <w:sz w:val="24"/>
          <w:vertAlign w:val="superscript"/>
          <w:lang w:val="sk-SK"/>
        </w:rPr>
        <w:tab/>
      </w:r>
      <w:r w:rsidRPr="00864409">
        <w:rPr>
          <w:sz w:val="24"/>
          <w:lang w:val="sk-SK"/>
        </w:rPr>
        <w:t xml:space="preserve">Vytvorenie Európskej prokuratúry: postup „žltej karty“ sa začal </w:t>
      </w:r>
      <w:r w:rsidRPr="00864409">
        <w:rPr>
          <w:sz w:val="24"/>
          <w:lang w:val="sk-SK"/>
        </w:rPr>
        <w:t>v roku 2013 a v roku 2017 bola prijatá posilnená spolupráca podľa článku 86 ZFEÚ.</w:t>
      </w:r>
    </w:p>
  </w:footnote>
  <w:footnote w:id="12">
    <w:p w14:paraId="5CDF4193" w14:textId="700D007B" w:rsidR="0024343C" w:rsidRPr="00864409" w:rsidRDefault="0024343C" w:rsidP="00864409">
      <w:pPr>
        <w:pStyle w:val="FootnoteText"/>
        <w:ind w:left="567" w:hanging="567"/>
        <w:rPr>
          <w:sz w:val="24"/>
          <w:lang w:val="sk-SK"/>
        </w:rPr>
      </w:pPr>
      <w:r w:rsidRPr="00864409">
        <w:rPr>
          <w:sz w:val="24"/>
          <w:vertAlign w:val="superscript"/>
          <w:lang w:val="sk-SK"/>
        </w:rPr>
        <w:t>12</w:t>
      </w:r>
      <w:r w:rsidR="00864409" w:rsidRPr="00864409">
        <w:rPr>
          <w:sz w:val="24"/>
          <w:vertAlign w:val="superscript"/>
          <w:lang w:val="sk-SK"/>
        </w:rPr>
        <w:t xml:space="preserve"> </w:t>
      </w:r>
      <w:r w:rsidR="00864409" w:rsidRPr="00864409">
        <w:rPr>
          <w:sz w:val="24"/>
          <w:vertAlign w:val="superscript"/>
          <w:lang w:val="sk-SK"/>
        </w:rPr>
        <w:tab/>
      </w:r>
      <w:r w:rsidRPr="00864409">
        <w:rPr>
          <w:sz w:val="24"/>
          <w:lang w:val="sk-SK"/>
        </w:rPr>
        <w:t xml:space="preserve">Smernica Európskeho parlamentu a Rady (EÚ) 2018/957 z 28. júna 2018, ktorou sa mení smernica 96/71/ES o vysielaní pracovníkov v rámci poskytovania služieb </w:t>
      </w:r>
      <w:r w:rsidR="008C27ED">
        <w:rPr>
          <w:sz w:val="24"/>
          <w:lang w:val="sk-SK"/>
        </w:rPr>
        <w:t>(</w:t>
      </w:r>
      <w:r w:rsidRPr="00864409">
        <w:rPr>
          <w:sz w:val="24"/>
          <w:lang w:val="sk-SK"/>
        </w:rPr>
        <w:t>Ú. v. EÚ L 173, 9.7.2018, s. </w:t>
      </w:r>
      <w:r w:rsidRPr="00864409">
        <w:rPr>
          <w:sz w:val="24"/>
          <w:lang w:val="sk-SK"/>
        </w:rPr>
        <w:t xml:space="preserve">16, ELI: </w:t>
      </w:r>
      <w:hyperlink r:id="rId6" w:history="1">
        <w:r w:rsidRPr="008C27ED">
          <w:rPr>
            <w:rStyle w:val="Hyperlink"/>
            <w:sz w:val="24"/>
            <w:lang w:val="sk-SK"/>
          </w:rPr>
          <w:t>http://data.europa.eu/eli/dir/2018/957/oj</w:t>
        </w:r>
      </w:hyperlink>
      <w:r w:rsidRPr="00864409">
        <w:rPr>
          <w:sz w:val="24"/>
          <w:lang w:val="sk-SK"/>
        </w:rPr>
        <w:t>).</w:t>
      </w:r>
    </w:p>
  </w:footnote>
  <w:footnote w:id="13">
    <w:p w14:paraId="7BE3946B" w14:textId="16A568CF" w:rsidR="0024343C" w:rsidRPr="00864409" w:rsidRDefault="0024343C" w:rsidP="00864409">
      <w:pPr>
        <w:pStyle w:val="FootnoteText"/>
        <w:ind w:left="567" w:hanging="567"/>
        <w:rPr>
          <w:sz w:val="24"/>
          <w:lang w:val="sk-SK"/>
        </w:rPr>
      </w:pPr>
      <w:r w:rsidRPr="00864409">
        <w:rPr>
          <w:sz w:val="24"/>
          <w:vertAlign w:val="superscript"/>
          <w:lang w:val="sk-SK"/>
        </w:rPr>
        <w:t>13</w:t>
      </w:r>
      <w:r w:rsidR="00864409" w:rsidRPr="00864409">
        <w:rPr>
          <w:sz w:val="24"/>
          <w:vertAlign w:val="superscript"/>
          <w:lang w:val="sk-SK"/>
        </w:rPr>
        <w:t xml:space="preserve"> </w:t>
      </w:r>
      <w:r w:rsidR="00864409" w:rsidRPr="00864409">
        <w:rPr>
          <w:sz w:val="24"/>
          <w:vertAlign w:val="superscript"/>
          <w:lang w:val="sk-SK"/>
        </w:rPr>
        <w:tab/>
      </w:r>
      <w:proofErr w:type="spellStart"/>
      <w:r w:rsidRPr="00864409">
        <w:rPr>
          <w:sz w:val="24"/>
          <w:lang w:val="sk-SK"/>
        </w:rPr>
        <w:t>Le</w:t>
      </w:r>
      <w:proofErr w:type="spellEnd"/>
      <w:r w:rsidRPr="00864409">
        <w:rPr>
          <w:sz w:val="24"/>
          <w:lang w:val="sk-SK"/>
        </w:rPr>
        <w:t xml:space="preserve"> </w:t>
      </w:r>
      <w:proofErr w:type="spellStart"/>
      <w:r w:rsidRPr="00864409">
        <w:rPr>
          <w:sz w:val="24"/>
          <w:lang w:val="sk-SK"/>
        </w:rPr>
        <w:t>Sénat</w:t>
      </w:r>
      <w:proofErr w:type="spellEnd"/>
      <w:r w:rsidRPr="00864409">
        <w:rPr>
          <w:sz w:val="24"/>
          <w:lang w:val="sk-SK"/>
        </w:rPr>
        <w:t xml:space="preserve">, </w:t>
      </w:r>
      <w:proofErr w:type="spellStart"/>
      <w:r w:rsidRPr="00864409">
        <w:rPr>
          <w:sz w:val="24"/>
          <w:lang w:val="sk-SK"/>
        </w:rPr>
        <w:t>Commission</w:t>
      </w:r>
      <w:proofErr w:type="spellEnd"/>
      <w:r w:rsidRPr="00864409">
        <w:rPr>
          <w:sz w:val="24"/>
          <w:lang w:val="sk-SK"/>
        </w:rPr>
        <w:t xml:space="preserve"> des </w:t>
      </w:r>
      <w:proofErr w:type="spellStart"/>
      <w:r w:rsidRPr="00864409">
        <w:rPr>
          <w:sz w:val="24"/>
          <w:lang w:val="sk-SK"/>
        </w:rPr>
        <w:t>affaires</w:t>
      </w:r>
      <w:proofErr w:type="spellEnd"/>
      <w:r w:rsidRPr="00864409">
        <w:rPr>
          <w:sz w:val="24"/>
          <w:lang w:val="sk-SK"/>
        </w:rPr>
        <w:t xml:space="preserve"> </w:t>
      </w:r>
      <w:proofErr w:type="spellStart"/>
      <w:r w:rsidRPr="00864409">
        <w:rPr>
          <w:sz w:val="24"/>
          <w:lang w:val="sk-SK"/>
        </w:rPr>
        <w:t>européenes</w:t>
      </w:r>
      <w:proofErr w:type="spellEnd"/>
      <w:r w:rsidRPr="00864409">
        <w:rPr>
          <w:sz w:val="24"/>
          <w:lang w:val="sk-SK"/>
        </w:rPr>
        <w:t xml:space="preserve">, </w:t>
      </w:r>
      <w:proofErr w:type="spellStart"/>
      <w:r w:rsidRPr="00864409">
        <w:rPr>
          <w:sz w:val="24"/>
          <w:lang w:val="sk-SK"/>
        </w:rPr>
        <w:t>Dérive</w:t>
      </w:r>
      <w:proofErr w:type="spellEnd"/>
      <w:r w:rsidRPr="00864409">
        <w:rPr>
          <w:sz w:val="24"/>
          <w:lang w:val="sk-SK"/>
        </w:rPr>
        <w:t xml:space="preserve"> </w:t>
      </w:r>
      <w:proofErr w:type="spellStart"/>
      <w:r w:rsidRPr="00864409">
        <w:rPr>
          <w:sz w:val="24"/>
          <w:lang w:val="sk-SK"/>
        </w:rPr>
        <w:t>normative</w:t>
      </w:r>
      <w:proofErr w:type="spellEnd"/>
      <w:r w:rsidRPr="00864409">
        <w:rPr>
          <w:sz w:val="24"/>
          <w:lang w:val="sk-SK"/>
        </w:rPr>
        <w:t xml:space="preserve"> de </w:t>
      </w:r>
      <w:proofErr w:type="spellStart"/>
      <w:r w:rsidRPr="00864409">
        <w:rPr>
          <w:sz w:val="24"/>
          <w:lang w:val="sk-SK"/>
        </w:rPr>
        <w:t>l’Union</w:t>
      </w:r>
      <w:proofErr w:type="spellEnd"/>
      <w:r w:rsidRPr="00864409">
        <w:rPr>
          <w:sz w:val="24"/>
          <w:lang w:val="sk-SK"/>
        </w:rPr>
        <w:t xml:space="preserve"> </w:t>
      </w:r>
      <w:proofErr w:type="spellStart"/>
      <w:r w:rsidRPr="00864409">
        <w:rPr>
          <w:sz w:val="24"/>
          <w:lang w:val="sk-SK"/>
        </w:rPr>
        <w:t>européenne</w:t>
      </w:r>
      <w:proofErr w:type="spellEnd"/>
      <w:r w:rsidRPr="00864409">
        <w:rPr>
          <w:sz w:val="24"/>
          <w:lang w:val="sk-SK"/>
        </w:rPr>
        <w:t xml:space="preserve"> – </w:t>
      </w:r>
      <w:proofErr w:type="spellStart"/>
      <w:r w:rsidRPr="00864409">
        <w:rPr>
          <w:sz w:val="24"/>
          <w:lang w:val="sk-SK"/>
        </w:rPr>
        <w:t>Rapport</w:t>
      </w:r>
      <w:proofErr w:type="spellEnd"/>
      <w:r w:rsidRPr="00864409">
        <w:rPr>
          <w:sz w:val="24"/>
          <w:lang w:val="sk-SK"/>
        </w:rPr>
        <w:t xml:space="preserve"> </w:t>
      </w:r>
      <w:proofErr w:type="spellStart"/>
      <w:r w:rsidRPr="00864409">
        <w:rPr>
          <w:sz w:val="24"/>
          <w:lang w:val="sk-SK"/>
        </w:rPr>
        <w:t>d’information</w:t>
      </w:r>
      <w:proofErr w:type="spellEnd"/>
      <w:r w:rsidRPr="00864409">
        <w:rPr>
          <w:sz w:val="24"/>
          <w:lang w:val="sk-SK"/>
        </w:rPr>
        <w:t xml:space="preserve"> n°190 (2024 – 2025), 4. decembra 2024.</w:t>
      </w:r>
    </w:p>
  </w:footnote>
  <w:footnote w:id="14">
    <w:p w14:paraId="64C1BBEA" w14:textId="5097D016" w:rsidR="0024343C" w:rsidRPr="00864409" w:rsidRDefault="0024343C" w:rsidP="00864409">
      <w:pPr>
        <w:pStyle w:val="FootnoteText"/>
        <w:ind w:left="567" w:hanging="567"/>
        <w:rPr>
          <w:sz w:val="24"/>
          <w:lang w:val="sk-SK"/>
        </w:rPr>
      </w:pPr>
      <w:r w:rsidRPr="00864409">
        <w:rPr>
          <w:sz w:val="24"/>
          <w:vertAlign w:val="superscript"/>
          <w:lang w:val="sk-SK"/>
        </w:rPr>
        <w:t>14</w:t>
      </w:r>
      <w:r w:rsidR="00864409" w:rsidRPr="00864409">
        <w:rPr>
          <w:sz w:val="24"/>
          <w:vertAlign w:val="superscript"/>
          <w:lang w:val="sk-SK"/>
        </w:rPr>
        <w:t xml:space="preserve"> </w:t>
      </w:r>
      <w:r w:rsidR="00864409" w:rsidRPr="006C17C6">
        <w:rPr>
          <w:sz w:val="24"/>
          <w:lang w:val="sk-SK"/>
        </w:rPr>
        <w:tab/>
      </w:r>
      <w:hyperlink r:id="rId7" w:history="1">
        <w:r w:rsidRPr="008C27ED">
          <w:rPr>
            <w:rStyle w:val="Hyperlink"/>
            <w:sz w:val="24"/>
            <w:lang w:val="sk-SK"/>
          </w:rPr>
          <w:t>https://national-parliaments-opinions.ec.europa.eu/home</w:t>
        </w:r>
      </w:hyperlink>
      <w:r w:rsidRPr="00864409">
        <w:rPr>
          <w:sz w:val="24"/>
          <w:lang w:val="sk-SK"/>
        </w:rPr>
        <w:t>.</w:t>
      </w:r>
    </w:p>
  </w:footnote>
  <w:footnote w:id="15">
    <w:p w14:paraId="7752E156" w14:textId="47D1E185" w:rsidR="0024343C" w:rsidRPr="00864409" w:rsidRDefault="0024343C" w:rsidP="00864409">
      <w:pPr>
        <w:pStyle w:val="FootnoteText"/>
        <w:ind w:left="567" w:hanging="567"/>
        <w:rPr>
          <w:sz w:val="24"/>
          <w:lang w:val="sk-SK"/>
        </w:rPr>
      </w:pPr>
      <w:r w:rsidRPr="00864409">
        <w:rPr>
          <w:sz w:val="24"/>
          <w:vertAlign w:val="superscript"/>
          <w:lang w:val="sk-SK"/>
        </w:rPr>
        <w:t>15</w:t>
      </w:r>
      <w:r w:rsidR="00864409" w:rsidRPr="00864409">
        <w:rPr>
          <w:sz w:val="24"/>
          <w:vertAlign w:val="superscript"/>
          <w:lang w:val="sk-SK"/>
        </w:rPr>
        <w:t xml:space="preserve"> </w:t>
      </w:r>
      <w:r w:rsidR="00864409" w:rsidRPr="006C17C6">
        <w:rPr>
          <w:sz w:val="24"/>
          <w:lang w:val="sk-SK"/>
        </w:rPr>
        <w:tab/>
      </w:r>
      <w:hyperlink r:id="rId8" w:history="1">
        <w:r w:rsidRPr="008C27ED">
          <w:rPr>
            <w:rStyle w:val="Hyperlink"/>
            <w:sz w:val="24"/>
            <w:lang w:val="sk-SK"/>
          </w:rPr>
          <w:t>https://secure.ipex.eu/IPEXL-WEB/download/file/8a8629a8930500d90193061cc8e70006/LXXII%20COSAC%20Contribution%20EN.pdf</w:t>
        </w:r>
      </w:hyperlink>
      <w:r w:rsidRPr="00864409">
        <w:rPr>
          <w:sz w:val="24"/>
          <w:lang w:val="sk-SK"/>
        </w:rPr>
        <w:t>.</w:t>
      </w:r>
    </w:p>
  </w:footnote>
  <w:footnote w:id="16">
    <w:p w14:paraId="419B9E92" w14:textId="05BE5A44" w:rsidR="0024343C" w:rsidRPr="006648AA" w:rsidRDefault="0024343C" w:rsidP="00864409">
      <w:pPr>
        <w:pStyle w:val="FootnoteText"/>
        <w:ind w:left="567" w:hanging="567"/>
        <w:rPr>
          <w:sz w:val="24"/>
          <w:lang w:val="sk-SK"/>
        </w:rPr>
      </w:pPr>
      <w:r w:rsidRPr="006648AA">
        <w:rPr>
          <w:sz w:val="24"/>
          <w:vertAlign w:val="superscript"/>
          <w:lang w:val="sk-SK"/>
        </w:rPr>
        <w:t>16</w:t>
      </w:r>
      <w:r w:rsidR="00864409" w:rsidRPr="006648AA">
        <w:rPr>
          <w:sz w:val="24"/>
          <w:vertAlign w:val="superscript"/>
          <w:lang w:val="sk-SK"/>
        </w:rPr>
        <w:t xml:space="preserve"> </w:t>
      </w:r>
      <w:r w:rsidR="00864409" w:rsidRPr="006648AA">
        <w:rPr>
          <w:sz w:val="24"/>
          <w:vertAlign w:val="superscript"/>
          <w:lang w:val="sk-SK"/>
        </w:rPr>
        <w:tab/>
      </w:r>
      <w:r w:rsidRPr="006648AA">
        <w:rPr>
          <w:sz w:val="24"/>
          <w:lang w:val="sk-SK"/>
        </w:rPr>
        <w:t>Rozsudok Súdneho dvora z 18. júna 2015, Estónska republika/Európsky parlament a Rada Európskej únie, vec C-508/13, ECLI:EU:C:2015:403.</w:t>
      </w:r>
    </w:p>
  </w:footnote>
  <w:footnote w:id="17">
    <w:p w14:paraId="0A1F2A79" w14:textId="490F2EF1" w:rsidR="0024343C" w:rsidRPr="006648AA" w:rsidRDefault="0024343C" w:rsidP="00864409">
      <w:pPr>
        <w:pStyle w:val="FootnoteText"/>
        <w:ind w:left="567" w:hanging="567"/>
        <w:rPr>
          <w:sz w:val="24"/>
          <w:lang w:val="sk-SK"/>
        </w:rPr>
      </w:pPr>
      <w:r w:rsidRPr="006648AA">
        <w:rPr>
          <w:sz w:val="24"/>
          <w:vertAlign w:val="superscript"/>
          <w:lang w:val="sk-SK"/>
        </w:rPr>
        <w:t>17</w:t>
      </w:r>
      <w:r w:rsidR="00864409" w:rsidRPr="006648AA">
        <w:rPr>
          <w:sz w:val="24"/>
          <w:vertAlign w:val="superscript"/>
          <w:lang w:val="sk-SK"/>
        </w:rPr>
        <w:t xml:space="preserve"> </w:t>
      </w:r>
      <w:r w:rsidR="00864409" w:rsidRPr="006648AA">
        <w:rPr>
          <w:sz w:val="24"/>
          <w:vertAlign w:val="superscript"/>
          <w:lang w:val="sk-SK"/>
        </w:rPr>
        <w:tab/>
      </w:r>
      <w:r w:rsidRPr="006648AA">
        <w:rPr>
          <w:sz w:val="24"/>
          <w:lang w:val="sk-SK"/>
        </w:rPr>
        <w:t>Rozsudok Súdneho dvora z 3. decembra 2019, Česká republika/Európsky parlament a Rada Európskej únie, vec C-482/17, ECLI:EU:C:2019:1035.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4B97E" w14:textId="77777777" w:rsidR="00064002" w:rsidRPr="008644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8A6D3" w14:textId="77777777" w:rsidR="00064002" w:rsidRPr="008644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1C108" w14:textId="77777777" w:rsidR="00064002" w:rsidRPr="008644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7371067">
    <w:abstractNumId w:val="9"/>
  </w:num>
  <w:num w:numId="2" w16cid:durableId="1733697623">
    <w:abstractNumId w:val="9"/>
  </w:num>
  <w:num w:numId="3" w16cid:durableId="82723840">
    <w:abstractNumId w:val="7"/>
  </w:num>
  <w:num w:numId="4" w16cid:durableId="209151643">
    <w:abstractNumId w:val="7"/>
  </w:num>
  <w:num w:numId="5" w16cid:durableId="358748134">
    <w:abstractNumId w:val="6"/>
  </w:num>
  <w:num w:numId="6" w16cid:durableId="1631938978">
    <w:abstractNumId w:val="6"/>
  </w:num>
  <w:num w:numId="7" w16cid:durableId="419640224">
    <w:abstractNumId w:val="5"/>
  </w:num>
  <w:num w:numId="8" w16cid:durableId="954756089">
    <w:abstractNumId w:val="5"/>
  </w:num>
  <w:num w:numId="9" w16cid:durableId="1306550886">
    <w:abstractNumId w:val="4"/>
  </w:num>
  <w:num w:numId="10" w16cid:durableId="1099906559">
    <w:abstractNumId w:val="4"/>
  </w:num>
  <w:num w:numId="11" w16cid:durableId="1230766170">
    <w:abstractNumId w:val="8"/>
  </w:num>
  <w:num w:numId="12" w16cid:durableId="447116649">
    <w:abstractNumId w:val="8"/>
  </w:num>
  <w:num w:numId="13" w16cid:durableId="859591148">
    <w:abstractNumId w:val="3"/>
  </w:num>
  <w:num w:numId="14" w16cid:durableId="964504766">
    <w:abstractNumId w:val="3"/>
  </w:num>
  <w:num w:numId="15" w16cid:durableId="1518347013">
    <w:abstractNumId w:val="2"/>
  </w:num>
  <w:num w:numId="16" w16cid:durableId="1863935131">
    <w:abstractNumId w:val="2"/>
  </w:num>
  <w:num w:numId="17" w16cid:durableId="1648895043">
    <w:abstractNumId w:val="1"/>
  </w:num>
  <w:num w:numId="18" w16cid:durableId="1588998146">
    <w:abstractNumId w:val="1"/>
  </w:num>
  <w:num w:numId="19" w16cid:durableId="1794711153">
    <w:abstractNumId w:val="0"/>
  </w:num>
  <w:num w:numId="20" w16cid:durableId="1475220700">
    <w:abstractNumId w:val="0"/>
  </w:num>
  <w:num w:numId="21" w16cid:durableId="758722173">
    <w:abstractNumId w:val="9"/>
  </w:num>
  <w:num w:numId="22" w16cid:durableId="1999723278">
    <w:abstractNumId w:val="7"/>
  </w:num>
  <w:num w:numId="23" w16cid:durableId="504982424">
    <w:abstractNumId w:val="6"/>
  </w:num>
  <w:num w:numId="24" w16cid:durableId="278488467">
    <w:abstractNumId w:val="5"/>
  </w:num>
  <w:num w:numId="25" w16cid:durableId="249579400">
    <w:abstractNumId w:val="4"/>
  </w:num>
  <w:num w:numId="26" w16cid:durableId="1202859482">
    <w:abstractNumId w:val="8"/>
  </w:num>
  <w:num w:numId="27" w16cid:durableId="578712007">
    <w:abstractNumId w:val="3"/>
  </w:num>
  <w:num w:numId="28" w16cid:durableId="1214341763">
    <w:abstractNumId w:val="2"/>
  </w:num>
  <w:num w:numId="29" w16cid:durableId="1221750345">
    <w:abstractNumId w:val="1"/>
  </w:num>
  <w:num w:numId="30" w16cid:durableId="1493570546">
    <w:abstractNumId w:val="0"/>
  </w:num>
  <w:num w:numId="31" w16cid:durableId="813908124">
    <w:abstractNumId w:val="9"/>
  </w:num>
  <w:num w:numId="32" w16cid:durableId="390618996">
    <w:abstractNumId w:val="7"/>
  </w:num>
  <w:num w:numId="33" w16cid:durableId="2009940494">
    <w:abstractNumId w:val="6"/>
  </w:num>
  <w:num w:numId="34" w16cid:durableId="948314184">
    <w:abstractNumId w:val="5"/>
  </w:num>
  <w:num w:numId="35" w16cid:durableId="1310403406">
    <w:abstractNumId w:val="4"/>
  </w:num>
  <w:num w:numId="36" w16cid:durableId="36130009">
    <w:abstractNumId w:val="8"/>
  </w:num>
  <w:num w:numId="37" w16cid:durableId="1506287116">
    <w:abstractNumId w:val="3"/>
  </w:num>
  <w:num w:numId="38" w16cid:durableId="74591189">
    <w:abstractNumId w:val="2"/>
  </w:num>
  <w:num w:numId="39" w16cid:durableId="1497262783">
    <w:abstractNumId w:val="1"/>
  </w:num>
  <w:num w:numId="40" w16cid:durableId="988050430">
    <w:abstractNumId w:val="0"/>
  </w:num>
  <w:num w:numId="41" w16cid:durableId="359403644">
    <w:abstractNumId w:val="10"/>
  </w:num>
  <w:num w:numId="42" w16cid:durableId="268706766">
    <w:abstractNumId w:val="10"/>
  </w:num>
  <w:num w:numId="43" w16cid:durableId="258492330">
    <w:abstractNumId w:val="10"/>
  </w:num>
  <w:num w:numId="44" w16cid:durableId="18678611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4/2025"/>
    <w:docVar w:name="dvlangue" w:val="SK"/>
    <w:docVar w:name="dvnumam" w:val="0"/>
    <w:docVar w:name="dvpe" w:val="768.159"/>
    <w:docVar w:name="dvrapporteur" w:val="Spravodajkyňa: "/>
    <w:docVar w:name="dvtitre" w:val="Uznesenie Európskeho parlamentu z xx. novembra 2025 o uplatňovaní ustanovení zmluvy týkajúcich sa zásad subsidiarity a proporcionality a úlohe národných parlamentov v legislatívnom procese EÚ(2025/2042(INI))"/>
  </w:docVars>
  <w:rsids>
    <w:rsidRoot w:val="00413B6C"/>
    <w:rsid w:val="00002272"/>
    <w:rsid w:val="00064002"/>
    <w:rsid w:val="000677B9"/>
    <w:rsid w:val="000831BA"/>
    <w:rsid w:val="000A42CC"/>
    <w:rsid w:val="000B1B33"/>
    <w:rsid w:val="000E7DD9"/>
    <w:rsid w:val="0010095E"/>
    <w:rsid w:val="001157F8"/>
    <w:rsid w:val="00125B37"/>
    <w:rsid w:val="00187494"/>
    <w:rsid w:val="001F32AE"/>
    <w:rsid w:val="002375E6"/>
    <w:rsid w:val="0024343C"/>
    <w:rsid w:val="002767FF"/>
    <w:rsid w:val="002B18FE"/>
    <w:rsid w:val="002B5493"/>
    <w:rsid w:val="00306B8D"/>
    <w:rsid w:val="00343214"/>
    <w:rsid w:val="00361C00"/>
    <w:rsid w:val="00395FA1"/>
    <w:rsid w:val="003C35E4"/>
    <w:rsid w:val="003D61CB"/>
    <w:rsid w:val="003E15D4"/>
    <w:rsid w:val="00411CCE"/>
    <w:rsid w:val="00413B6C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3951"/>
    <w:rsid w:val="005F1B17"/>
    <w:rsid w:val="006037C0"/>
    <w:rsid w:val="006631B6"/>
    <w:rsid w:val="006648AA"/>
    <w:rsid w:val="00680577"/>
    <w:rsid w:val="006C17C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002"/>
    <w:rsid w:val="00817416"/>
    <w:rsid w:val="00842779"/>
    <w:rsid w:val="00864409"/>
    <w:rsid w:val="00865F67"/>
    <w:rsid w:val="00881A7B"/>
    <w:rsid w:val="008840E5"/>
    <w:rsid w:val="00887B3E"/>
    <w:rsid w:val="00891B97"/>
    <w:rsid w:val="008C27ED"/>
    <w:rsid w:val="008C2AC6"/>
    <w:rsid w:val="00930C23"/>
    <w:rsid w:val="0093193B"/>
    <w:rsid w:val="009509D8"/>
    <w:rsid w:val="00950B64"/>
    <w:rsid w:val="00981893"/>
    <w:rsid w:val="009D19C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FE1"/>
    <w:rsid w:val="00E820A4"/>
    <w:rsid w:val="00EB006A"/>
    <w:rsid w:val="00EB4772"/>
    <w:rsid w:val="00EC7D6F"/>
    <w:rsid w:val="00ED169E"/>
    <w:rsid w:val="00ED4235"/>
    <w:rsid w:val="00F04346"/>
    <w:rsid w:val="00F075DC"/>
    <w:rsid w:val="00F149E9"/>
    <w:rsid w:val="00F5134D"/>
    <w:rsid w:val="00F74202"/>
    <w:rsid w:val="00F87713"/>
    <w:rsid w:val="00FA0A9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A72AE4"/>
  <w15:chartTrackingRefBased/>
  <w15:docId w15:val="{EDB8E77A-51FF-4F4D-BD4F-A109A525B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24343C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24343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24343C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24343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24343C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24343C"/>
    <w:rPr>
      <w:color w:val="0000FF"/>
      <w:u w:val="single"/>
    </w:rPr>
  </w:style>
  <w:style w:type="paragraph" w:styleId="Revision">
    <w:name w:val="Revision"/>
    <w:hidden/>
    <w:uiPriority w:val="99"/>
    <w:semiHidden/>
    <w:rsid w:val="006648AA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8C27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secure.ipex.eu/IPEXL-WEB/download/file/8a8629a8930500d90193061cc8e70006/LXXII%20COSAC%20Contribution%20EN.pdf" TargetMode="External"/><Relationship Id="rId3" Type="http://schemas.openxmlformats.org/officeDocument/2006/relationships/hyperlink" Target="http://data.europa.eu/eli/C/2024/4216/oj" TargetMode="External"/><Relationship Id="rId7" Type="http://schemas.openxmlformats.org/officeDocument/2006/relationships/hyperlink" Target="https://national-parliaments-opinions.ec.europa.eu/home" TargetMode="External"/><Relationship Id="rId2" Type="http://schemas.openxmlformats.org/officeDocument/2006/relationships/hyperlink" Target="http://data.europa.eu/eli/C/2024/5714/oj" TargetMode="External"/><Relationship Id="rId1" Type="http://schemas.openxmlformats.org/officeDocument/2006/relationships/hyperlink" Target="http://data.europa.eu/eli/treaty/tfeu_2016/pro_1/oj" TargetMode="External"/><Relationship Id="rId6" Type="http://schemas.openxmlformats.org/officeDocument/2006/relationships/hyperlink" Target="http://data.europa.eu/eli/dir/2018/957/oj" TargetMode="External"/><Relationship Id="rId5" Type="http://schemas.openxmlformats.org/officeDocument/2006/relationships/hyperlink" Target="https://commission.europa.eu/document/download/8530a17b-e2b8-4cd4-a68d-597767cfbad7_en?filename=report-task-force-subsidiarity-proportionality-and-doing-less-more-efficiently_en.pdf" TargetMode="External"/><Relationship Id="rId4" Type="http://schemas.openxmlformats.org/officeDocument/2006/relationships/hyperlink" Target="https://commission.europa.eu/topics/eu-competitiveness/draghi-report_en%23paragraph_470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3873</Words>
  <Characters>24805</Characters>
  <Application>Microsoft Office Word</Application>
  <DocSecurity>0</DocSecurity>
  <Lines>206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2026-01-26T09:41:00Z</dcterms:created>
  <dcterms:modified xsi:type="dcterms:W3CDTF">2026-01-26T09:41:00Z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A10-0224/2025</vt:lpwstr>
  </property>
  <property fmtid="{D5CDD505-2E9C-101B-9397-08002B2CF9AE}" pid="4" name="&lt;Type&gt;">
    <vt:lpwstr>RR</vt:lpwstr>
  </property>
</Properties>
</file>