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0C1C" w14:paraId="2903C16A" w14:textId="77777777" w:rsidTr="0010095E">
        <w:trPr>
          <w:trHeight w:hRule="exact" w:val="1418"/>
        </w:trPr>
        <w:tc>
          <w:tcPr>
            <w:tcW w:w="6804" w:type="dxa"/>
            <w:shd w:val="clear" w:color="auto" w:fill="auto"/>
            <w:vAlign w:val="center"/>
          </w:tcPr>
          <w:p w14:paraId="0DE262FB" w14:textId="77777777" w:rsidR="00751A4A" w:rsidRPr="00610C1C" w:rsidRDefault="004E0D9A" w:rsidP="0010095E">
            <w:pPr>
              <w:pStyle w:val="EPName"/>
            </w:pPr>
            <w:r w:rsidRPr="00610C1C">
              <w:t>Europa-Parlamentet</w:t>
            </w:r>
          </w:p>
          <w:p w14:paraId="40FBF24D" w14:textId="77777777" w:rsidR="00751A4A" w:rsidRPr="00610C1C" w:rsidRDefault="005F1B17" w:rsidP="005F1B17">
            <w:pPr>
              <w:pStyle w:val="EPTerm"/>
              <w:rPr>
                <w:rStyle w:val="HideTWBExt"/>
                <w:noProof w:val="0"/>
                <w:vanish w:val="0"/>
                <w:color w:val="auto"/>
              </w:rPr>
            </w:pPr>
            <w:r w:rsidRPr="00610C1C">
              <w:t>2024</w:t>
            </w:r>
            <w:r w:rsidR="00817416" w:rsidRPr="00610C1C">
              <w:t>-202</w:t>
            </w:r>
            <w:r w:rsidRPr="00610C1C">
              <w:t>9</w:t>
            </w:r>
          </w:p>
        </w:tc>
        <w:tc>
          <w:tcPr>
            <w:tcW w:w="2268" w:type="dxa"/>
            <w:shd w:val="clear" w:color="auto" w:fill="auto"/>
          </w:tcPr>
          <w:p w14:paraId="1C8B59E1" w14:textId="77777777" w:rsidR="00751A4A" w:rsidRPr="00610C1C" w:rsidRDefault="00187494" w:rsidP="0010095E">
            <w:pPr>
              <w:pStyle w:val="EPLogo"/>
            </w:pPr>
            <w:r w:rsidRPr="00610C1C">
              <w:rPr>
                <w:noProof/>
                <w:lang w:eastAsia="ja-JP"/>
              </w:rPr>
              <w:drawing>
                <wp:inline distT="0" distB="0" distL="0" distR="0" wp14:anchorId="27398857" wp14:editId="653026C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1FCD96" w14:textId="77777777" w:rsidR="00D058B8" w:rsidRPr="00610C1C" w:rsidRDefault="00D058B8" w:rsidP="004C5D52">
      <w:pPr>
        <w:pStyle w:val="LineTop"/>
      </w:pPr>
    </w:p>
    <w:p w14:paraId="2F1EB14F" w14:textId="77777777" w:rsidR="00680577" w:rsidRPr="00610C1C" w:rsidRDefault="004E0D9A" w:rsidP="00680577">
      <w:pPr>
        <w:pStyle w:val="EPBodyTA1"/>
      </w:pPr>
      <w:r w:rsidRPr="00610C1C">
        <w:t>VEDTAGNE TEKSTER</w:t>
      </w:r>
    </w:p>
    <w:p w14:paraId="4784F7EB" w14:textId="77777777" w:rsidR="00D058B8" w:rsidRPr="00610C1C" w:rsidRDefault="00D058B8" w:rsidP="00D058B8">
      <w:pPr>
        <w:pStyle w:val="LineBottom"/>
      </w:pPr>
    </w:p>
    <w:p w14:paraId="5327D281" w14:textId="6153F229" w:rsidR="004E0D9A" w:rsidRPr="00610C1C" w:rsidRDefault="004E0D9A" w:rsidP="004E0D9A">
      <w:pPr>
        <w:pStyle w:val="ATHeading1"/>
      </w:pPr>
      <w:bookmarkStart w:id="0" w:name="TANumber"/>
      <w:r w:rsidRPr="00610C1C">
        <w:t>P10_TA(2025)0</w:t>
      </w:r>
      <w:bookmarkEnd w:id="0"/>
      <w:r w:rsidR="009C6C29">
        <w:t>310</w:t>
      </w:r>
    </w:p>
    <w:p w14:paraId="39C37A6D" w14:textId="3D4315A0" w:rsidR="004E0D9A" w:rsidRPr="00495610" w:rsidRDefault="00495610" w:rsidP="004E0D9A">
      <w:pPr>
        <w:pStyle w:val="ATHeading2"/>
      </w:pPr>
      <w:r w:rsidRPr="00B93EE6">
        <w:rPr>
          <w:bCs/>
        </w:rPr>
        <w:t>Eskalering af krigen og den humanitære katastrofe i Sudan</w:t>
      </w:r>
    </w:p>
    <w:p w14:paraId="1B3C8017" w14:textId="43524C82" w:rsidR="004E0D9A" w:rsidRPr="00610C1C" w:rsidRDefault="004E0D9A" w:rsidP="004E0D9A">
      <w:pPr>
        <w:rPr>
          <w:i/>
          <w:vanish/>
        </w:rPr>
      </w:pPr>
      <w:r w:rsidRPr="00610C1C">
        <w:rPr>
          <w:i/>
        </w:rPr>
        <w:fldChar w:fldCharType="begin"/>
      </w:r>
      <w:r w:rsidRPr="00610C1C">
        <w:rPr>
          <w:i/>
        </w:rPr>
        <w:instrText xml:space="preserve"> TC"(</w:instrText>
      </w:r>
      <w:bookmarkStart w:id="1" w:name="DocNumber"/>
      <w:r w:rsidRPr="00610C1C">
        <w:rPr>
          <w:i/>
        </w:rPr>
        <w:instrText>B10-</w:instrText>
      </w:r>
      <w:r w:rsidR="001B2509" w:rsidRPr="000D4125">
        <w:rPr>
          <w:i/>
        </w:rPr>
        <w:instrText>0533</w:instrText>
      </w:r>
      <w:r w:rsidR="001B2509">
        <w:rPr>
          <w:i/>
        </w:rPr>
        <w:instrText>, 0539, 0542 og 0543</w:instrText>
      </w:r>
      <w:r w:rsidRPr="00610C1C">
        <w:rPr>
          <w:i/>
        </w:rPr>
        <w:instrText>/2025</w:instrText>
      </w:r>
      <w:bookmarkEnd w:id="1"/>
      <w:r w:rsidRPr="00610C1C">
        <w:rPr>
          <w:i/>
        </w:rPr>
        <w:instrText xml:space="preserve">)"\l3 \n&gt; \* MERGEFORMAT </w:instrText>
      </w:r>
      <w:r w:rsidRPr="00610C1C">
        <w:rPr>
          <w:i/>
        </w:rPr>
        <w:fldChar w:fldCharType="end"/>
      </w:r>
    </w:p>
    <w:p w14:paraId="7B0AB9AF" w14:textId="77777777" w:rsidR="004E0D9A" w:rsidRPr="00610C1C" w:rsidRDefault="004E0D9A" w:rsidP="004E0D9A">
      <w:pPr>
        <w:rPr>
          <w:vanish/>
        </w:rPr>
      </w:pPr>
      <w:bookmarkStart w:id="2" w:name="PE"/>
      <w:r w:rsidRPr="00610C1C">
        <w:rPr>
          <w:vanish/>
        </w:rPr>
        <w:t>PE779.006</w:t>
      </w:r>
      <w:bookmarkEnd w:id="2"/>
    </w:p>
    <w:p w14:paraId="65826BC7" w14:textId="345FF73E" w:rsidR="004E0D9A" w:rsidRPr="00610C1C" w:rsidRDefault="004E0D9A" w:rsidP="004E0D9A">
      <w:pPr>
        <w:pStyle w:val="ATHeading3"/>
      </w:pPr>
      <w:bookmarkStart w:id="3" w:name="Sujet"/>
      <w:r w:rsidRPr="00610C1C">
        <w:t xml:space="preserve">Europa-Parlamentets beslutning af </w:t>
      </w:r>
      <w:r w:rsidR="00495610">
        <w:t>27. november</w:t>
      </w:r>
      <w:r w:rsidRPr="00610C1C">
        <w:t xml:space="preserve"> 2025 om eskaleringen af krigen og den humanitære katastrofe i Sudan</w:t>
      </w:r>
      <w:bookmarkEnd w:id="3"/>
      <w:r w:rsidRPr="00610C1C">
        <w:t xml:space="preserve"> </w:t>
      </w:r>
      <w:bookmarkStart w:id="4" w:name="References"/>
      <w:r w:rsidRPr="00610C1C">
        <w:t>(2025/2984(RSP))</w:t>
      </w:r>
      <w:bookmarkEnd w:id="4"/>
    </w:p>
    <w:p w14:paraId="0B1BB814" w14:textId="77777777" w:rsidR="002E1133" w:rsidRPr="00610C1C" w:rsidRDefault="002E1133" w:rsidP="002E1133">
      <w:pPr>
        <w:pStyle w:val="EPComma"/>
      </w:pPr>
      <w:bookmarkStart w:id="5" w:name="TextBodyBegin"/>
      <w:bookmarkEnd w:id="5"/>
      <w:r w:rsidRPr="00610C1C">
        <w:rPr>
          <w:i/>
        </w:rPr>
        <w:t>Europa-Parlamentet</w:t>
      </w:r>
      <w:r w:rsidRPr="00610C1C">
        <w:t>,</w:t>
      </w:r>
    </w:p>
    <w:p w14:paraId="417190F6" w14:textId="77777777" w:rsidR="002E1133" w:rsidRPr="00610C1C" w:rsidRDefault="002E1133" w:rsidP="002E1133">
      <w:pPr>
        <w:pStyle w:val="NormalHanging12a"/>
        <w:rPr>
          <w:szCs w:val="24"/>
        </w:rPr>
      </w:pPr>
      <w:r w:rsidRPr="00610C1C">
        <w:t>–</w:t>
      </w:r>
      <w:r w:rsidRPr="00610C1C">
        <w:tab/>
        <w:t>der henviser til sine tidligere beslutninger om Sudan, særlig beslutning af 15. juni 2023 om den humanitære situation i Sudan, navnlig dødsfald blandt børn, der er fanget af kamphandlinger</w:t>
      </w:r>
      <w:r w:rsidRPr="00610C1C">
        <w:rPr>
          <w:rStyle w:val="FootnoteReference"/>
        </w:rPr>
        <w:footnoteReference w:id="1"/>
      </w:r>
      <w:r w:rsidRPr="00610C1C">
        <w:t>, og af 13. marts 2025 om den alvorlige politiske og humanitære krise samt menneskerettighedskrisen, navnlig seksuel vold og voldtægt af børn</w:t>
      </w:r>
      <w:r w:rsidRPr="00610C1C">
        <w:rPr>
          <w:rStyle w:val="FootnoteReference"/>
        </w:rPr>
        <w:footnoteReference w:id="2"/>
      </w:r>
      <w:r w:rsidRPr="00610C1C">
        <w:t>,</w:t>
      </w:r>
    </w:p>
    <w:p w14:paraId="3CD301F6" w14:textId="77777777" w:rsidR="002E1133" w:rsidRPr="00610C1C" w:rsidRDefault="002E1133" w:rsidP="002E1133">
      <w:pPr>
        <w:pStyle w:val="NormalHanging12a"/>
        <w:rPr>
          <w:szCs w:val="24"/>
        </w:rPr>
      </w:pPr>
      <w:r w:rsidRPr="00610C1C">
        <w:t>–</w:t>
      </w:r>
      <w:r w:rsidRPr="00610C1C">
        <w:tab/>
        <w:t>der henviser til verdenserklæringen om menneskerettighederne og den internationale konvention om borgerlige og politiske rettigheder,</w:t>
      </w:r>
    </w:p>
    <w:p w14:paraId="05FF16FC" w14:textId="77777777" w:rsidR="002E1133" w:rsidRPr="00610C1C" w:rsidRDefault="002E1133" w:rsidP="002E1133">
      <w:pPr>
        <w:pStyle w:val="NormalHanging12a"/>
        <w:rPr>
          <w:szCs w:val="24"/>
        </w:rPr>
      </w:pPr>
      <w:r w:rsidRPr="00610C1C">
        <w:t>–</w:t>
      </w:r>
      <w:r w:rsidRPr="00610C1C">
        <w:tab/>
        <w:t>der henviser til Genèvekonventionerne fra 1949 og tillægsprotokollerne hertil,</w:t>
      </w:r>
    </w:p>
    <w:p w14:paraId="26216225" w14:textId="77777777" w:rsidR="002E1133" w:rsidRPr="00610C1C" w:rsidRDefault="002E1133" w:rsidP="002E1133">
      <w:pPr>
        <w:pStyle w:val="NormalHanging12a"/>
        <w:rPr>
          <w:szCs w:val="24"/>
        </w:rPr>
      </w:pPr>
      <w:r w:rsidRPr="00610C1C">
        <w:t>–</w:t>
      </w:r>
      <w:r w:rsidRPr="00610C1C">
        <w:tab/>
        <w:t>der henviser til bestræbelserne på at mægle fred i Sudan, især dem, der ledes af Den Afrikanske Union, FN, Den Mellemstatslige Organisation for Udvikling, Saudi-Arabien og USA,</w:t>
      </w:r>
    </w:p>
    <w:p w14:paraId="69BED970" w14:textId="77777777" w:rsidR="002E1133" w:rsidRPr="00610C1C" w:rsidRDefault="002E1133" w:rsidP="002E1133">
      <w:pPr>
        <w:pStyle w:val="NormalHanging12a"/>
        <w:rPr>
          <w:szCs w:val="24"/>
        </w:rPr>
      </w:pPr>
      <w:r w:rsidRPr="00610C1C">
        <w:t>–</w:t>
      </w:r>
      <w:r w:rsidRPr="00610C1C">
        <w:tab/>
        <w:t>der henviser til FN's Sikkerhedsråds resolutioner 1556 (2004) og 2736 (2024) og til alle andre relevante resolutioner fra FN's Sikkerhedsråd vedrørende Sudan,</w:t>
      </w:r>
    </w:p>
    <w:p w14:paraId="59A8A023" w14:textId="77777777" w:rsidR="002E1133" w:rsidRPr="00610C1C" w:rsidRDefault="002E1133" w:rsidP="002E1133">
      <w:pPr>
        <w:pStyle w:val="NormalHanging12a"/>
        <w:rPr>
          <w:szCs w:val="24"/>
        </w:rPr>
      </w:pPr>
      <w:r w:rsidRPr="00610C1C">
        <w:t>–</w:t>
      </w:r>
      <w:r w:rsidRPr="00610C1C">
        <w:tab/>
        <w:t>der henviser til de relevante resolutioner fra FN's Menneskerettighedsråd om menneskerettighedssituationen i Sudan,</w:t>
      </w:r>
    </w:p>
    <w:p w14:paraId="3514419F" w14:textId="77777777" w:rsidR="002E1133" w:rsidRPr="00610C1C" w:rsidRDefault="002E1133" w:rsidP="002E1133">
      <w:pPr>
        <w:pStyle w:val="NormalHanging12a"/>
        <w:rPr>
          <w:szCs w:val="24"/>
        </w:rPr>
      </w:pPr>
      <w:r w:rsidRPr="00610C1C">
        <w:t>–</w:t>
      </w:r>
      <w:r w:rsidRPr="00610C1C">
        <w:tab/>
        <w:t>der henviser til Rådets afgørelse (FUSP) 2024/383</w:t>
      </w:r>
      <w:r w:rsidRPr="00610C1C">
        <w:rPr>
          <w:rStyle w:val="FootnoteReference"/>
        </w:rPr>
        <w:footnoteReference w:id="3"/>
      </w:r>
      <w:r w:rsidRPr="00610C1C">
        <w:t>, (FUSP) 2024/1784</w:t>
      </w:r>
      <w:r w:rsidRPr="00610C1C">
        <w:rPr>
          <w:rStyle w:val="FootnoteReference"/>
        </w:rPr>
        <w:footnoteReference w:id="4"/>
      </w:r>
      <w:r w:rsidRPr="00610C1C">
        <w:t>, (FUSP) 2024/2655</w:t>
      </w:r>
      <w:r w:rsidRPr="00610C1C">
        <w:rPr>
          <w:rStyle w:val="FootnoteReference"/>
        </w:rPr>
        <w:footnoteReference w:id="5"/>
      </w:r>
      <w:r w:rsidRPr="00610C1C">
        <w:t>, (FUSP) 2024/3154</w:t>
      </w:r>
      <w:r w:rsidRPr="00610C1C">
        <w:rPr>
          <w:rStyle w:val="FootnoteReference"/>
        </w:rPr>
        <w:footnoteReference w:id="6"/>
      </w:r>
      <w:r w:rsidRPr="00610C1C">
        <w:t>, (FUSP) 2025/377</w:t>
      </w:r>
      <w:r w:rsidRPr="00610C1C">
        <w:rPr>
          <w:rStyle w:val="FootnoteReference"/>
        </w:rPr>
        <w:footnoteReference w:id="7"/>
      </w:r>
      <w:r w:rsidRPr="00610C1C">
        <w:t xml:space="preserve"> og (FUSP) 2025/1481</w:t>
      </w:r>
      <w:r w:rsidRPr="00610C1C">
        <w:rPr>
          <w:rStyle w:val="FootnoteReference"/>
        </w:rPr>
        <w:footnoteReference w:id="8"/>
      </w:r>
      <w:r w:rsidRPr="00610C1C">
        <w:t xml:space="preserve"> om </w:t>
      </w:r>
      <w:r w:rsidRPr="00610C1C">
        <w:lastRenderedPageBreak/>
        <w:t>restriktive foranstaltninger på baggrund af situationen i Sudan,</w:t>
      </w:r>
    </w:p>
    <w:p w14:paraId="6526419B" w14:textId="77777777" w:rsidR="002E1133" w:rsidRPr="00610C1C" w:rsidRDefault="002E1133" w:rsidP="002E1133">
      <w:pPr>
        <w:pStyle w:val="NormalHanging12a"/>
        <w:rPr>
          <w:szCs w:val="24"/>
        </w:rPr>
      </w:pPr>
      <w:r w:rsidRPr="00610C1C">
        <w:t>–</w:t>
      </w:r>
      <w:r w:rsidRPr="00610C1C">
        <w:tab/>
        <w:t>der henviser til Rådets konklusioner om Sudan, som blev godkendt af Rådet for Udenrigsanliggender på dets møde den 20. oktober 2025,</w:t>
      </w:r>
    </w:p>
    <w:p w14:paraId="07AFD724" w14:textId="77777777" w:rsidR="002E1133" w:rsidRPr="00610C1C" w:rsidRDefault="002E1133" w:rsidP="002E1133">
      <w:pPr>
        <w:pStyle w:val="NormalHanging12a"/>
        <w:rPr>
          <w:kern w:val="2"/>
          <w:szCs w:val="24"/>
          <w14:ligatures w14:val="standardContextual"/>
        </w:rPr>
      </w:pPr>
      <w:r w:rsidRPr="00610C1C">
        <w:t>–</w:t>
      </w:r>
      <w:r w:rsidRPr="00610C1C">
        <w:tab/>
        <w:t>der henviser til erklæringen af 20. november 2025 om Sudan fra Unionens højtstående repræsentant for udenrigsanliggender og sikkerhedspolitik på vegne af Den Europæiske Union,</w:t>
      </w:r>
    </w:p>
    <w:p w14:paraId="7FDD2EE8" w14:textId="77777777" w:rsidR="002E1133" w:rsidRPr="00610C1C" w:rsidRDefault="002E1133" w:rsidP="002E1133">
      <w:pPr>
        <w:pStyle w:val="NormalHanging12a"/>
        <w:rPr>
          <w:bCs/>
          <w:szCs w:val="24"/>
        </w:rPr>
      </w:pPr>
      <w:r w:rsidRPr="00610C1C">
        <w:t>–</w:t>
      </w:r>
      <w:r w:rsidRPr="00610C1C">
        <w:tab/>
        <w:t>der henviser til sin beslutning af 23. oktober 2025 om fornyelse af partnerskabet mellem EU og Afrika: Opbygning af fælles prioriteter forud for topmødet i Angola</w:t>
      </w:r>
      <w:r w:rsidRPr="00610C1C">
        <w:rPr>
          <w:rStyle w:val="FootnoteReference"/>
        </w:rPr>
        <w:footnoteReference w:id="9"/>
      </w:r>
      <w:r w:rsidRPr="00610C1C">
        <w:t>,</w:t>
      </w:r>
    </w:p>
    <w:p w14:paraId="635D6846" w14:textId="77777777" w:rsidR="002E1133" w:rsidRPr="00610C1C" w:rsidRDefault="002E1133" w:rsidP="002E1133">
      <w:pPr>
        <w:pStyle w:val="NormalHanging12a"/>
      </w:pPr>
      <w:r w:rsidRPr="00610C1C">
        <w:t>–</w:t>
      </w:r>
      <w:r w:rsidRPr="00610C1C">
        <w:tab/>
        <w:t>der henviser til forretningsordenens artikel 136, stk. 2 og 4,</w:t>
      </w:r>
    </w:p>
    <w:p w14:paraId="11763826" w14:textId="77777777" w:rsidR="002E1133" w:rsidRPr="00610C1C" w:rsidRDefault="002E1133" w:rsidP="002E1133">
      <w:pPr>
        <w:pStyle w:val="NormalHanging12a"/>
        <w:rPr>
          <w:szCs w:val="24"/>
        </w:rPr>
      </w:pPr>
      <w:r w:rsidRPr="00610C1C">
        <w:t>A.</w:t>
      </w:r>
      <w:r w:rsidRPr="00610C1C">
        <w:tab/>
        <w:t>der henviser til, at konflikten mellem Sudans væbnede styrker (SAF) og Rapid Support Forces (RSF), som blev indledt i april 2023, har udviklet sig til verdens største og alvorligste humanitære krise og beskyttelseskrise, der har forårsaget massefordrivelse (både internt og til nabolandene) – med mere end 7,2 millioner internt fordrevne og mere end 4,2 millioner flygtning, asylansøgere og hjemvendte, der flygter til nabolandene – fødevareusikkerhed og udbredte krænkelser af menneskerettighederne; der henviser til, at næsten to tredjedele af Sudans befolkning har akut behov for humanitær bistand, herunder 16 millioner børn, i en situation præget af massefordrivelse, hungersnød, omfattende angreb på civile og humanitære hjælpearbejdere og sundhedspersonale og sammenbrud af væsentlige tjenester;</w:t>
      </w:r>
    </w:p>
    <w:p w14:paraId="7F54C0CC" w14:textId="77777777" w:rsidR="002E1133" w:rsidRPr="00610C1C" w:rsidRDefault="002E1133" w:rsidP="002E1133">
      <w:pPr>
        <w:pStyle w:val="NormalHanging12a"/>
        <w:rPr>
          <w:szCs w:val="24"/>
        </w:rPr>
      </w:pPr>
      <w:r w:rsidRPr="00610C1C">
        <w:t>B.</w:t>
      </w:r>
      <w:r w:rsidRPr="00610C1C">
        <w:tab/>
        <w:t>der henviser til, at RSF indtog byen El Fasher den 26. oktober 2025 efter en 18 måneder lang belejring, hvilket førte til massevoldtægter og massegrusomheder, som omfattede summariske henrettelser, systematisk seksuel vold, tortur og etnisk målrettede drab;</w:t>
      </w:r>
    </w:p>
    <w:p w14:paraId="71755EBF" w14:textId="77777777" w:rsidR="002E1133" w:rsidRPr="00610C1C" w:rsidRDefault="002E1133" w:rsidP="002E1133">
      <w:pPr>
        <w:pStyle w:val="NormalHanging12a"/>
        <w:rPr>
          <w:szCs w:val="24"/>
        </w:rPr>
      </w:pPr>
      <w:r w:rsidRPr="00610C1C">
        <w:t>C.</w:t>
      </w:r>
      <w:r w:rsidRPr="00610C1C">
        <w:tab/>
        <w:t>der henviser til, at den uafhængige internationale undersøgelsesmission vedrørende Sudan har dokumenteret anvendelsen af voldtægt som et krigsvåben af særlig brutal karakter, herunder offentlig seksuel vold og gruppevoldtægt, og anvendelsen af tvangsægteskaber, hvilket bringer millioner af mennesker i fare for kønsbaseret vold;</w:t>
      </w:r>
    </w:p>
    <w:p w14:paraId="3EC0C357" w14:textId="77777777" w:rsidR="002E1133" w:rsidRPr="00610C1C" w:rsidRDefault="002E1133" w:rsidP="002E1133">
      <w:pPr>
        <w:pStyle w:val="NormalHanging12a"/>
        <w:rPr>
          <w:rFonts w:eastAsia="Calibri"/>
          <w:szCs w:val="24"/>
        </w:rPr>
      </w:pPr>
      <w:r w:rsidRPr="00610C1C">
        <w:t>D.</w:t>
      </w:r>
      <w:r w:rsidRPr="00610C1C">
        <w:tab/>
        <w:t>der henviser til, at den uafhængige internationale undersøgelsesmission i sin rapport konstaterede, at begge parter i konflikten krænker folkeretten, og at disse krænkelser udgør internationale forbrydelser, idet RSF har begået krigsforbrydelser og forbrydelser mod menneskeheden, og SAF har begået krænkelser af den humanitære folkeret og menneskerettighedslovgivningen, hvilket også udgør krigsforbrydelser; der henviser til, at de krænkelser, der begås af begge parter, omfatter etnisk og religiøst målrettet vold, sult som krigsvåben, seksuel massevold (herunder voldtægt af børn), tvangsrekruttering af børn, vilkårlige tilbageholdelser og andre alvorlige overgreb;</w:t>
      </w:r>
    </w:p>
    <w:p w14:paraId="0412C77C" w14:textId="77777777" w:rsidR="002E1133" w:rsidRPr="00610C1C" w:rsidRDefault="002E1133" w:rsidP="002E1133">
      <w:pPr>
        <w:pStyle w:val="NormalHanging12a"/>
        <w:rPr>
          <w:szCs w:val="24"/>
        </w:rPr>
      </w:pPr>
      <w:r w:rsidRPr="00610C1C">
        <w:t>E.</w:t>
      </w:r>
      <w:r w:rsidRPr="00610C1C">
        <w:tab/>
        <w:t>der henviser til, at begge parter har gjort humanitær bistand til et våben, hvilket hæmmer humanitære organisationers frie og uhindrede adgang til dem, som har behov herfor;</w:t>
      </w:r>
    </w:p>
    <w:p w14:paraId="5F7BA295" w14:textId="77777777" w:rsidR="002E1133" w:rsidRPr="00610C1C" w:rsidRDefault="002E1133" w:rsidP="002E1133">
      <w:pPr>
        <w:pStyle w:val="NormalHanging12a"/>
        <w:rPr>
          <w:szCs w:val="24"/>
        </w:rPr>
      </w:pPr>
      <w:r w:rsidRPr="00610C1C">
        <w:t>F.</w:t>
      </w:r>
      <w:r w:rsidRPr="00610C1C">
        <w:tab/>
        <w:t>der henviser til, at alle lande, som er involveret i at udøve ekstern indflydelse på Sudan, spiller en væsentlig rolle med hensyn til at forlænge konflikten i landet;</w:t>
      </w:r>
    </w:p>
    <w:p w14:paraId="2519135C" w14:textId="77777777" w:rsidR="002E1133" w:rsidRPr="00610C1C" w:rsidRDefault="002E1133" w:rsidP="002E1133">
      <w:pPr>
        <w:pStyle w:val="NormalHanging12a"/>
        <w:rPr>
          <w:szCs w:val="24"/>
        </w:rPr>
      </w:pPr>
      <w:r w:rsidRPr="00610C1C">
        <w:t>G.</w:t>
      </w:r>
      <w:r w:rsidRPr="00610C1C">
        <w:tab/>
        <w:t xml:space="preserve">der henviser til, at alle parterne i konflikten krænker de internationale </w:t>
      </w:r>
      <w:r w:rsidRPr="00610C1C">
        <w:lastRenderedPageBreak/>
        <w:t>menneskerettigheder og den humanitære folkeret, og at de fleste krænkelser udgør krigsforbrydelser;</w:t>
      </w:r>
      <w:r w:rsidRPr="00610C1C">
        <w:rPr>
          <w:rStyle w:val="cf01"/>
          <w:color w:val="000000"/>
        </w:rPr>
        <w:t xml:space="preserve"> </w:t>
      </w:r>
      <w:r w:rsidRPr="00070E08">
        <w:rPr>
          <w:rStyle w:val="cf01"/>
          <w:rFonts w:ascii="Times New Roman" w:hAnsi="Times New Roman" w:cs="Times New Roman"/>
          <w:color w:val="000000"/>
          <w:sz w:val="24"/>
          <w:szCs w:val="24"/>
        </w:rPr>
        <w:t>der henviser til, at RSF's handlinger også kan udgøre forbrydelser mod menneskeheden, herunder forfølgelse og udryddelse,</w:t>
      </w:r>
      <w:r w:rsidRPr="000063AC">
        <w:rPr>
          <w:szCs w:val="24"/>
        </w:rPr>
        <w:t xml:space="preserve"> </w:t>
      </w:r>
      <w:r w:rsidRPr="00610C1C">
        <w:t>og at deres taktik omfatter systematiske angreb på civile, intimidering af befolkninger, journalister og mediefolk og bestræbelser på at destabilisere den institutionelle myndighed;</w:t>
      </w:r>
    </w:p>
    <w:p w14:paraId="4E08731C" w14:textId="77777777" w:rsidR="002E1133" w:rsidRPr="00610C1C" w:rsidRDefault="002E1133" w:rsidP="002E1133">
      <w:pPr>
        <w:pStyle w:val="NormalHanging12a"/>
        <w:rPr>
          <w:szCs w:val="24"/>
        </w:rPr>
      </w:pPr>
      <w:r w:rsidRPr="00610C1C">
        <w:t>H.</w:t>
      </w:r>
      <w:r w:rsidRPr="00610C1C">
        <w:tab/>
        <w:t>der henviser til, at børn er særligt udsatte, og at UNICEF har rapporteret om flere hundrede tilfælde af voldtægt af børn siden begyndelsen af 2024; der henviser til, at de reelle tal forventes at være meget højere; der henviser til, at et stort antal børn i Sudan ikke er i stand til at gå i skole som følge af vedvarende lukninger og tvangsfordrivelser, hvilket udsætter dem for øgede risici og nægter dem adgang til uddannelse;</w:t>
      </w:r>
    </w:p>
    <w:p w14:paraId="3534C5F9" w14:textId="77777777" w:rsidR="002E1133" w:rsidRPr="00610C1C" w:rsidRDefault="002E1133" w:rsidP="002E1133">
      <w:pPr>
        <w:pStyle w:val="NormalHanging12a"/>
        <w:rPr>
          <w:szCs w:val="24"/>
        </w:rPr>
      </w:pPr>
      <w:r w:rsidRPr="00610C1C">
        <w:t>I.</w:t>
      </w:r>
      <w:r w:rsidRPr="00610C1C">
        <w:tab/>
        <w:t>der henviser til, at EU har afsat 273 mio. EUR til regionen, herunder 161 mio. EUR specifikt til Sudan;</w:t>
      </w:r>
    </w:p>
    <w:p w14:paraId="449BC244" w14:textId="77777777" w:rsidR="002E1133" w:rsidRPr="00610C1C" w:rsidRDefault="002E1133" w:rsidP="002E1133">
      <w:pPr>
        <w:pStyle w:val="NormalHanging12a"/>
        <w:rPr>
          <w:szCs w:val="24"/>
        </w:rPr>
      </w:pPr>
      <w:r w:rsidRPr="00610C1C">
        <w:t>J.</w:t>
      </w:r>
      <w:r w:rsidRPr="00610C1C">
        <w:tab/>
        <w:t>der henviser til, at EU fortsat yder livsvigtig nødhjælp, som er behovsbaseret og styret af humanitære principper, for at sikre øjeblikkelig nødhjælp og beskyttelse til de mest sårbare befolkningsgrupper, med henblik på at yde afgørende bistand og overvåge menneskerettighedskrænkelser, og for at reagere på den alvorlige fødevaresikkerheds- og ernæringskrise i landet og yde humanitær støtte til grundlæggende tjenester; der henviser til, at kvindeorganisationer, modstandsudvalg og lokale beredskabsfolk fortsat er centrale for at beskytte civile og dokumentere krænkelser;</w:t>
      </w:r>
    </w:p>
    <w:p w14:paraId="26787841" w14:textId="77777777" w:rsidR="002E1133" w:rsidRPr="00610C1C" w:rsidRDefault="002E1133" w:rsidP="002E1133">
      <w:pPr>
        <w:pStyle w:val="NormalHanging12a"/>
        <w:rPr>
          <w:szCs w:val="24"/>
        </w:rPr>
      </w:pPr>
      <w:r w:rsidRPr="00610C1C">
        <w:t>K.</w:t>
      </w:r>
      <w:r w:rsidRPr="00610C1C">
        <w:tab/>
        <w:t>der henviser til, at krigen undertiden betragtes som en stedfortræderkrig, hvor Sudan er blevet slagmarken for konkurrencen om naturressourcer såsom guld, gummi arabicum, jernmalm, kobber og uran;</w:t>
      </w:r>
    </w:p>
    <w:p w14:paraId="76AA2F60" w14:textId="77777777" w:rsidR="002E1133" w:rsidRPr="00610C1C" w:rsidRDefault="002E1133" w:rsidP="002E1133">
      <w:pPr>
        <w:pStyle w:val="NormalHanging12a"/>
        <w:rPr>
          <w:szCs w:val="24"/>
        </w:rPr>
      </w:pPr>
      <w:r w:rsidRPr="00610C1C">
        <w:t>L.</w:t>
      </w:r>
      <w:r w:rsidRPr="00610C1C">
        <w:tab/>
        <w:t>der henviser til, at Parlamentet i sin beslutning fra oktober 2025 om fornyelse af partnerskabet mellem EU og Afrika opfordrede alle aktører til at øge gennemsigtigheden og effektivt forbyde indførsel af alle blodmineraler i EU;</w:t>
      </w:r>
    </w:p>
    <w:p w14:paraId="79E866F0" w14:textId="77777777" w:rsidR="002E1133" w:rsidRPr="00610C1C" w:rsidRDefault="002E1133" w:rsidP="002E1133">
      <w:pPr>
        <w:pStyle w:val="NormalHanging12a"/>
        <w:rPr>
          <w:szCs w:val="24"/>
        </w:rPr>
      </w:pPr>
      <w:r w:rsidRPr="00610C1C">
        <w:t>M.</w:t>
      </w:r>
      <w:r w:rsidRPr="00610C1C">
        <w:tab/>
        <w:t>der henviser til, at De Forenede Nationers Befolkningsfond (UNFPA) og dens partnere fortsat leverer tjenester inden for reproduktiv sundhed og beskyttelse, men at de seneste internationale nedskæringer har tvunget UNFPA til at trække sig ud af mere end halvdelen af de 93 sundhedsfaciliteter, som den støttede i Sudan, hvilket betyder, at kun én ud af fire faciliteter, der tilbyder klinisk støtte til voldtægtsofre, i øjeblikket er i drift;</w:t>
      </w:r>
    </w:p>
    <w:p w14:paraId="63C20922" w14:textId="77777777" w:rsidR="002E1133" w:rsidRDefault="002E1133" w:rsidP="002E1133">
      <w:pPr>
        <w:pStyle w:val="NormalHanging12a"/>
      </w:pPr>
      <w:r w:rsidRPr="00610C1C">
        <w:t>1.</w:t>
      </w:r>
      <w:r w:rsidRPr="00610C1C">
        <w:tab/>
        <w:t>fordømmer på det kraftigste de alvorlige grusomheder, som RSF har begået i El Fasher og i resten af Sudan, herunder udbredte, etnisk målrettede drab og vold, voldtægt og seksuelt slaveri, tortur, tvungne forsvindinger, angreb på hospitaler og humanitære faciliteter og bevidst udsultning af civile, som muligvis udgør folkedrab;</w:t>
      </w:r>
    </w:p>
    <w:p w14:paraId="1B47F469" w14:textId="6F411A07" w:rsidR="009C6C29" w:rsidRPr="00610C1C" w:rsidRDefault="009C6C29" w:rsidP="002E1133">
      <w:pPr>
        <w:pStyle w:val="NormalHanging12a"/>
      </w:pPr>
      <w:r>
        <w:t>2.</w:t>
      </w:r>
      <w:r>
        <w:tab/>
      </w:r>
      <w:r w:rsidRPr="009C6C29">
        <w:t>fordømmer på det kraftigste den eskalerende vold i Sudan og de alvorlige overtrædelser af folkeretten, der begås af alle parter; understreger, at der ikke findes nogen holdbar militær løsning på konflikten i Sudan, og at fortsættelsen af fjendtlighederne påfører civile uacceptable lidelser og udgør en stigende risiko for fred og sikkerhed i regionen;</w:t>
      </w:r>
    </w:p>
    <w:p w14:paraId="25E5589C" w14:textId="12286E30" w:rsidR="002E1133" w:rsidRPr="00610C1C" w:rsidRDefault="00FE0802" w:rsidP="002E1133">
      <w:pPr>
        <w:pStyle w:val="NormalHanging12a"/>
      </w:pPr>
      <w:r>
        <w:t>3</w:t>
      </w:r>
      <w:r w:rsidR="002E1133" w:rsidRPr="00610C1C">
        <w:t>.</w:t>
      </w:r>
      <w:r w:rsidR="002E1133" w:rsidRPr="00610C1C">
        <w:tab/>
        <w:t>fordømmer på det kraftigste de alvorlige og systematiske krænkelser af den humanitære folkeret og menneskerettighederne begået af både RSF og SAF, herunder vilkårlige angreb på civile, etnisk målrettet vold, seksuel vold, tortur, brug af børnesoldater, angreb på hospitaler og humanitære faciliteter og bevidst udsultning af civile, som muligvis udgør folkedrab;</w:t>
      </w:r>
    </w:p>
    <w:p w14:paraId="6A852ACA" w14:textId="3417F597" w:rsidR="002E1133" w:rsidRPr="00610C1C" w:rsidRDefault="00FE0802" w:rsidP="002E1133">
      <w:pPr>
        <w:pStyle w:val="NormalHanging12a"/>
      </w:pPr>
      <w:r>
        <w:t>4</w:t>
      </w:r>
      <w:r w:rsidR="002E1133" w:rsidRPr="00610C1C">
        <w:t>.</w:t>
      </w:r>
      <w:r w:rsidR="002E1133" w:rsidRPr="00610C1C">
        <w:tab/>
        <w:t>fordømmer på det kraftigste den igangværende konflikt i Sudan, som for tredje år i træk fortsat forårsager tab af tusindvis af menneskeliv, udsætter Sudans befolkning for enorm modgang og udgør en alvorlig trussel mod stabiliteten og sikkerheden i hele regionen;</w:t>
      </w:r>
    </w:p>
    <w:p w14:paraId="11C78A96" w14:textId="163566A4" w:rsidR="002E1133" w:rsidRPr="00610C1C" w:rsidRDefault="00FE0802" w:rsidP="002E1133">
      <w:pPr>
        <w:pStyle w:val="NormalHanging12a"/>
      </w:pPr>
      <w:r>
        <w:t>5</w:t>
      </w:r>
      <w:r w:rsidR="002E1133" w:rsidRPr="00610C1C">
        <w:t>.</w:t>
      </w:r>
      <w:r w:rsidR="002E1133" w:rsidRPr="00610C1C">
        <w:tab/>
        <w:t>fordømmer på det kraftigste den fortsatte vold, der begås af begge væbnede styrker i Sudan, og de alvorlige krænkelser af de internationale menneskerettigheder og den humanitære folkeret, der begås af alle parter; fordømmer blokeringen og plyndringen af humanitær bistand og angrebene på humanitære hjælpearbejdere og sundhedspersonale, nødhjælpsarbejdere og menneskerettighedsforkæmpere, som udgør alvorlige krænkelser af de grundlæggende rettigheder og den humanitære folkeret;</w:t>
      </w:r>
    </w:p>
    <w:p w14:paraId="2F1C51FE" w14:textId="19AF71AE" w:rsidR="002E1133" w:rsidRPr="00610C1C" w:rsidRDefault="00FE0802" w:rsidP="002E1133">
      <w:pPr>
        <w:pStyle w:val="NormalHanging12a"/>
      </w:pPr>
      <w:r>
        <w:t>6</w:t>
      </w:r>
      <w:r w:rsidR="002E1133" w:rsidRPr="00610C1C">
        <w:t>.</w:t>
      </w:r>
      <w:r w:rsidR="002E1133" w:rsidRPr="00610C1C">
        <w:tab/>
        <w:t>udtrykker sin fulde solidaritet med det sudanske folk, navnlig med dem i de områder, der er hårdest ramt af belejring, hungersnød, fordrivelse og vilkårlige angreb, og hylder lokale, frivillige og internationale humanitære hjælpearbejdere, der arbejder under ekstreme forhold, herunder gensidige bistandsgrupper som f.eks. Emergency Response Rooms; hylder sudanesiske civilsamfundsorganisationer, modstandsudvalg og kvinde-, arbejdstager- og ungdomsbevægelser;</w:t>
      </w:r>
    </w:p>
    <w:p w14:paraId="6C824B45" w14:textId="7AA8DA5A" w:rsidR="002E1133" w:rsidRPr="00610C1C" w:rsidRDefault="00FE0802" w:rsidP="002E1133">
      <w:pPr>
        <w:pStyle w:val="NormalHanging12a"/>
      </w:pPr>
      <w:r>
        <w:t>7</w:t>
      </w:r>
      <w:r w:rsidR="002E1133" w:rsidRPr="00610C1C">
        <w:t>.</w:t>
      </w:r>
      <w:r w:rsidR="002E1133" w:rsidRPr="00610C1C">
        <w:tab/>
        <w:t>beklager den udbredte og systematiske brug af seksuel og kønsbaseret vold mod kvinder og piger, herunder voldtægt, seksuelt slaveri og tvangsægteskab, som krigstaktik af kombattanter; opfordrer til en hurtig indsats med fokus på overlevende, herunder medicinsk, psykosocial og juridisk støtte; opfordrer indtrængende alle parter til straks at sætte en stopper for disse overgreb og sikre, at gerningsmændene stilles til ansvar; understreger behovet for at prioritere beskyttelsen af kvinder og børn i alle humanitære og fredsopbyggende reaktioner;</w:t>
      </w:r>
    </w:p>
    <w:p w14:paraId="5D8E99A4" w14:textId="3ACDAD1A" w:rsidR="002E1133" w:rsidRPr="00610C1C" w:rsidRDefault="00FE0802" w:rsidP="002E1133">
      <w:pPr>
        <w:pStyle w:val="NormalHanging12a"/>
      </w:pPr>
      <w:r>
        <w:t>8</w:t>
      </w:r>
      <w:r w:rsidR="002E1133" w:rsidRPr="00610C1C">
        <w:t>.</w:t>
      </w:r>
      <w:r w:rsidR="002E1133" w:rsidRPr="00610C1C">
        <w:tab/>
        <w:t>bekræfter på ny Sudans suverænitet, uafhængighed, enhed og territoriale integritet; opfordrer EU, dets medlemsstater og alle sudanesiske og internationale aktører til at opretholde, Sudans suverænitet, enhed og territoriale integritet og legitimiteten af den civile regering i Khartoum; afviser ethvert forsøg på at skabe parallelle eller konkurrerende myndigheder eller politiske strukturer i RSF-kontrollerede områder;</w:t>
      </w:r>
    </w:p>
    <w:p w14:paraId="42A900EB" w14:textId="7F768267" w:rsidR="002E1133" w:rsidRPr="00610C1C" w:rsidRDefault="00FE0802" w:rsidP="002E1133">
      <w:pPr>
        <w:pStyle w:val="NormalHanging12a"/>
        <w:rPr>
          <w:szCs w:val="24"/>
        </w:rPr>
      </w:pPr>
      <w:r>
        <w:t>9</w:t>
      </w:r>
      <w:r w:rsidR="002E1133" w:rsidRPr="00610C1C">
        <w:t>.</w:t>
      </w:r>
      <w:r w:rsidR="002E1133" w:rsidRPr="00610C1C">
        <w:tab/>
        <w:t>understreger, at det primære ansvar for at bringe konflikten til ophør påhviler ledelsen af RSF, SAF og deres allierede militser og dem, der yder dem direkte eller indirekte støtte; opfordrer indtrængende alle eksterne aktører til at træffe de nødvendige foranstaltninger til at standse salg eller levering af våben og andet militært udstyr til alle parter i henhold til den våbenembargo, der blev indført ved FN's Sikkerhedsråds resolution 1556 (2004) og 1591 (2005);</w:t>
      </w:r>
      <w:bookmarkStart w:id="6" w:name="_Hlk214614372"/>
    </w:p>
    <w:p w14:paraId="68951721" w14:textId="00759FF5" w:rsidR="002E1133" w:rsidRDefault="00FE0802" w:rsidP="002E1133">
      <w:pPr>
        <w:pStyle w:val="NormalHanging12a"/>
      </w:pPr>
      <w:r>
        <w:t>10</w:t>
      </w:r>
      <w:r w:rsidR="002E1133" w:rsidRPr="00610C1C">
        <w:t>.</w:t>
      </w:r>
      <w:r w:rsidR="002E1133" w:rsidRPr="00610C1C">
        <w:tab/>
        <w:t>fordømmer alle former for ekstern indblanding, der giver næring til krigen i Sudan, herunder våbenoverførsler, indsættelse af lejesoldater, guldsmugling og ulovlige finansielle netværk, som underminerer Sudans suverænitet og direkte bidrager til massegrusomheder, og understreger, at sådanne handlinger kan indebære internationalt ansvar; opfordrer til, at der øjeblikkeligt sættes en stopper for rekrutteringen af lejesoldater og leveringen af forsyninger og militær eller logistisk støtte til RSF og allierede militser;</w:t>
      </w:r>
    </w:p>
    <w:p w14:paraId="4808A919" w14:textId="36FBC67E" w:rsidR="005B2541" w:rsidRPr="00610C1C" w:rsidRDefault="00327C3D" w:rsidP="002E1133">
      <w:pPr>
        <w:pStyle w:val="NormalHanging12a"/>
      </w:pPr>
      <w:r>
        <w:t>11</w:t>
      </w:r>
      <w:r w:rsidR="005B2541">
        <w:t>.</w:t>
      </w:r>
      <w:r w:rsidR="005B2541">
        <w:tab/>
      </w:r>
      <w:r w:rsidR="005B2541" w:rsidRPr="005B2541">
        <w:t>understreger den centrale rolle, som det sudanske civilsamfund, modstandsgrupper, fagforeninger, kvinde- og ungdomsorganisationer, mindretal og marginaliserede samfund og andre græsrodsaktører spiller i enhver politisk løsning; opfordrer EU til at prioritere deres deltagelse, beskyttelse og ressourcer, herunder gennem direkte, fleksibel finansiering og initiativer vedrørende sikkert rum;</w:t>
      </w:r>
    </w:p>
    <w:p w14:paraId="3AA52C13" w14:textId="3B863B44" w:rsidR="002E1133" w:rsidRPr="00610C1C" w:rsidRDefault="00327C3D" w:rsidP="002E1133">
      <w:pPr>
        <w:pStyle w:val="NormalHanging12a"/>
      </w:pPr>
      <w:r>
        <w:t>12</w:t>
      </w:r>
      <w:r w:rsidR="002E1133" w:rsidRPr="00610C1C">
        <w:t>.</w:t>
      </w:r>
      <w:r w:rsidR="002E1133" w:rsidRPr="00610C1C">
        <w:tab/>
        <w:t xml:space="preserve">opfordrer til genoprettelse og styrkelse af retsstatsprincippet, ansvarlighed, respekt for folkeretten – herunder den humanitære folkeret og menneskerettighedslovgivningen – og retfærdighed i Sudan; understreger, at Sudans fremtid ikke kan udformes af voldelige ekstremistiske grupper og netværk, hvis destabiliserende indflydelse længe har givet næring til vold og ustabilitet i Sudan og i hele </w:t>
      </w:r>
      <w:bookmarkEnd w:id="6"/>
      <w:r w:rsidR="002E1133" w:rsidRPr="00610C1C">
        <w:t>regionen; kræver øjeblikkelig indstilling af fjendtlighederne og opfordrer alle parter til at indgå i en meningsfuld dialog for at bringe konflikten til ophør og sikre en overgang til civil demokratisk regeringsførelse; opfordrer alle tredjepartsaktører til at støtte diplomatiske tiltag for at sikre en indstilling af fjendtlighederne; fordømmer alle overtrædelser af alle FN's våbenembargoer; bekræfter på ny, at en reelt civilt ledet overgang er den eneste holdbare vej frem mod varig fred i Sudan; støtter kraftigt Den Afrikanske Unions og de regionale partneres bestræbelser på at fremme en fredsproces;</w:t>
      </w:r>
      <w:r w:rsidR="009C6C29">
        <w:t xml:space="preserve"> </w:t>
      </w:r>
      <w:r w:rsidR="009C6C29" w:rsidRPr="009C6C29">
        <w:t>understreger, at det sudanesiske civilsamfund, navnlig kvindeledede organisationer, skal stå i centrum for fredsforhandlingerne og lede overgangsprocessen; opfordrer med henblik herpå EU og dets medlemsstater til proaktivt at bidrage til fredsforhandlinger med partnere i det internationale samfund og til politisk og økonomisk at støtte civilsamfund, kvindeledede organisationer, menneskerettighedsforkæmpere og journalister i Sudan;</w:t>
      </w:r>
    </w:p>
    <w:p w14:paraId="6D989BA2" w14:textId="28B069B0" w:rsidR="002E1133" w:rsidRPr="00610C1C" w:rsidRDefault="00327C3D" w:rsidP="002E1133">
      <w:pPr>
        <w:pStyle w:val="NormalHanging12a"/>
      </w:pPr>
      <w:r>
        <w:t>13</w:t>
      </w:r>
      <w:r w:rsidR="002E1133" w:rsidRPr="00610C1C">
        <w:t>.</w:t>
      </w:r>
      <w:r w:rsidR="002E1133" w:rsidRPr="00610C1C">
        <w:tab/>
        <w:t>kræver, at der åbnes sikre humanitære korridorer, navnlig til El Fasher, Kadugli og El Obeid, og at disse overvåges og kontrolleres af De Forenede Nationer og Den Afrikanske Union for at sikre overholdelse; understreger, at EU aktivt skal fremme og støtte en kontrollerbar våbenhvile som en forudsætning for enhver holdbar fredsproces;</w:t>
      </w:r>
    </w:p>
    <w:p w14:paraId="129781AD" w14:textId="12D33D23" w:rsidR="002E1133" w:rsidRPr="00610C1C" w:rsidRDefault="00327C3D" w:rsidP="002E1133">
      <w:pPr>
        <w:pStyle w:val="NormalHanging12a"/>
      </w:pPr>
      <w:r>
        <w:t>14</w:t>
      </w:r>
      <w:r w:rsidR="002E1133" w:rsidRPr="00610C1C">
        <w:t>.</w:t>
      </w:r>
      <w:r w:rsidR="002E1133" w:rsidRPr="00610C1C">
        <w:tab/>
        <w:t>opfordrer til øjeblikkelig, sikker og uhindret humanitær adgang til alle berørte befolkningsgrupper, uanset hvor de befinder sig, og kræver, at begge parter ophører med at bruge bistand som våben; opfordrer indtrængende alle parter i konflikten til straks at fjerne alle hindringer for levering af humanitær bistand og sørge for øjeblikkelig, betingelsesløs, sikker og uhindret humanitær adgang, undlade brugen af bevidste hindringer og beskytte civile; opfordrer til, at der ydes støtte til nabolande, som modtager sudanske flygtninge;</w:t>
      </w:r>
    </w:p>
    <w:p w14:paraId="59568C02" w14:textId="4CDD2408" w:rsidR="002E1133" w:rsidRPr="00610C1C" w:rsidRDefault="00327C3D" w:rsidP="002E1133">
      <w:pPr>
        <w:pStyle w:val="NormalHanging12a"/>
      </w:pPr>
      <w:r>
        <w:t>15</w:t>
      </w:r>
      <w:r w:rsidR="002E1133" w:rsidRPr="00610C1C">
        <w:t>.</w:t>
      </w:r>
      <w:r w:rsidR="002E1133" w:rsidRPr="00610C1C">
        <w:tab/>
        <w:t>opfordrer de krigsførende parter til straks at genoprette kommunikationstjenesterne i hele Sudan og sætte en stopper for internetstrømafbrydelser, der krænker det sudanske folks ret til information, hindrer leveringen af humanitære tjenester og beredskabstjenester, påvirker sikkerheden for og beskyttelsen af civile og hindrer afgørende overvågning af og rapportering om igangværende krænkelser af internationale menneskerettigheder og den humanitære folkeret;</w:t>
      </w:r>
    </w:p>
    <w:p w14:paraId="68461179" w14:textId="5ABC2936" w:rsidR="002E1133" w:rsidRPr="00610C1C" w:rsidRDefault="00327C3D" w:rsidP="002E1133">
      <w:pPr>
        <w:pStyle w:val="NormalHanging12a"/>
      </w:pPr>
      <w:r>
        <w:t>16</w:t>
      </w:r>
      <w:r w:rsidR="002E1133" w:rsidRPr="00610C1C">
        <w:t>.</w:t>
      </w:r>
      <w:r w:rsidR="002E1133" w:rsidRPr="00610C1C">
        <w:tab/>
        <w:t>beklager de massedrab, henrettelser og seksuelle overgreb, der blev begået i El Fasher og omegn under og efter RSF's angreb; udtrykker dyb bekymring over rapporter om fortsatte bortførelser og manglen på humanitær adgang; fordømmer navnlig de bevidste angreb på civil infrastruktur, herunder ødelæggelsen af moskeer og kirker, og opfordrer til beskyttelse af religiøse mindretal og beskyttelse af deres ret til gudsdyrkelse;</w:t>
      </w:r>
    </w:p>
    <w:p w14:paraId="63194C9C" w14:textId="7F85E271" w:rsidR="002E1133" w:rsidRPr="00610C1C" w:rsidRDefault="00327C3D" w:rsidP="002E1133">
      <w:pPr>
        <w:pStyle w:val="NormalHanging12a"/>
      </w:pPr>
      <w:r>
        <w:t>17</w:t>
      </w:r>
      <w:r w:rsidR="002E1133" w:rsidRPr="00610C1C">
        <w:t>.</w:t>
      </w:r>
      <w:r w:rsidR="002E1133" w:rsidRPr="00610C1C">
        <w:tab/>
        <w:t>opfordrer indtrængende de krigsførende parter til øjeblikkeligt at sætte en stopper for fjendtlighederne, indstille alle angreb på civile og civil infrastruktur, standse angrebene på infrastruktur og humanitær bistand, sætte en stopper for brugen af sult og seksuel vold som krigsvåben og indstille rekrutteringen og brugen af børnesoldater og tillade uhindret humanitær adgang i hele landet, skabe humanitære korridorer, søge en forhandlingsløsning og opfylde deres forpligtelser i henhold til Jeddah-erklæringen; er dybt bekymret over den alarmerende forværring af den humanitære krise i Sudan, idet konflikten har ført til og vedbliver at være årsag til den alvorligste humanitære katastrofe på verdensplan med bekræftet hungersnød i dele af landet; udtrykker endvidere bekymring over konsekvenserne af massemigration til nabolandene;</w:t>
      </w:r>
    </w:p>
    <w:p w14:paraId="5C9CEDF6" w14:textId="4E4D037C" w:rsidR="002E1133" w:rsidRPr="00610C1C" w:rsidRDefault="00327C3D" w:rsidP="002E1133">
      <w:pPr>
        <w:pStyle w:val="NormalHanging12a"/>
      </w:pPr>
      <w:r>
        <w:t>18</w:t>
      </w:r>
      <w:r w:rsidR="002E1133" w:rsidRPr="00610C1C">
        <w:t>.</w:t>
      </w:r>
      <w:r w:rsidR="002E1133" w:rsidRPr="00610C1C">
        <w:tab/>
        <w:t>opfordrer alle parter til straks at sætte en stopper for den udbredte brug af voldtægt og alle andre former for seksuel og kønsbaseret vold som krigsvåben; opfordrer til støtte til beskyttelse, pleje, behandling og psykosocial støtte til overlevende efter seksuel vold;</w:t>
      </w:r>
    </w:p>
    <w:p w14:paraId="0B61E8C9" w14:textId="7B8B7E64" w:rsidR="002E1133" w:rsidRPr="00610C1C" w:rsidRDefault="00327C3D" w:rsidP="002E1133">
      <w:pPr>
        <w:pStyle w:val="NormalHanging12a"/>
        <w:rPr>
          <w:szCs w:val="24"/>
        </w:rPr>
      </w:pPr>
      <w:r>
        <w:t>19</w:t>
      </w:r>
      <w:r w:rsidR="002E1133" w:rsidRPr="00610C1C">
        <w:t>.</w:t>
      </w:r>
      <w:r w:rsidR="002E1133" w:rsidRPr="00610C1C">
        <w:tab/>
        <w:t>opfordrer de krigsførende parter til at standse målrettede angreb på og chikane af sudanske aktivister, menneskerettighedsforkæmpere, journalister og repræsentanter for civilsamfundet;</w:t>
      </w:r>
    </w:p>
    <w:p w14:paraId="462C2882" w14:textId="317CB412" w:rsidR="002E1133" w:rsidRPr="00610C1C" w:rsidRDefault="00327C3D" w:rsidP="002E1133">
      <w:pPr>
        <w:pStyle w:val="NormalHanging12a"/>
        <w:rPr>
          <w:szCs w:val="24"/>
        </w:rPr>
      </w:pPr>
      <w:r>
        <w:t>20</w:t>
      </w:r>
      <w:r w:rsidR="002E1133" w:rsidRPr="00610C1C">
        <w:t>.</w:t>
      </w:r>
      <w:r w:rsidR="002E1133" w:rsidRPr="00610C1C">
        <w:tab/>
        <w:t>opfordrer indtrængende alle parter til at overholde deres forpligtelser i henhold til den humanitære folkeret og menneskerettighedslovgivningen ved at anvende enhver mulig foranstaltning til at beskytte civile og civile genstande; understreger, at håndteringen af situationen for kvinder og piger i Sudan, og navnlig den igangværende konfliktrelaterede seksuelle vold, skal prioriteres i bestræbelserne på at tackle konflikten i Sudan; understreger behovet for tilstrækkelig støtte til sociale nødhjælpstjenester og for specifik støtte til beskyttelses-, pleje-, behandlings- og støttemekanismer for overlevende efter seksuel og kønsbaseret vold;</w:t>
      </w:r>
    </w:p>
    <w:p w14:paraId="271AD3A0" w14:textId="1814E631" w:rsidR="002E1133" w:rsidRPr="00610C1C" w:rsidRDefault="00327C3D" w:rsidP="002E1133">
      <w:pPr>
        <w:pStyle w:val="NormalHanging12a"/>
      </w:pPr>
      <w:r>
        <w:t>21</w:t>
      </w:r>
      <w:r w:rsidR="002E1133" w:rsidRPr="00610C1C">
        <w:t>.</w:t>
      </w:r>
      <w:r w:rsidR="002E1133" w:rsidRPr="00610C1C">
        <w:tab/>
        <w:t>opfordrer nabolandene til Sudan til at åbne deres grænser for sudanske flygtninge og EU og dets medlemsstater til hurtigt at øge nødhjælpsmidlerne til den humanitære indsats i Sudan og i flygtningelejre i nabolandene;</w:t>
      </w:r>
    </w:p>
    <w:p w14:paraId="4B357724" w14:textId="74CF9C7F" w:rsidR="002E1133" w:rsidRPr="00610C1C" w:rsidRDefault="00327C3D" w:rsidP="002E1133">
      <w:pPr>
        <w:pStyle w:val="NormalHanging12a"/>
      </w:pPr>
      <w:r>
        <w:t>22</w:t>
      </w:r>
      <w:r w:rsidR="002E1133" w:rsidRPr="00610C1C">
        <w:t>.</w:t>
      </w:r>
      <w:r w:rsidR="002E1133" w:rsidRPr="00610C1C">
        <w:tab/>
        <w:t>fremhæver den alvorlige risiko for, at konflikten i Sudan vil smitte af på andre sårbare regioner såsom Afrikas Horn og Sahel, og er alvorligt bekymret over den sudanesiske krises indvirkning på de irregulære migrationsstrømme til Europa;</w:t>
      </w:r>
    </w:p>
    <w:p w14:paraId="5D288DFF" w14:textId="5BB3A4E7" w:rsidR="002E1133" w:rsidRPr="00610C1C" w:rsidRDefault="00327C3D" w:rsidP="002E1133">
      <w:pPr>
        <w:pStyle w:val="NormalHanging12a"/>
      </w:pPr>
      <w:r>
        <w:t>23</w:t>
      </w:r>
      <w:r w:rsidR="002E1133" w:rsidRPr="00610C1C">
        <w:t>.</w:t>
      </w:r>
      <w:r w:rsidR="002E1133" w:rsidRPr="00610C1C">
        <w:tab/>
        <w:t>opfordrer indtrængende Rådet og Kommissionen til at opretholde og øge EU's humanitære forpligtelse på 273 mio. EUR til Sudan og regionen og sikre, at midlerne når ud til dem, der har størst behov for dem;</w:t>
      </w:r>
    </w:p>
    <w:p w14:paraId="77DC5B61" w14:textId="15CA19FF" w:rsidR="002E1133" w:rsidRPr="00610C1C" w:rsidRDefault="00327C3D" w:rsidP="002E1133">
      <w:pPr>
        <w:pStyle w:val="NormalHanging12a"/>
      </w:pPr>
      <w:r>
        <w:t>24</w:t>
      </w:r>
      <w:r w:rsidR="002E1133" w:rsidRPr="00610C1C">
        <w:t>.</w:t>
      </w:r>
      <w:r w:rsidR="002E1133" w:rsidRPr="00610C1C">
        <w:tab/>
        <w:t>kræver, at gerningsmændene bag alle kriminelle handlinger mod det sudanske folk straks drages til ansvar; opfordrer EU og medlemsstaterne til at støtte udvidelsen af Den Internationale Straffedomstols jurisdiktion til hele Sudan, oprettelsen af en uafhængig retslig mekanisme som anbefalet af den uafhængige internationale undersøgelsesmission samt anlæggelse af nationale retssager under universel jurisdiktion;</w:t>
      </w:r>
    </w:p>
    <w:p w14:paraId="5BAAA015" w14:textId="05540A95" w:rsidR="002E1133" w:rsidRPr="00610C1C" w:rsidRDefault="00327C3D" w:rsidP="002E1133">
      <w:pPr>
        <w:pStyle w:val="NormalHanging12a"/>
      </w:pPr>
      <w:r>
        <w:t>25</w:t>
      </w:r>
      <w:r w:rsidR="002E1133" w:rsidRPr="00610C1C">
        <w:t>.</w:t>
      </w:r>
      <w:r w:rsidR="002E1133" w:rsidRPr="00610C1C">
        <w:tab/>
        <w:t>understreger, at ansvarlighed er en juridisk og moralsk nødvendighed; understreger, at retfærdighed ikke kan vente, og at det internationale samfund skal handle beslutsomt for at retsforfølge de ansvarlige i henhold til folkeretten;</w:t>
      </w:r>
    </w:p>
    <w:p w14:paraId="3BCC2B9B" w14:textId="0426996D" w:rsidR="002E1133" w:rsidRPr="00610C1C" w:rsidRDefault="00327C3D" w:rsidP="002E1133">
      <w:pPr>
        <w:pStyle w:val="NormalHanging12a"/>
      </w:pPr>
      <w:r>
        <w:t>26</w:t>
      </w:r>
      <w:r w:rsidR="002E1133" w:rsidRPr="00610C1C">
        <w:t>.</w:t>
      </w:r>
      <w:r w:rsidR="002E1133" w:rsidRPr="00610C1C">
        <w:tab/>
        <w:t>opfordrer til en hurtig, effektiv, grundig, uafhængig, upartisk og gennemsigtig efterforskning for at drage gerningsmændene til ansvar, herunder dem i kommandovejen;</w:t>
      </w:r>
    </w:p>
    <w:p w14:paraId="22B1BB51" w14:textId="57D88CEA" w:rsidR="002E1133" w:rsidRDefault="00327C3D" w:rsidP="002E1133">
      <w:pPr>
        <w:pStyle w:val="NormalHanging12a"/>
      </w:pPr>
      <w:r>
        <w:t>27</w:t>
      </w:r>
      <w:r w:rsidR="002E1133" w:rsidRPr="00610C1C">
        <w:t>.</w:t>
      </w:r>
      <w:r w:rsidR="002E1133" w:rsidRPr="00610C1C">
        <w:tab/>
        <w:t>opfordrer EU og dets medlemsstater til at forstærke den diplomatiske indsats over for begge krigsførende parter og anvende alle de instrumenter, de har til rådighed, til at sikre adgang for alle ansvarlighedsmekanismer, til hurtigst muligt at reagere på alvorlige krænkelser af menneskerettighederne og den humanitære folkeret i Sudan og til at drage gerningsmændene til ansvar for disse krænkelser;</w:t>
      </w:r>
    </w:p>
    <w:p w14:paraId="182B9C3C" w14:textId="65CCF7D4" w:rsidR="009C6C29" w:rsidRPr="00610C1C" w:rsidRDefault="00327C3D" w:rsidP="002E1133">
      <w:pPr>
        <w:pStyle w:val="NormalHanging12a"/>
      </w:pPr>
      <w:r>
        <w:t>28</w:t>
      </w:r>
      <w:r w:rsidR="009C6C29">
        <w:t>.</w:t>
      </w:r>
      <w:r w:rsidR="009C6C29">
        <w:tab/>
      </w:r>
      <w:r w:rsidR="009C6C29" w:rsidRPr="009C6C29">
        <w:t>understreger, at EU's nuværende restriktive foranstaltninger er vigtige, men klart utilstrækkelige til at standse de igangværende grusomheder; opfordrer derfor til et dybere og vedvarende diplomatisk engagement, navnlig gennem EU's særlige repræsentant for Afrikas Horn, Annette Weber, sammen med konkrete ansvarlighedsforanstaltninger over for både gerningsmænd og deres medskyldige rundt om i verden; opfordrer desuden til, at der udnævnes en særlig EU-udsending for Sudan med et solidt mandat til at koordinere EU's indsats, samarbejde med regionale partnere, lette diplomatisk engagement og sikre konsekvent støtte til civilsamfund, menneskerettighedsforkæmpere, journalister og demokratiske aktører</w:t>
      </w:r>
      <w:r w:rsidR="000063AC">
        <w:t xml:space="preserve"> i Sudan</w:t>
      </w:r>
      <w:r w:rsidR="009C6C29" w:rsidRPr="009C6C29">
        <w:t>;</w:t>
      </w:r>
    </w:p>
    <w:p w14:paraId="176BDC62" w14:textId="034C6B8B" w:rsidR="002E1133" w:rsidRDefault="00327C3D" w:rsidP="002E1133">
      <w:pPr>
        <w:pStyle w:val="NormalHanging12a"/>
      </w:pPr>
      <w:r>
        <w:t>29</w:t>
      </w:r>
      <w:r w:rsidR="002E1133" w:rsidRPr="00610C1C">
        <w:t>.</w:t>
      </w:r>
      <w:r w:rsidR="002E1133" w:rsidRPr="00610C1C">
        <w:tab/>
        <w:t>opfordrer indtrængende EU til at anvende målrettede sanktioner i henhold til den globale EU-ordning for menneskerettighedssanktioner over for centrale øverstbefalende for RSF og SAF, herunder Generals Abdel Fattah al-Burhan og Muhammad Hamdan "Hemedti" Dagalo og deres respektive netværk for deres ansvar for alvorlige krænkelser af den humanitære folkeret samt over for dem, de finansieres af, og personer udefra, der hjælper til;</w:t>
      </w:r>
    </w:p>
    <w:p w14:paraId="5B0F96EF" w14:textId="554528B4" w:rsidR="00671C72" w:rsidRPr="00610C1C" w:rsidRDefault="00327C3D" w:rsidP="002E1133">
      <w:pPr>
        <w:pStyle w:val="NormalHanging12a"/>
        <w:rPr>
          <w:rFonts w:eastAsia="Aptos"/>
          <w:kern w:val="2"/>
          <w:szCs w:val="24"/>
          <w14:ligatures w14:val="standardContextual"/>
        </w:rPr>
      </w:pPr>
      <w:r>
        <w:t>30</w:t>
      </w:r>
      <w:r w:rsidR="00671C72">
        <w:t>.</w:t>
      </w:r>
      <w:r w:rsidR="00671C72">
        <w:tab/>
      </w:r>
      <w:r w:rsidR="00671C72" w:rsidRPr="00671C72">
        <w:t>opfordrer Rådet til hurtigst muligt at iværksætte proceduren for at vurdere, om RSF opfylder kriterierne for optagelse på EU's "terroristliste", og sikre en grundig gennemgang af de væsentlige beviser for dens handlinger og, hvis det er berettiget, gå videre med EU-medlemsstaternes enstemmige udpegelse;</w:t>
      </w:r>
    </w:p>
    <w:p w14:paraId="1FF259CB" w14:textId="25C659B6" w:rsidR="002E1133" w:rsidRPr="00610C1C" w:rsidRDefault="00327C3D" w:rsidP="002E1133">
      <w:pPr>
        <w:pStyle w:val="NormalHanging12a"/>
      </w:pPr>
      <w:r>
        <w:t>31</w:t>
      </w:r>
      <w:r w:rsidR="002E1133" w:rsidRPr="00610C1C">
        <w:t>.</w:t>
      </w:r>
      <w:r w:rsidR="002E1133" w:rsidRPr="00610C1C">
        <w:tab/>
        <w:t>opfordrer næstformanden i Kommissionen/Unionens højtstående repræsentant for udenrigsanliggender og sikkerhedspolitik, Kommissionen, Rådet og medlemsstaterne til under hensyntagen til deres forpligtelser i henhold til FN's konvention om forebyggelse af og straf for folkedrab at træffe stærke foranstaltninger og arbejde tæt sammen med internationale partnere for at forhindre folkedrab i Sudan;</w:t>
      </w:r>
    </w:p>
    <w:p w14:paraId="2F6B9172" w14:textId="456C6706" w:rsidR="002E1133" w:rsidRPr="00610C1C" w:rsidRDefault="00327C3D" w:rsidP="002E1133">
      <w:pPr>
        <w:pStyle w:val="NormalHanging12a"/>
      </w:pPr>
      <w:r>
        <w:t>32</w:t>
      </w:r>
      <w:r w:rsidR="002E1133" w:rsidRPr="00610C1C">
        <w:t>.</w:t>
      </w:r>
      <w:r w:rsidR="002E1133" w:rsidRPr="00610C1C">
        <w:tab/>
        <w:t>opfordrer indtrængende alle parter i konflikten til at deltage konstruktivt i inkluderende våbenhvileforhandlinger og fremhæver det presserende behov for en troværdig og inkluderende mæglingsproces; opfordrer indtrængende alle eksterne aktører, uanset om de direkte eller indirekte leverer våben, finansiel støtte eller enhver anden form for støtte til de krigsførende parter, til øjeblikkeligt at indstille denne støtte og overholde FN's våbenembargo; bemærker, at den eksisterende våbenembargo er begrænset til Darfur, og opfordrer til, at den udvides til at omfatte hele Sudan;</w:t>
      </w:r>
    </w:p>
    <w:p w14:paraId="4CB78DF1" w14:textId="6AB91BBB" w:rsidR="002E1133" w:rsidRPr="00610C1C" w:rsidRDefault="00327C3D" w:rsidP="002E1133">
      <w:pPr>
        <w:pStyle w:val="NormalHanging12a"/>
      </w:pPr>
      <w:r>
        <w:t>33</w:t>
      </w:r>
      <w:r w:rsidR="002E1133" w:rsidRPr="00610C1C">
        <w:t>.</w:t>
      </w:r>
      <w:r w:rsidR="002E1133" w:rsidRPr="00610C1C">
        <w:tab/>
        <w:t>glæder sig over den fælles erklæring fra gruppen af de fire lande Egypten, Saudi-Arabien, De Forenede Arabiske Emirater og USA af 12. september 2025 om at bringe konflikten i Sudan til ophør og minder om, at denne gruppe fortsat er det eneste anerkendte mæglingsformat for denne konflikt; udtrykker støtte til Den Afrikanske Unions og Den Mellemstatslige Organisation for Udviklings bestræbelser på at koordinere det internationale og bilaterale pres på alle parter for at sikre en våbenhvile, forbedre den humanitære adgang og relancere en inklusiv politisk dialog i samarbejde med partnere såsom EU, Den Arabiske Liga og De Forenede Nationer;</w:t>
      </w:r>
    </w:p>
    <w:p w14:paraId="44A3BF44" w14:textId="5A69CADF" w:rsidR="00E365E1" w:rsidRPr="00610C1C" w:rsidRDefault="00327C3D" w:rsidP="005E5032">
      <w:pPr>
        <w:pStyle w:val="NormalHanging12a"/>
      </w:pPr>
      <w:r>
        <w:t>34</w:t>
      </w:r>
      <w:r w:rsidR="002E1133" w:rsidRPr="00610C1C">
        <w:t>.</w:t>
      </w:r>
      <w:r w:rsidR="002E1133" w:rsidRPr="00610C1C">
        <w:tab/>
        <w:t>pålægger sin formand at sende denne beslutning til Rådet, Kommissionen, næstformanden for Kommissionen/Unionens højtstående repræsentant for udenrigsanliggender og sikkerhedspolitik, medlemsstaternes regeringer og parlamenter, Den Afrikanske Union, FN's generalsekretær, FN's Menneskerettighedsråd, Den Internationale Straffedomstol og myndighederne i Sudan.</w:t>
      </w:r>
    </w:p>
    <w:sectPr w:rsidR="00E365E1" w:rsidRPr="00610C1C" w:rsidSect="00610C1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DEF748" w14:textId="77777777" w:rsidR="004E0D9A" w:rsidRPr="00610C1C" w:rsidRDefault="004E0D9A">
      <w:r w:rsidRPr="00610C1C">
        <w:separator/>
      </w:r>
    </w:p>
  </w:endnote>
  <w:endnote w:type="continuationSeparator" w:id="0">
    <w:p w14:paraId="43269A35" w14:textId="77777777" w:rsidR="004E0D9A" w:rsidRPr="00610C1C" w:rsidRDefault="004E0D9A">
      <w:r w:rsidRPr="00610C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00AED9" w14:textId="77777777" w:rsidR="004E0D9A" w:rsidRPr="00610C1C" w:rsidRDefault="004E0D9A">
      <w:r w:rsidRPr="00610C1C">
        <w:separator/>
      </w:r>
    </w:p>
  </w:footnote>
  <w:footnote w:type="continuationSeparator" w:id="0">
    <w:p w14:paraId="59217855" w14:textId="77777777" w:rsidR="004E0D9A" w:rsidRPr="00610C1C" w:rsidRDefault="004E0D9A">
      <w:r w:rsidRPr="00610C1C">
        <w:continuationSeparator/>
      </w:r>
    </w:p>
  </w:footnote>
  <w:footnote w:id="1">
    <w:p w14:paraId="27793A25" w14:textId="1DB4A953" w:rsidR="002E1133" w:rsidRPr="00B93EE6" w:rsidRDefault="002E1133" w:rsidP="00610C1C">
      <w:pPr>
        <w:pStyle w:val="FootnoteText"/>
        <w:ind w:left="567" w:hanging="567"/>
        <w:rPr>
          <w:sz w:val="24"/>
          <w:lang w:val="fi-FI"/>
        </w:rPr>
      </w:pPr>
      <w:r w:rsidRPr="00610C1C">
        <w:rPr>
          <w:rStyle w:val="FootnoteReference"/>
          <w:sz w:val="24"/>
          <w:lang w:val="da-DK"/>
        </w:rPr>
        <w:footnoteRef/>
      </w:r>
      <w:r w:rsidR="00610C1C" w:rsidRPr="00B93EE6">
        <w:rPr>
          <w:sz w:val="24"/>
          <w:lang w:val="fi-FI"/>
        </w:rPr>
        <w:t xml:space="preserve"> </w:t>
      </w:r>
      <w:r w:rsidR="00610C1C" w:rsidRPr="00B93EE6">
        <w:rPr>
          <w:sz w:val="24"/>
          <w:lang w:val="fi-FI"/>
        </w:rPr>
        <w:tab/>
      </w:r>
      <w:r w:rsidRPr="00B93EE6">
        <w:rPr>
          <w:sz w:val="24"/>
          <w:lang w:val="fi-FI"/>
        </w:rPr>
        <w:t xml:space="preserve">EUT C, C/2024/486, 23.1.2024, ELI: </w:t>
      </w:r>
      <w:hyperlink r:id="rId1" w:history="1">
        <w:r w:rsidRPr="00B93EE6">
          <w:rPr>
            <w:rStyle w:val="Hyperlink"/>
            <w:sz w:val="24"/>
            <w:lang w:val="fi-FI"/>
          </w:rPr>
          <w:t>http://data.europa.eu/eli/C/2024/486/oj</w:t>
        </w:r>
      </w:hyperlink>
      <w:r w:rsidRPr="00B93EE6">
        <w:rPr>
          <w:sz w:val="24"/>
          <w:lang w:val="fi-FI"/>
        </w:rPr>
        <w:t>.</w:t>
      </w:r>
    </w:p>
  </w:footnote>
  <w:footnote w:id="2">
    <w:p w14:paraId="70B85749" w14:textId="7C6933E0" w:rsidR="002E1133" w:rsidRPr="00B93EE6" w:rsidRDefault="002E1133" w:rsidP="00610C1C">
      <w:pPr>
        <w:pStyle w:val="FootnoteText"/>
        <w:ind w:left="567" w:hanging="567"/>
        <w:rPr>
          <w:sz w:val="24"/>
          <w:lang w:val="fi-FI"/>
        </w:rPr>
      </w:pPr>
      <w:r w:rsidRPr="00610C1C">
        <w:rPr>
          <w:rStyle w:val="FootnoteReference"/>
          <w:sz w:val="24"/>
          <w:lang w:val="da-DK"/>
        </w:rPr>
        <w:footnoteRef/>
      </w:r>
      <w:r w:rsidR="00610C1C" w:rsidRPr="00B93EE6">
        <w:rPr>
          <w:sz w:val="24"/>
          <w:lang w:val="fi-FI"/>
        </w:rPr>
        <w:t xml:space="preserve"> </w:t>
      </w:r>
      <w:r w:rsidR="00610C1C" w:rsidRPr="00B93EE6">
        <w:rPr>
          <w:sz w:val="24"/>
          <w:lang w:val="fi-FI"/>
        </w:rPr>
        <w:tab/>
      </w:r>
      <w:r w:rsidRPr="00B93EE6">
        <w:rPr>
          <w:sz w:val="24"/>
          <w:lang w:val="fi-FI"/>
        </w:rPr>
        <w:t xml:space="preserve">EUT C, C/2025/3154, 20.6.2025, ELI: </w:t>
      </w:r>
      <w:hyperlink r:id="rId2" w:history="1">
        <w:r w:rsidRPr="00B93EE6">
          <w:rPr>
            <w:rStyle w:val="Hyperlink"/>
            <w:sz w:val="24"/>
            <w:lang w:val="fi-FI"/>
          </w:rPr>
          <w:t>http://data.europa.eu/eli/C/2025/3154/oj</w:t>
        </w:r>
      </w:hyperlink>
      <w:r w:rsidRPr="00B93EE6">
        <w:rPr>
          <w:sz w:val="24"/>
          <w:lang w:val="fi-FI"/>
        </w:rPr>
        <w:t>.</w:t>
      </w:r>
    </w:p>
  </w:footnote>
  <w:footnote w:id="3">
    <w:p w14:paraId="6AF96E0C" w14:textId="4BED6AD7" w:rsidR="002E1133" w:rsidRPr="00B93EE6" w:rsidRDefault="002E1133" w:rsidP="00610C1C">
      <w:pPr>
        <w:pStyle w:val="FootnoteText"/>
        <w:ind w:left="567" w:hanging="567"/>
        <w:rPr>
          <w:sz w:val="24"/>
          <w:lang w:val="fi-FI"/>
        </w:rPr>
      </w:pPr>
      <w:r w:rsidRPr="00610C1C">
        <w:rPr>
          <w:rStyle w:val="FootnoteReference"/>
          <w:sz w:val="24"/>
          <w:lang w:val="da-DK"/>
        </w:rPr>
        <w:footnoteRef/>
      </w:r>
      <w:r w:rsidR="00610C1C" w:rsidRPr="00B93EE6">
        <w:rPr>
          <w:sz w:val="24"/>
          <w:lang w:val="fi-FI"/>
        </w:rPr>
        <w:t xml:space="preserve"> </w:t>
      </w:r>
      <w:r w:rsidR="00610C1C" w:rsidRPr="00B93EE6">
        <w:rPr>
          <w:sz w:val="24"/>
          <w:lang w:val="fi-FI"/>
        </w:rPr>
        <w:tab/>
      </w:r>
      <w:r w:rsidRPr="00B93EE6">
        <w:rPr>
          <w:sz w:val="24"/>
          <w:lang w:val="fi-FI"/>
        </w:rPr>
        <w:t xml:space="preserve">EUT L, 2024/383, 22.1.2024, ELI: </w:t>
      </w:r>
      <w:hyperlink r:id="rId3" w:history="1">
        <w:r w:rsidRPr="00B93EE6">
          <w:rPr>
            <w:rStyle w:val="Hyperlink"/>
            <w:sz w:val="24"/>
            <w:lang w:val="fi-FI"/>
          </w:rPr>
          <w:t>http://data.europa.eu/eli/dec/2024/383/oj</w:t>
        </w:r>
      </w:hyperlink>
      <w:r w:rsidRPr="00B93EE6">
        <w:rPr>
          <w:sz w:val="24"/>
          <w:lang w:val="fi-FI"/>
        </w:rPr>
        <w:t>.</w:t>
      </w:r>
    </w:p>
  </w:footnote>
  <w:footnote w:id="4">
    <w:p w14:paraId="7DFFBD2A" w14:textId="23B55420" w:rsidR="002E1133" w:rsidRPr="00B93EE6" w:rsidRDefault="002E1133" w:rsidP="00610C1C">
      <w:pPr>
        <w:pStyle w:val="FootnoteText"/>
        <w:ind w:left="567" w:hanging="567"/>
        <w:rPr>
          <w:sz w:val="24"/>
          <w:lang w:val="fi-FI"/>
        </w:rPr>
      </w:pPr>
      <w:r w:rsidRPr="00610C1C">
        <w:rPr>
          <w:rStyle w:val="FootnoteReference"/>
          <w:sz w:val="24"/>
          <w:lang w:val="da-DK"/>
        </w:rPr>
        <w:footnoteRef/>
      </w:r>
      <w:r w:rsidR="00610C1C" w:rsidRPr="00B93EE6">
        <w:rPr>
          <w:sz w:val="24"/>
          <w:lang w:val="fi-FI"/>
        </w:rPr>
        <w:t xml:space="preserve"> </w:t>
      </w:r>
      <w:r w:rsidR="00610C1C" w:rsidRPr="00B93EE6">
        <w:rPr>
          <w:sz w:val="24"/>
          <w:lang w:val="fi-FI"/>
        </w:rPr>
        <w:tab/>
      </w:r>
      <w:r w:rsidRPr="00B93EE6">
        <w:rPr>
          <w:sz w:val="24"/>
          <w:lang w:val="fi-FI"/>
        </w:rPr>
        <w:t xml:space="preserve">EUT L, 2024/1784, 24.6.2024, ELI: </w:t>
      </w:r>
      <w:hyperlink r:id="rId4" w:history="1">
        <w:r w:rsidRPr="00B93EE6">
          <w:rPr>
            <w:rStyle w:val="Hyperlink"/>
            <w:sz w:val="24"/>
            <w:lang w:val="fi-FI"/>
          </w:rPr>
          <w:t>http://data.europa.eu/eli/dec/2024/1784/oj</w:t>
        </w:r>
      </w:hyperlink>
      <w:r w:rsidRPr="00B93EE6">
        <w:rPr>
          <w:sz w:val="24"/>
          <w:lang w:val="fi-FI"/>
        </w:rPr>
        <w:t>.</w:t>
      </w:r>
    </w:p>
  </w:footnote>
  <w:footnote w:id="5">
    <w:p w14:paraId="5708E95F" w14:textId="20C22A6D" w:rsidR="002E1133" w:rsidRPr="00B93EE6" w:rsidRDefault="002E1133" w:rsidP="00610C1C">
      <w:pPr>
        <w:pStyle w:val="FootnoteText"/>
        <w:ind w:left="567" w:hanging="567"/>
        <w:rPr>
          <w:sz w:val="24"/>
          <w:lang w:val="fi-FI"/>
        </w:rPr>
      </w:pPr>
      <w:r w:rsidRPr="00610C1C">
        <w:rPr>
          <w:rStyle w:val="FootnoteReference"/>
          <w:sz w:val="24"/>
          <w:lang w:val="da-DK"/>
        </w:rPr>
        <w:footnoteRef/>
      </w:r>
      <w:r w:rsidR="00610C1C" w:rsidRPr="00B93EE6">
        <w:rPr>
          <w:sz w:val="24"/>
          <w:lang w:val="fi-FI"/>
        </w:rPr>
        <w:t xml:space="preserve"> </w:t>
      </w:r>
      <w:r w:rsidR="00610C1C" w:rsidRPr="00B93EE6">
        <w:rPr>
          <w:sz w:val="24"/>
          <w:lang w:val="fi-FI"/>
        </w:rPr>
        <w:tab/>
      </w:r>
      <w:r w:rsidRPr="00B93EE6">
        <w:rPr>
          <w:sz w:val="24"/>
          <w:lang w:val="fi-FI"/>
        </w:rPr>
        <w:t xml:space="preserve">EUT L, 2024/2655, 9.10.2024, ELI: </w:t>
      </w:r>
      <w:hyperlink r:id="rId5" w:history="1">
        <w:r w:rsidRPr="00B93EE6">
          <w:rPr>
            <w:rStyle w:val="Hyperlink"/>
            <w:sz w:val="24"/>
            <w:lang w:val="fi-FI"/>
          </w:rPr>
          <w:t>http://data.europa.eu/eli/dec/2024/2655/oj</w:t>
        </w:r>
      </w:hyperlink>
      <w:r w:rsidRPr="00B93EE6">
        <w:rPr>
          <w:sz w:val="24"/>
          <w:lang w:val="fi-FI"/>
        </w:rPr>
        <w:t>.</w:t>
      </w:r>
    </w:p>
  </w:footnote>
  <w:footnote w:id="6">
    <w:p w14:paraId="0BEDB7C2" w14:textId="2D60D2D0" w:rsidR="002E1133" w:rsidRPr="00B93EE6" w:rsidRDefault="002E1133" w:rsidP="00610C1C">
      <w:pPr>
        <w:pStyle w:val="FootnoteText"/>
        <w:ind w:left="567" w:hanging="567"/>
        <w:rPr>
          <w:sz w:val="24"/>
          <w:lang w:val="fi-FI"/>
        </w:rPr>
      </w:pPr>
      <w:r w:rsidRPr="00610C1C">
        <w:rPr>
          <w:rStyle w:val="FootnoteReference"/>
          <w:sz w:val="24"/>
          <w:lang w:val="da-DK"/>
        </w:rPr>
        <w:footnoteRef/>
      </w:r>
      <w:r w:rsidR="00610C1C" w:rsidRPr="00B93EE6">
        <w:rPr>
          <w:sz w:val="24"/>
          <w:lang w:val="fi-FI"/>
        </w:rPr>
        <w:t xml:space="preserve"> </w:t>
      </w:r>
      <w:r w:rsidR="00610C1C" w:rsidRPr="00B93EE6">
        <w:rPr>
          <w:sz w:val="24"/>
          <w:lang w:val="fi-FI"/>
        </w:rPr>
        <w:tab/>
      </w:r>
      <w:r w:rsidRPr="00B93EE6">
        <w:rPr>
          <w:sz w:val="24"/>
          <w:lang w:val="fi-FI"/>
        </w:rPr>
        <w:t xml:space="preserve">EUT L, 2024/3154, 16.12.2024, ELI: </w:t>
      </w:r>
      <w:hyperlink r:id="rId6" w:history="1">
        <w:r w:rsidRPr="00B93EE6">
          <w:rPr>
            <w:rStyle w:val="Hyperlink"/>
            <w:sz w:val="24"/>
            <w:lang w:val="fi-FI"/>
          </w:rPr>
          <w:t>http://data.europa.eu/eli/dec/2024/3154/oj</w:t>
        </w:r>
      </w:hyperlink>
      <w:r w:rsidRPr="00B93EE6">
        <w:rPr>
          <w:sz w:val="24"/>
          <w:lang w:val="fi-FI"/>
        </w:rPr>
        <w:t>.</w:t>
      </w:r>
    </w:p>
  </w:footnote>
  <w:footnote w:id="7">
    <w:p w14:paraId="39AF4393" w14:textId="4D5FAEA8" w:rsidR="002E1133" w:rsidRPr="00B93EE6" w:rsidRDefault="002E1133" w:rsidP="00610C1C">
      <w:pPr>
        <w:pStyle w:val="FootnoteText"/>
        <w:ind w:left="567" w:hanging="567"/>
        <w:rPr>
          <w:sz w:val="24"/>
          <w:lang w:val="fi-FI"/>
        </w:rPr>
      </w:pPr>
      <w:r w:rsidRPr="00610C1C">
        <w:rPr>
          <w:rStyle w:val="FootnoteReference"/>
          <w:sz w:val="24"/>
          <w:lang w:val="da-DK"/>
        </w:rPr>
        <w:footnoteRef/>
      </w:r>
      <w:r w:rsidR="00610C1C" w:rsidRPr="00B93EE6">
        <w:rPr>
          <w:sz w:val="24"/>
          <w:lang w:val="fi-FI"/>
        </w:rPr>
        <w:t xml:space="preserve"> </w:t>
      </w:r>
      <w:r w:rsidR="00610C1C" w:rsidRPr="00B93EE6">
        <w:rPr>
          <w:sz w:val="24"/>
          <w:lang w:val="fi-FI"/>
        </w:rPr>
        <w:tab/>
      </w:r>
      <w:r w:rsidRPr="00B93EE6">
        <w:rPr>
          <w:sz w:val="24"/>
          <w:lang w:val="fi-FI"/>
        </w:rPr>
        <w:t xml:space="preserve">EUT L, 2025/377, 25.2.2025, ELI: </w:t>
      </w:r>
      <w:hyperlink r:id="rId7" w:history="1">
        <w:r w:rsidRPr="00B93EE6">
          <w:rPr>
            <w:rStyle w:val="Hyperlink"/>
            <w:sz w:val="24"/>
            <w:lang w:val="fi-FI"/>
          </w:rPr>
          <w:t>http://data.europa.eu/eli/dec/2025/377/oj</w:t>
        </w:r>
      </w:hyperlink>
      <w:r w:rsidRPr="00B93EE6">
        <w:rPr>
          <w:sz w:val="24"/>
          <w:lang w:val="fi-FI"/>
        </w:rPr>
        <w:t>.</w:t>
      </w:r>
    </w:p>
  </w:footnote>
  <w:footnote w:id="8">
    <w:p w14:paraId="13C03DCA" w14:textId="55356921" w:rsidR="002E1133" w:rsidRPr="00B93EE6" w:rsidRDefault="002E1133" w:rsidP="00610C1C">
      <w:pPr>
        <w:pStyle w:val="FootnoteText"/>
        <w:ind w:left="567" w:hanging="567"/>
        <w:rPr>
          <w:sz w:val="24"/>
          <w:lang w:val="fi-FI"/>
        </w:rPr>
      </w:pPr>
      <w:r w:rsidRPr="00610C1C">
        <w:rPr>
          <w:rStyle w:val="FootnoteReference"/>
          <w:sz w:val="24"/>
          <w:lang w:val="da-DK"/>
        </w:rPr>
        <w:footnoteRef/>
      </w:r>
      <w:r w:rsidR="00610C1C" w:rsidRPr="00B93EE6">
        <w:rPr>
          <w:sz w:val="24"/>
          <w:lang w:val="fi-FI"/>
        </w:rPr>
        <w:t xml:space="preserve"> </w:t>
      </w:r>
      <w:r w:rsidR="00610C1C" w:rsidRPr="00B93EE6">
        <w:rPr>
          <w:sz w:val="24"/>
          <w:lang w:val="fi-FI"/>
        </w:rPr>
        <w:tab/>
      </w:r>
      <w:r w:rsidRPr="00B93EE6">
        <w:rPr>
          <w:sz w:val="24"/>
          <w:lang w:val="fi-FI"/>
        </w:rPr>
        <w:t xml:space="preserve">EUT L, 2025/1481, 18.7.2025, ELI: </w:t>
      </w:r>
      <w:hyperlink r:id="rId8" w:history="1">
        <w:r w:rsidRPr="00B93EE6">
          <w:rPr>
            <w:rStyle w:val="Hyperlink"/>
            <w:sz w:val="24"/>
            <w:lang w:val="fi-FI"/>
          </w:rPr>
          <w:t>http://data.europa.eu/eli/dec/2025/1481/oj</w:t>
        </w:r>
      </w:hyperlink>
      <w:r w:rsidRPr="00B93EE6">
        <w:rPr>
          <w:sz w:val="24"/>
          <w:lang w:val="fi-FI"/>
        </w:rPr>
        <w:t>.</w:t>
      </w:r>
    </w:p>
  </w:footnote>
  <w:footnote w:id="9">
    <w:p w14:paraId="510F2AA0" w14:textId="3FF2156E" w:rsidR="002E1133" w:rsidRPr="00610C1C" w:rsidRDefault="002E1133" w:rsidP="00610C1C">
      <w:pPr>
        <w:pStyle w:val="FootnoteText"/>
        <w:ind w:left="567" w:hanging="567"/>
        <w:rPr>
          <w:sz w:val="24"/>
          <w:lang w:val="da-DK"/>
        </w:rPr>
      </w:pPr>
      <w:r w:rsidRPr="00610C1C">
        <w:rPr>
          <w:rStyle w:val="FootnoteReference"/>
          <w:sz w:val="24"/>
          <w:lang w:val="da-DK"/>
        </w:rPr>
        <w:footnoteRef/>
      </w:r>
      <w:r w:rsidR="00610C1C" w:rsidRPr="00610C1C">
        <w:rPr>
          <w:sz w:val="24"/>
          <w:lang w:val="da-DK"/>
        </w:rPr>
        <w:t xml:space="preserve"> </w:t>
      </w:r>
      <w:r w:rsidR="00610C1C" w:rsidRPr="00610C1C">
        <w:rPr>
          <w:sz w:val="24"/>
          <w:lang w:val="da-DK"/>
        </w:rPr>
        <w:tab/>
      </w:r>
      <w:r w:rsidRPr="00610C1C">
        <w:rPr>
          <w:sz w:val="24"/>
          <w:lang w:val="da-DK"/>
        </w:rPr>
        <w:t>Vedtagne tekster, P10_TA(2025)0253.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61419632">
    <w:abstractNumId w:val="9"/>
  </w:num>
  <w:num w:numId="2" w16cid:durableId="909191528">
    <w:abstractNumId w:val="9"/>
  </w:num>
  <w:num w:numId="3" w16cid:durableId="205143440">
    <w:abstractNumId w:val="7"/>
  </w:num>
  <w:num w:numId="4" w16cid:durableId="1555656425">
    <w:abstractNumId w:val="7"/>
  </w:num>
  <w:num w:numId="5" w16cid:durableId="352193768">
    <w:abstractNumId w:val="6"/>
  </w:num>
  <w:num w:numId="6" w16cid:durableId="2070302075">
    <w:abstractNumId w:val="6"/>
  </w:num>
  <w:num w:numId="7" w16cid:durableId="470901637">
    <w:abstractNumId w:val="5"/>
  </w:num>
  <w:num w:numId="8" w16cid:durableId="741684977">
    <w:abstractNumId w:val="5"/>
  </w:num>
  <w:num w:numId="9" w16cid:durableId="1673606501">
    <w:abstractNumId w:val="4"/>
  </w:num>
  <w:num w:numId="10" w16cid:durableId="470829612">
    <w:abstractNumId w:val="4"/>
  </w:num>
  <w:num w:numId="11" w16cid:durableId="1897734894">
    <w:abstractNumId w:val="8"/>
  </w:num>
  <w:num w:numId="12" w16cid:durableId="1557473396">
    <w:abstractNumId w:val="8"/>
  </w:num>
  <w:num w:numId="13" w16cid:durableId="1586718143">
    <w:abstractNumId w:val="3"/>
  </w:num>
  <w:num w:numId="14" w16cid:durableId="919407852">
    <w:abstractNumId w:val="3"/>
  </w:num>
  <w:num w:numId="15" w16cid:durableId="1692225017">
    <w:abstractNumId w:val="2"/>
  </w:num>
  <w:num w:numId="16" w16cid:durableId="1000623548">
    <w:abstractNumId w:val="2"/>
  </w:num>
  <w:num w:numId="17" w16cid:durableId="1554073312">
    <w:abstractNumId w:val="1"/>
  </w:num>
  <w:num w:numId="18" w16cid:durableId="2010474985">
    <w:abstractNumId w:val="1"/>
  </w:num>
  <w:num w:numId="19" w16cid:durableId="635068464">
    <w:abstractNumId w:val="0"/>
  </w:num>
  <w:num w:numId="20" w16cid:durableId="524756935">
    <w:abstractNumId w:val="0"/>
  </w:num>
  <w:num w:numId="21" w16cid:durableId="1490751583">
    <w:abstractNumId w:val="9"/>
  </w:num>
  <w:num w:numId="22" w16cid:durableId="1862818531">
    <w:abstractNumId w:val="7"/>
  </w:num>
  <w:num w:numId="23" w16cid:durableId="939490254">
    <w:abstractNumId w:val="6"/>
  </w:num>
  <w:num w:numId="24" w16cid:durableId="1106970070">
    <w:abstractNumId w:val="5"/>
  </w:num>
  <w:num w:numId="25" w16cid:durableId="1419789698">
    <w:abstractNumId w:val="4"/>
  </w:num>
  <w:num w:numId="26" w16cid:durableId="679739917">
    <w:abstractNumId w:val="8"/>
  </w:num>
  <w:num w:numId="27" w16cid:durableId="1336150243">
    <w:abstractNumId w:val="3"/>
  </w:num>
  <w:num w:numId="28" w16cid:durableId="331958023">
    <w:abstractNumId w:val="2"/>
  </w:num>
  <w:num w:numId="29" w16cid:durableId="556741770">
    <w:abstractNumId w:val="1"/>
  </w:num>
  <w:num w:numId="30" w16cid:durableId="2009400561">
    <w:abstractNumId w:val="0"/>
  </w:num>
  <w:num w:numId="31" w16cid:durableId="1373068174">
    <w:abstractNumId w:val="9"/>
  </w:num>
  <w:num w:numId="32" w16cid:durableId="257711240">
    <w:abstractNumId w:val="7"/>
  </w:num>
  <w:num w:numId="33" w16cid:durableId="929701089">
    <w:abstractNumId w:val="6"/>
  </w:num>
  <w:num w:numId="34" w16cid:durableId="1454443972">
    <w:abstractNumId w:val="5"/>
  </w:num>
  <w:num w:numId="35" w16cid:durableId="1859075999">
    <w:abstractNumId w:val="4"/>
  </w:num>
  <w:num w:numId="36" w16cid:durableId="139618521">
    <w:abstractNumId w:val="8"/>
  </w:num>
  <w:num w:numId="37" w16cid:durableId="688725065">
    <w:abstractNumId w:val="3"/>
  </w:num>
  <w:num w:numId="38" w16cid:durableId="1542326281">
    <w:abstractNumId w:val="2"/>
  </w:num>
  <w:num w:numId="39" w16cid:durableId="2048219462">
    <w:abstractNumId w:val="1"/>
  </w:num>
  <w:num w:numId="40" w16cid:durableId="1936397405">
    <w:abstractNumId w:val="0"/>
  </w:num>
  <w:num w:numId="41" w16cid:durableId="330521944">
    <w:abstractNumId w:val="10"/>
  </w:num>
  <w:num w:numId="42" w16cid:durableId="1525093145">
    <w:abstractNumId w:val="10"/>
  </w:num>
  <w:num w:numId="43" w16cid:durableId="1786656499">
    <w:abstractNumId w:val="10"/>
  </w:num>
  <w:num w:numId="44" w16cid:durableId="3166857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33/2025"/>
    <w:docVar w:name="dvlangue" w:val="DA"/>
    <w:docVar w:name="dvnumam" w:val="0"/>
    <w:docVar w:name="dvpe" w:val="779.006"/>
    <w:docVar w:name="dvtitre" w:val="Europa-Parlamentets beslutning af xx.xx 2025 om eskaleringen af krigen og den humanitære katastrofe i Sudan(2025/2984(RSP))"/>
  </w:docVars>
  <w:rsids>
    <w:rsidRoot w:val="004E0D9A"/>
    <w:rsid w:val="00002272"/>
    <w:rsid w:val="000063AC"/>
    <w:rsid w:val="00064002"/>
    <w:rsid w:val="000677B9"/>
    <w:rsid w:val="00070E08"/>
    <w:rsid w:val="000831BA"/>
    <w:rsid w:val="000A42CC"/>
    <w:rsid w:val="000E7DD9"/>
    <w:rsid w:val="0010095E"/>
    <w:rsid w:val="00125B37"/>
    <w:rsid w:val="00187494"/>
    <w:rsid w:val="001B2509"/>
    <w:rsid w:val="001F32AE"/>
    <w:rsid w:val="002767FF"/>
    <w:rsid w:val="002B18FE"/>
    <w:rsid w:val="002B5493"/>
    <w:rsid w:val="002E1133"/>
    <w:rsid w:val="00327C3D"/>
    <w:rsid w:val="00343214"/>
    <w:rsid w:val="00361C00"/>
    <w:rsid w:val="0039423A"/>
    <w:rsid w:val="00395FA1"/>
    <w:rsid w:val="003E15D4"/>
    <w:rsid w:val="00411CCE"/>
    <w:rsid w:val="0041666E"/>
    <w:rsid w:val="00421060"/>
    <w:rsid w:val="00471C19"/>
    <w:rsid w:val="004867E3"/>
    <w:rsid w:val="00494A28"/>
    <w:rsid w:val="00495610"/>
    <w:rsid w:val="004C0004"/>
    <w:rsid w:val="004C5D52"/>
    <w:rsid w:val="004E0D9A"/>
    <w:rsid w:val="0050519A"/>
    <w:rsid w:val="005072A1"/>
    <w:rsid w:val="00514517"/>
    <w:rsid w:val="00545827"/>
    <w:rsid w:val="00560270"/>
    <w:rsid w:val="005B2541"/>
    <w:rsid w:val="005C2568"/>
    <w:rsid w:val="005E5032"/>
    <w:rsid w:val="005F1B17"/>
    <w:rsid w:val="006037C0"/>
    <w:rsid w:val="00610C1C"/>
    <w:rsid w:val="006631B6"/>
    <w:rsid w:val="00671C72"/>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6C29"/>
    <w:rsid w:val="00A1687D"/>
    <w:rsid w:val="00A43E52"/>
    <w:rsid w:val="00A4678D"/>
    <w:rsid w:val="00A778C7"/>
    <w:rsid w:val="00AB441E"/>
    <w:rsid w:val="00AB6293"/>
    <w:rsid w:val="00AE0928"/>
    <w:rsid w:val="00AF3B82"/>
    <w:rsid w:val="00B12E95"/>
    <w:rsid w:val="00B22876"/>
    <w:rsid w:val="00B558F0"/>
    <w:rsid w:val="00B93EE6"/>
    <w:rsid w:val="00BD48FE"/>
    <w:rsid w:val="00BD7BD8"/>
    <w:rsid w:val="00BE6ADC"/>
    <w:rsid w:val="00C05BFE"/>
    <w:rsid w:val="00C23CD4"/>
    <w:rsid w:val="00C61C0C"/>
    <w:rsid w:val="00C941CB"/>
    <w:rsid w:val="00CC2357"/>
    <w:rsid w:val="00CF071A"/>
    <w:rsid w:val="00D058B8"/>
    <w:rsid w:val="00D34F29"/>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080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4D7D4B"/>
  <w15:chartTrackingRefBased/>
  <w15:docId w15:val="{AE2EAF6C-0AE9-4B6A-B174-E156A2BB2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E1133"/>
    <w:pPr>
      <w:spacing w:after="240"/>
      <w:ind w:left="567" w:hanging="567"/>
    </w:pPr>
  </w:style>
  <w:style w:type="paragraph" w:customStyle="1" w:styleId="EPComma">
    <w:name w:val="EPComma"/>
    <w:basedOn w:val="Normal"/>
    <w:link w:val="EPCommaChar"/>
    <w:rsid w:val="002E1133"/>
    <w:pPr>
      <w:spacing w:before="480" w:after="240"/>
    </w:pPr>
  </w:style>
  <w:style w:type="character" w:customStyle="1" w:styleId="EPCommaChar">
    <w:name w:val="EPComma Char"/>
    <w:basedOn w:val="DefaultParagraphFont"/>
    <w:link w:val="EPComma"/>
    <w:rsid w:val="002E1133"/>
    <w:rPr>
      <w:sz w:val="24"/>
      <w:lang w:val="da-DK"/>
    </w:rPr>
  </w:style>
  <w:style w:type="character" w:customStyle="1" w:styleId="cf01">
    <w:name w:val="cf01"/>
    <w:basedOn w:val="DefaultParagraphFont"/>
    <w:rsid w:val="002E1133"/>
    <w:rPr>
      <w:rFonts w:ascii="Segoe UI" w:hAnsi="Segoe UI" w:cs="Segoe UI" w:hint="default"/>
      <w:sz w:val="18"/>
      <w:szCs w:val="18"/>
    </w:rPr>
  </w:style>
  <w:style w:type="character" w:styleId="Hyperlink">
    <w:name w:val="Hyperlink"/>
    <w:basedOn w:val="DefaultParagraphFont"/>
    <w:rsid w:val="002E1133"/>
    <w:rPr>
      <w:color w:val="0563C1" w:themeColor="hyperlink"/>
      <w:u w:val="single"/>
    </w:rPr>
  </w:style>
  <w:style w:type="paragraph" w:styleId="Revision">
    <w:name w:val="Revision"/>
    <w:hidden/>
    <w:uiPriority w:val="99"/>
    <w:semiHidden/>
    <w:rsid w:val="00495610"/>
    <w:rPr>
      <w:sz w:val="24"/>
      <w:lang w:val="da-DK"/>
    </w:rPr>
  </w:style>
  <w:style w:type="character" w:styleId="CommentReference">
    <w:name w:val="annotation reference"/>
    <w:basedOn w:val="DefaultParagraphFont"/>
    <w:rsid w:val="00327C3D"/>
    <w:rPr>
      <w:sz w:val="16"/>
      <w:szCs w:val="16"/>
    </w:rPr>
  </w:style>
  <w:style w:type="paragraph" w:styleId="CommentText">
    <w:name w:val="annotation text"/>
    <w:basedOn w:val="Normal"/>
    <w:link w:val="CommentTextChar"/>
    <w:rsid w:val="00327C3D"/>
    <w:rPr>
      <w:sz w:val="20"/>
    </w:rPr>
  </w:style>
  <w:style w:type="character" w:customStyle="1" w:styleId="CommentTextChar">
    <w:name w:val="Comment Text Char"/>
    <w:basedOn w:val="DefaultParagraphFont"/>
    <w:link w:val="CommentText"/>
    <w:rsid w:val="00327C3D"/>
    <w:rPr>
      <w:lang w:val="da-DK"/>
    </w:rPr>
  </w:style>
  <w:style w:type="paragraph" w:styleId="CommentSubject">
    <w:name w:val="annotation subject"/>
    <w:basedOn w:val="CommentText"/>
    <w:next w:val="CommentText"/>
    <w:link w:val="CommentSubjectChar"/>
    <w:rsid w:val="00327C3D"/>
    <w:rPr>
      <w:b/>
      <w:bCs/>
    </w:rPr>
  </w:style>
  <w:style w:type="character" w:customStyle="1" w:styleId="CommentSubjectChar">
    <w:name w:val="Comment Subject Char"/>
    <w:basedOn w:val="CommentTextChar"/>
    <w:link w:val="CommentSubject"/>
    <w:rsid w:val="00327C3D"/>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5/1481/oj" TargetMode="External"/><Relationship Id="rId3" Type="http://schemas.openxmlformats.org/officeDocument/2006/relationships/hyperlink" Target="http://data.europa.eu/eli/dec/2024/383/oj" TargetMode="External"/><Relationship Id="rId7" Type="http://schemas.openxmlformats.org/officeDocument/2006/relationships/hyperlink" Target="http://data.europa.eu/eli/dec/2025/377/oj" TargetMode="External"/><Relationship Id="rId2" Type="http://schemas.openxmlformats.org/officeDocument/2006/relationships/hyperlink" Target="http://data.europa.eu/eli/C/2025/3154/oj" TargetMode="External"/><Relationship Id="rId1" Type="http://schemas.openxmlformats.org/officeDocument/2006/relationships/hyperlink" Target="http://data.europa.eu/eli/C/2024/486/oj" TargetMode="External"/><Relationship Id="rId6" Type="http://schemas.openxmlformats.org/officeDocument/2006/relationships/hyperlink" Target="http://data.europa.eu/eli/dec/2024/3154/oj" TargetMode="External"/><Relationship Id="rId5" Type="http://schemas.openxmlformats.org/officeDocument/2006/relationships/hyperlink" Target="http://data.europa.eu/eli/dec/2024/2655/oj" TargetMode="External"/><Relationship Id="rId4" Type="http://schemas.openxmlformats.org/officeDocument/2006/relationships/hyperlink" Target="http://data.europa.eu/eli/dec/2024/178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3062</Words>
  <Characters>19135</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2025-11-27T13:29:00Z</dcterms:created>
  <dcterms:modified xsi:type="dcterms:W3CDTF">2025-11-27T13:29:00Z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B10-0533/2025</vt:lpwstr>
  </property>
  <property fmtid="{D5CDD505-2E9C-101B-9397-08002B2CF9AE}" pid="4" name="&lt;Type&gt;">
    <vt:lpwstr>RR</vt:lpwstr>
  </property>
</Properties>
</file>