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75B8" w14:paraId="5F675E14" w14:textId="77777777" w:rsidTr="0010095E">
        <w:trPr>
          <w:trHeight w:hRule="exact" w:val="1418"/>
        </w:trPr>
        <w:tc>
          <w:tcPr>
            <w:tcW w:w="6804" w:type="dxa"/>
            <w:shd w:val="clear" w:color="auto" w:fill="auto"/>
            <w:vAlign w:val="center"/>
          </w:tcPr>
          <w:p w14:paraId="0DD7CEC8" w14:textId="77777777" w:rsidR="00751A4A" w:rsidRPr="00BB75B8" w:rsidRDefault="004E6D6B" w:rsidP="0010095E">
            <w:pPr>
              <w:pStyle w:val="EPName"/>
            </w:pPr>
            <w:r w:rsidRPr="00BB75B8">
              <w:t>Európai Parlament</w:t>
            </w:r>
          </w:p>
          <w:p w14:paraId="2B2476D2" w14:textId="77777777" w:rsidR="00751A4A" w:rsidRPr="00BB75B8" w:rsidRDefault="005F1B17" w:rsidP="005F1B17">
            <w:pPr>
              <w:pStyle w:val="EPTerm"/>
              <w:rPr>
                <w:rStyle w:val="HideTWBExt"/>
                <w:noProof w:val="0"/>
                <w:vanish w:val="0"/>
                <w:color w:val="auto"/>
              </w:rPr>
            </w:pPr>
            <w:r w:rsidRPr="00BB75B8">
              <w:t>2024</w:t>
            </w:r>
            <w:r w:rsidR="00817416" w:rsidRPr="00BB75B8">
              <w:t>-202</w:t>
            </w:r>
            <w:r w:rsidRPr="00BB75B8">
              <w:t>9</w:t>
            </w:r>
          </w:p>
        </w:tc>
        <w:tc>
          <w:tcPr>
            <w:tcW w:w="2268" w:type="dxa"/>
            <w:shd w:val="clear" w:color="auto" w:fill="auto"/>
          </w:tcPr>
          <w:p w14:paraId="30EF178E" w14:textId="77777777" w:rsidR="00751A4A" w:rsidRPr="00BB75B8" w:rsidRDefault="00187494" w:rsidP="0010095E">
            <w:pPr>
              <w:pStyle w:val="EPLogo"/>
            </w:pPr>
            <w:r w:rsidRPr="00BB75B8">
              <w:rPr>
                <w:noProof/>
                <w:lang w:eastAsia="ja-JP"/>
              </w:rPr>
              <w:drawing>
                <wp:inline distT="0" distB="0" distL="0" distR="0" wp14:anchorId="7C6A983C" wp14:editId="205F30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9107A6" w14:textId="77777777" w:rsidR="00D058B8" w:rsidRPr="00BB75B8" w:rsidRDefault="00D058B8" w:rsidP="004C5D52">
      <w:pPr>
        <w:pStyle w:val="LineTop"/>
      </w:pPr>
    </w:p>
    <w:p w14:paraId="25DF31BD" w14:textId="77777777" w:rsidR="00680577" w:rsidRPr="00BB75B8" w:rsidRDefault="004E6D6B" w:rsidP="00680577">
      <w:pPr>
        <w:pStyle w:val="EPBodyTA1"/>
      </w:pPr>
      <w:r w:rsidRPr="00BB75B8">
        <w:t>ELFOGADOTT SZÖVEGEK</w:t>
      </w:r>
    </w:p>
    <w:p w14:paraId="7E83EF9B" w14:textId="77777777" w:rsidR="00D058B8" w:rsidRPr="00BB75B8" w:rsidRDefault="00D058B8" w:rsidP="00D058B8">
      <w:pPr>
        <w:pStyle w:val="LineBottom"/>
      </w:pPr>
    </w:p>
    <w:p w14:paraId="268C063F" w14:textId="670171EA" w:rsidR="004E6D6B" w:rsidRPr="00BB75B8" w:rsidRDefault="004E6D6B" w:rsidP="004E6D6B">
      <w:pPr>
        <w:pStyle w:val="ATHeading1"/>
      </w:pPr>
      <w:bookmarkStart w:id="0" w:name="TANumber"/>
      <w:r w:rsidRPr="00BB75B8">
        <w:t>P10_</w:t>
      </w:r>
      <w:proofErr w:type="gramStart"/>
      <w:r w:rsidRPr="00BB75B8">
        <w:t>TA(</w:t>
      </w:r>
      <w:proofErr w:type="gramEnd"/>
      <w:r w:rsidRPr="00BB75B8">
        <w:t>2025)0</w:t>
      </w:r>
      <w:r w:rsidR="00BB75B8">
        <w:t>310</w:t>
      </w:r>
      <w:bookmarkEnd w:id="0"/>
    </w:p>
    <w:p w14:paraId="64D858F4" w14:textId="77777777" w:rsidR="004E6D6B" w:rsidRPr="00BB75B8" w:rsidRDefault="004E6D6B" w:rsidP="004E6D6B">
      <w:pPr>
        <w:pStyle w:val="ATHeading2"/>
      </w:pPr>
      <w:bookmarkStart w:id="1" w:name="title"/>
      <w:r w:rsidRPr="00BB75B8">
        <w:t>A háború eszkalációja és humanitárius katasztrófa Szudánban</w:t>
      </w:r>
      <w:bookmarkEnd w:id="1"/>
    </w:p>
    <w:p w14:paraId="5AD98013" w14:textId="77777777" w:rsidR="004E6D6B" w:rsidRPr="00BB75B8" w:rsidRDefault="004E6D6B" w:rsidP="004E6D6B">
      <w:pPr>
        <w:rPr>
          <w:i/>
          <w:vanish/>
        </w:rPr>
      </w:pPr>
      <w:r w:rsidRPr="00BB75B8">
        <w:rPr>
          <w:i/>
        </w:rPr>
        <w:fldChar w:fldCharType="begin"/>
      </w:r>
      <w:r w:rsidRPr="00BB75B8">
        <w:rPr>
          <w:i/>
        </w:rPr>
        <w:instrText xml:space="preserve"> TC"(</w:instrText>
      </w:r>
      <w:bookmarkStart w:id="2" w:name="DocNumber"/>
      <w:r w:rsidRPr="00BB75B8">
        <w:rPr>
          <w:i/>
        </w:rPr>
        <w:instrText>B10-0533, 0539, 0542 és 0543/2025</w:instrText>
      </w:r>
      <w:bookmarkEnd w:id="2"/>
      <w:r w:rsidRPr="00BB75B8">
        <w:rPr>
          <w:i/>
        </w:rPr>
        <w:instrText xml:space="preserve">)"\l3 \n&gt; \* MERGEFORMAT </w:instrText>
      </w:r>
      <w:r w:rsidRPr="00BB75B8">
        <w:rPr>
          <w:i/>
        </w:rPr>
        <w:fldChar w:fldCharType="end"/>
      </w:r>
    </w:p>
    <w:p w14:paraId="65134745" w14:textId="77777777" w:rsidR="004E6D6B" w:rsidRPr="00BB75B8" w:rsidRDefault="004E6D6B" w:rsidP="004E6D6B">
      <w:pPr>
        <w:rPr>
          <w:vanish/>
        </w:rPr>
      </w:pPr>
      <w:bookmarkStart w:id="3" w:name="PE"/>
      <w:r w:rsidRPr="00BB75B8">
        <w:rPr>
          <w:vanish/>
        </w:rPr>
        <w:t>PE779.006</w:t>
      </w:r>
      <w:bookmarkEnd w:id="3"/>
    </w:p>
    <w:p w14:paraId="2FA21143" w14:textId="77777777" w:rsidR="004E6D6B" w:rsidRPr="00BB75B8" w:rsidRDefault="004E6D6B" w:rsidP="004E6D6B">
      <w:pPr>
        <w:pStyle w:val="ATHeading3"/>
      </w:pPr>
      <w:bookmarkStart w:id="4" w:name="Sujet"/>
      <w:r w:rsidRPr="00BB75B8">
        <w:t>Az Európai Parlament 2025. november 27-i állásfoglalása a háború eszkalációjáról és humanitárius katasztrófáról Szudánban</w:t>
      </w:r>
      <w:bookmarkEnd w:id="4"/>
      <w:r w:rsidRPr="00BB75B8">
        <w:t xml:space="preserve"> </w:t>
      </w:r>
      <w:bookmarkStart w:id="5" w:name="References"/>
      <w:r w:rsidRPr="00BB75B8">
        <w:t>(2025/2984(RSP))</w:t>
      </w:r>
      <w:bookmarkEnd w:id="5"/>
    </w:p>
    <w:p w14:paraId="48B18FC3" w14:textId="77777777" w:rsidR="006E2DDF" w:rsidRPr="00BB75B8" w:rsidRDefault="006E2DDF" w:rsidP="006E2DDF">
      <w:pPr>
        <w:pStyle w:val="EPComma"/>
      </w:pPr>
      <w:bookmarkStart w:id="6" w:name="TextBodyBegin"/>
      <w:bookmarkEnd w:id="6"/>
      <w:r w:rsidRPr="00BB75B8">
        <w:rPr>
          <w:i/>
        </w:rPr>
        <w:t>Az Európai Parlament</w:t>
      </w:r>
      <w:r w:rsidRPr="00BB75B8">
        <w:t>,</w:t>
      </w:r>
    </w:p>
    <w:p w14:paraId="5EE508F9" w14:textId="77777777" w:rsidR="006E2DDF" w:rsidRPr="00BB75B8" w:rsidRDefault="006E2DDF" w:rsidP="00E54777">
      <w:pPr>
        <w:pStyle w:val="NormalHanging12a"/>
        <w:widowControl/>
        <w:rPr>
          <w:szCs w:val="24"/>
        </w:rPr>
      </w:pPr>
      <w:r w:rsidRPr="00BB75B8">
        <w:t>–</w:t>
      </w:r>
      <w:r w:rsidRPr="00BB75B8">
        <w:tab/>
        <w:t>tekintettel a Szudánról szóló korábbi állásfoglalásaira, különösen a szudáni humanitárius helyzetről, különösen a harcokban rekedt gyermekek haláláról szóló, 2023. június 15-i állásfoglalására</w:t>
      </w:r>
      <w:r w:rsidRPr="00BB75B8">
        <w:rPr>
          <w:rStyle w:val="FootnoteReference"/>
        </w:rPr>
        <w:footnoteReference w:id="1"/>
      </w:r>
      <w:r w:rsidRPr="00BB75B8">
        <w:t>, valamint „A súlyos politikai, humanitárius és emberi jogi válság Szudánban, különös tekintettel a szexuális erőszakra és a gyermekek szexuális kényszerítésére” című, 2025. március 13-i állásfoglalására</w:t>
      </w:r>
      <w:r w:rsidRPr="00BB75B8">
        <w:rPr>
          <w:rStyle w:val="FootnoteReference"/>
        </w:rPr>
        <w:footnoteReference w:id="2"/>
      </w:r>
      <w:r w:rsidRPr="00BB75B8">
        <w:t>,</w:t>
      </w:r>
    </w:p>
    <w:p w14:paraId="13963032" w14:textId="77777777" w:rsidR="006E2DDF" w:rsidRPr="00BB75B8" w:rsidRDefault="006E2DDF" w:rsidP="00E54777">
      <w:pPr>
        <w:pStyle w:val="NormalHanging12a"/>
        <w:widowControl/>
        <w:rPr>
          <w:szCs w:val="24"/>
        </w:rPr>
      </w:pPr>
      <w:r w:rsidRPr="00BB75B8">
        <w:t>–</w:t>
      </w:r>
      <w:r w:rsidRPr="00BB75B8">
        <w:tab/>
        <w:t>tekintettel az Emberi Jogok Egyetemes Nyilatkozatára és a Polgári és Politikai Jogok Nemzetközi Egyezségokmányára,</w:t>
      </w:r>
    </w:p>
    <w:p w14:paraId="03C3ABAF" w14:textId="77777777" w:rsidR="006E2DDF" w:rsidRPr="00BB75B8" w:rsidRDefault="006E2DDF" w:rsidP="00E54777">
      <w:pPr>
        <w:pStyle w:val="NormalHanging12a"/>
        <w:widowControl/>
        <w:rPr>
          <w:szCs w:val="24"/>
        </w:rPr>
      </w:pPr>
      <w:r w:rsidRPr="00BB75B8">
        <w:t>–</w:t>
      </w:r>
      <w:r w:rsidRPr="00BB75B8">
        <w:tab/>
        <w:t>tekintettel az 1949. évi genfi egyezményekre és azok kiegészítő jegyzőkönyveire,</w:t>
      </w:r>
    </w:p>
    <w:p w14:paraId="049E10ED" w14:textId="77777777" w:rsidR="006E2DDF" w:rsidRPr="00BB75B8" w:rsidRDefault="006E2DDF" w:rsidP="00E54777">
      <w:pPr>
        <w:pStyle w:val="NormalHanging12a"/>
        <w:widowControl/>
        <w:rPr>
          <w:szCs w:val="24"/>
        </w:rPr>
      </w:pPr>
      <w:r w:rsidRPr="00BB75B8">
        <w:t>–</w:t>
      </w:r>
      <w:r w:rsidRPr="00BB75B8">
        <w:tab/>
        <w:t>tekintettel a szudáni békeközvetítési erőfeszítésekre, különösen az Afrikai Unió, az ENSZ, a Kormányközi Fejlesztési Hatóság, Szaúd-Arábia és az Egyesült Államok által vezetett erőfeszítésekre,</w:t>
      </w:r>
    </w:p>
    <w:p w14:paraId="3EFBF7FD" w14:textId="77777777" w:rsidR="006E2DDF" w:rsidRPr="00BB75B8" w:rsidRDefault="006E2DDF" w:rsidP="00E54777">
      <w:pPr>
        <w:pStyle w:val="NormalHanging12a"/>
        <w:widowControl/>
        <w:rPr>
          <w:szCs w:val="24"/>
        </w:rPr>
      </w:pPr>
      <w:r w:rsidRPr="00BB75B8">
        <w:t>–</w:t>
      </w:r>
      <w:r w:rsidRPr="00BB75B8">
        <w:tab/>
        <w:t>tekintettel az ENSZ Biztonsági Tanácsának 1556. (2004) és 2736. (2024) számú határozatára, valamint az ENSZ Biztonsági Tanácsának Szudánról szóló minden egyéb releváns határozatára,</w:t>
      </w:r>
    </w:p>
    <w:p w14:paraId="63657EF9" w14:textId="77777777" w:rsidR="006E2DDF" w:rsidRPr="00BB75B8" w:rsidRDefault="006E2DDF" w:rsidP="00E54777">
      <w:pPr>
        <w:pStyle w:val="NormalHanging12a"/>
        <w:widowControl/>
        <w:rPr>
          <w:szCs w:val="24"/>
        </w:rPr>
      </w:pPr>
      <w:r w:rsidRPr="00BB75B8">
        <w:t>–</w:t>
      </w:r>
      <w:r w:rsidRPr="00BB75B8">
        <w:tab/>
        <w:t>tekintettel az ENSZ Emberi Jogi Tanácsának a szudáni emberi jogi helyzetről szóló releváns határozataira,</w:t>
      </w:r>
    </w:p>
    <w:p w14:paraId="47C4FD09" w14:textId="77777777" w:rsidR="006E2DDF" w:rsidRPr="00BB75B8" w:rsidRDefault="006E2DDF" w:rsidP="00E54777">
      <w:pPr>
        <w:pStyle w:val="NormalHanging12a"/>
        <w:widowControl/>
        <w:rPr>
          <w:szCs w:val="24"/>
        </w:rPr>
      </w:pPr>
      <w:r w:rsidRPr="00BB75B8">
        <w:lastRenderedPageBreak/>
        <w:t>–</w:t>
      </w:r>
      <w:r w:rsidRPr="00BB75B8">
        <w:tab/>
        <w:t>tekintettel a szudáni helyzetre tekintettel hozott korlátozó intézkedésekről szóló (KKBP) 2024/383</w:t>
      </w:r>
      <w:r w:rsidRPr="00BB75B8">
        <w:rPr>
          <w:rStyle w:val="FootnoteReference"/>
        </w:rPr>
        <w:footnoteReference w:id="3"/>
      </w:r>
      <w:r w:rsidRPr="00BB75B8">
        <w:t>, (KKBP) 2024/1784</w:t>
      </w:r>
      <w:r w:rsidRPr="00BB75B8">
        <w:rPr>
          <w:rStyle w:val="FootnoteReference"/>
        </w:rPr>
        <w:footnoteReference w:id="4"/>
      </w:r>
      <w:r w:rsidRPr="00BB75B8">
        <w:t>, (KKBP) 2024/2655</w:t>
      </w:r>
      <w:r w:rsidRPr="00BB75B8">
        <w:rPr>
          <w:rStyle w:val="FootnoteReference"/>
        </w:rPr>
        <w:footnoteReference w:id="5"/>
      </w:r>
      <w:r w:rsidRPr="00BB75B8">
        <w:t>, (KKBP) 2024/3154</w:t>
      </w:r>
      <w:r w:rsidRPr="00BB75B8">
        <w:rPr>
          <w:rStyle w:val="FootnoteReference"/>
        </w:rPr>
        <w:footnoteReference w:id="6"/>
      </w:r>
      <w:r w:rsidRPr="00BB75B8">
        <w:t>, (KKBP) 2025/377</w:t>
      </w:r>
      <w:r w:rsidRPr="00BB75B8">
        <w:rPr>
          <w:rStyle w:val="FootnoteReference"/>
        </w:rPr>
        <w:footnoteReference w:id="7"/>
      </w:r>
      <w:r w:rsidRPr="00BB75B8">
        <w:t xml:space="preserve"> és (KKBP) 2025/1481</w:t>
      </w:r>
      <w:r w:rsidRPr="00BB75B8">
        <w:rPr>
          <w:rStyle w:val="FootnoteReference"/>
        </w:rPr>
        <w:footnoteReference w:id="8"/>
      </w:r>
      <w:r w:rsidRPr="00BB75B8">
        <w:t xml:space="preserve"> tanácsi határozatra,</w:t>
      </w:r>
    </w:p>
    <w:p w14:paraId="6B2C0F4B" w14:textId="77777777" w:rsidR="006E2DDF" w:rsidRPr="00BB75B8" w:rsidRDefault="006E2DDF" w:rsidP="00E54777">
      <w:pPr>
        <w:pStyle w:val="NormalHanging12a"/>
        <w:widowControl/>
        <w:rPr>
          <w:szCs w:val="24"/>
        </w:rPr>
      </w:pPr>
      <w:r w:rsidRPr="00BB75B8">
        <w:t>–</w:t>
      </w:r>
      <w:r w:rsidRPr="00BB75B8">
        <w:tab/>
        <w:t>tekintettel a Külügyek Tanácsa 2025. október 20-i ülésén elfogadott, Szudánról szóló tanácsi következtetésekre,</w:t>
      </w:r>
    </w:p>
    <w:p w14:paraId="1453A5F6" w14:textId="77777777" w:rsidR="006E2DDF" w:rsidRPr="00BB75B8" w:rsidRDefault="006E2DDF" w:rsidP="00E54777">
      <w:pPr>
        <w:pStyle w:val="NormalHanging12a"/>
        <w:widowControl/>
        <w:rPr>
          <w:kern w:val="2"/>
          <w:szCs w:val="24"/>
          <w14:ligatures w14:val="standardContextual"/>
        </w:rPr>
      </w:pPr>
      <w:r w:rsidRPr="00BB75B8">
        <w:t>–</w:t>
      </w:r>
      <w:r w:rsidRPr="00BB75B8">
        <w:tab/>
        <w:t>tekintettel az Unió külügyi és biztonságpolitikai főképviselőjének 2025. november 20-i, az Európai Unió nevében tett, Szudánról szóló nyilatkozatára,</w:t>
      </w:r>
    </w:p>
    <w:p w14:paraId="68128FA1" w14:textId="77777777" w:rsidR="006E2DDF" w:rsidRPr="00BB75B8" w:rsidRDefault="006E2DDF" w:rsidP="00E54777">
      <w:pPr>
        <w:pStyle w:val="NormalHanging12a"/>
        <w:widowControl/>
        <w:rPr>
          <w:bCs/>
          <w:szCs w:val="24"/>
        </w:rPr>
      </w:pPr>
      <w:r w:rsidRPr="00BB75B8">
        <w:t>–</w:t>
      </w:r>
      <w:r w:rsidRPr="00BB75B8">
        <w:tab/>
        <w:t>tekintettel „Az EU–Afrika-partnerség meghosszabbításáról: közös prioritások kidolgozása az angolai csúcstalálkozóra készülve” című, 2025. október 23-i állásfoglalására</w:t>
      </w:r>
      <w:r w:rsidRPr="00BB75B8">
        <w:rPr>
          <w:rStyle w:val="FootnoteReference"/>
        </w:rPr>
        <w:footnoteReference w:id="9"/>
      </w:r>
      <w:r w:rsidRPr="00BB75B8">
        <w:t>,</w:t>
      </w:r>
    </w:p>
    <w:p w14:paraId="2B1CF559" w14:textId="77777777" w:rsidR="006E2DDF" w:rsidRPr="00BB75B8" w:rsidRDefault="006E2DDF" w:rsidP="00E54777">
      <w:pPr>
        <w:pStyle w:val="NormalHanging12a"/>
        <w:widowControl/>
      </w:pPr>
      <w:r w:rsidRPr="00BB75B8">
        <w:t>–</w:t>
      </w:r>
      <w:r w:rsidRPr="00BB75B8">
        <w:tab/>
        <w:t>tekintettel eljárási szabályzata 136. cikkének (2) és (4) bekezdésére,</w:t>
      </w:r>
    </w:p>
    <w:p w14:paraId="10FD135A" w14:textId="77777777" w:rsidR="006E2DDF" w:rsidRPr="00BB75B8" w:rsidRDefault="006E2DDF" w:rsidP="00E54777">
      <w:pPr>
        <w:pStyle w:val="NormalHanging12a"/>
        <w:widowControl/>
        <w:rPr>
          <w:szCs w:val="24"/>
        </w:rPr>
      </w:pPr>
      <w:r w:rsidRPr="00BB75B8">
        <w:t>A.</w:t>
      </w:r>
      <w:r w:rsidRPr="00BB75B8">
        <w:tab/>
        <w:t>mivel a szudáni fegyveres erők (SAF) és a Gyorsreagálású Támogató Erők (RSF) közötti, 2023 áprilisában kezdődött konfliktus a világ legnagyobb és legsúlyosabb humanitárius és védelmi válságává nőtt, amelynek következtében tömegek kényszerültek elmenekülni lakóhelyükről (az ország más részeire vagy a szomszédos országokba) – több mint 7,2 millió a belső menekültek száma, és több mint 4,2 millió menekült, menedékkérő és visszatelepülő menekült valamely szomszédos országba –, bizonytalanná vált az élelmiszer-ellátás és széles körben sérültek az emberi jogok; mivel Szudán lakosságának közel kétharmada – köztük 16 millió gyermek – sürgős humanitárius segítségre szorul, miközben az országban tömegek menekülnek a lakóhelyükről, éhínség dúl, általánosak a polgári lakosság, valamint a humanitárius és egészségügyi dolgozók elleni támadások, és összeomlóban vannak az alapvető szolgáltatások;</w:t>
      </w:r>
    </w:p>
    <w:p w14:paraId="57DC2A20" w14:textId="77777777" w:rsidR="006E2DDF" w:rsidRPr="00BB75B8" w:rsidRDefault="006E2DDF" w:rsidP="00E54777">
      <w:pPr>
        <w:pStyle w:val="NormalHanging12a"/>
        <w:widowControl/>
        <w:rPr>
          <w:szCs w:val="24"/>
        </w:rPr>
      </w:pPr>
      <w:r w:rsidRPr="00BB75B8">
        <w:t>B.</w:t>
      </w:r>
      <w:r w:rsidRPr="00BB75B8">
        <w:tab/>
        <w:t>mivel az RSF egy 18 hónapos ostrom után 2025. október 26-án elfoglalta El-Fásert, ahol ezután tömegmészárlást és tömeges atrocitásokat hajtott végre, köztük azonnali kivégzéseket, szisztematikus szexuális erőszakot, kínzást és etnikailag célzott gyilkosságokat;</w:t>
      </w:r>
    </w:p>
    <w:p w14:paraId="344903F0" w14:textId="77777777" w:rsidR="006E2DDF" w:rsidRPr="00BB75B8" w:rsidRDefault="006E2DDF" w:rsidP="00E54777">
      <w:pPr>
        <w:pStyle w:val="NormalHanging12a"/>
        <w:widowControl/>
        <w:rPr>
          <w:szCs w:val="24"/>
        </w:rPr>
      </w:pPr>
      <w:r w:rsidRPr="00BB75B8">
        <w:t>C.</w:t>
      </w:r>
      <w:r w:rsidRPr="00BB75B8">
        <w:tab/>
        <w:t>mivel a Szudánnal foglalkozó független nemzetközi tényfeltáró misszió (IIFFM) dokumentálta a nemi erőszak háborús fegyverként való alkalmazásának különösen kegyetlen formáit – ideértve a nyilvános szexuális erőszakot és a csoportos nemi erőszakot –, valamint a kényszerházasságok alkalmazását, ami emberek millióit teszi ki a nemi alapú erőszak kockázatának;</w:t>
      </w:r>
    </w:p>
    <w:p w14:paraId="7028E0C2" w14:textId="77777777" w:rsidR="006E2DDF" w:rsidRPr="00BB75B8" w:rsidRDefault="006E2DDF" w:rsidP="00E54777">
      <w:pPr>
        <w:pStyle w:val="NormalHanging12a"/>
        <w:widowControl/>
        <w:rPr>
          <w:rFonts w:eastAsia="Calibri"/>
          <w:szCs w:val="24"/>
        </w:rPr>
      </w:pPr>
      <w:r w:rsidRPr="00BB75B8">
        <w:t>D.</w:t>
      </w:r>
      <w:r w:rsidRPr="00BB75B8">
        <w:tab/>
        <w:t xml:space="preserve">mivel jelentésében az IIFFM megállapította, hogy a konfliktusban részt vevő mindkét fél megsérti a nemzetközi jogot, és e jogsértések nemzetközi bűncselekményeknek minősülnek, mivel az RSF háborús bűncselekményeket és emberiesség elleni bűncselekményeket követett el, az SAF pedig megsértette a nemzetközi humanitárius </w:t>
      </w:r>
      <w:r w:rsidRPr="00BB75B8">
        <w:lastRenderedPageBreak/>
        <w:t>jogot és az emberi jogokat, ami szintén háborús bűncselekménynek minősül; mivel a mindkét fél által elkövetett jogsértések közé tartozik az etnikai és vallási alapú erőszak, az éheztetés mint háborús fegyver, a tömeges szexuális erőszak (beleértve a gyermekek elleni nemi erőszakot is), a gyermekek kényszertoborzása, az önkényes fogva tartás és más súlyos visszaélések;</w:t>
      </w:r>
    </w:p>
    <w:p w14:paraId="6B4352C2" w14:textId="77777777" w:rsidR="006E2DDF" w:rsidRPr="00BB75B8" w:rsidRDefault="006E2DDF" w:rsidP="00E54777">
      <w:pPr>
        <w:pStyle w:val="NormalHanging12a"/>
        <w:widowControl/>
        <w:rPr>
          <w:szCs w:val="24"/>
        </w:rPr>
      </w:pPr>
      <w:r w:rsidRPr="00BB75B8">
        <w:t>E.</w:t>
      </w:r>
      <w:r w:rsidRPr="00BB75B8">
        <w:tab/>
        <w:t>mivel mindkét fél fegyverként használta a humanitárius segítségnyújtást</w:t>
      </w:r>
      <w:r w:rsidRPr="00BB75B8">
        <w:rPr>
          <w:rStyle w:val="cf01"/>
          <w:color w:val="000000"/>
        </w:rPr>
        <w:t>, meggátolva a humanitárius szervezeteket abban, hogy szabadon és akadálytalanul eljuthassanak a rászorulókhoz</w:t>
      </w:r>
      <w:r w:rsidRPr="00BB75B8">
        <w:t>;</w:t>
      </w:r>
    </w:p>
    <w:p w14:paraId="10CAC60E" w14:textId="77777777" w:rsidR="006E2DDF" w:rsidRPr="00BB75B8" w:rsidRDefault="006E2DDF" w:rsidP="00E54777">
      <w:pPr>
        <w:pStyle w:val="NormalHanging12a"/>
        <w:widowControl/>
        <w:rPr>
          <w:szCs w:val="24"/>
        </w:rPr>
      </w:pPr>
      <w:r w:rsidRPr="00BB75B8">
        <w:t>F.</w:t>
      </w:r>
      <w:r w:rsidRPr="00BB75B8">
        <w:tab/>
        <w:t>mivel a Szudánra kívülről befolyást gyakorló valamennyi ország jelentős szerepet játszik az országon belüli konfliktus elnyújtásában;</w:t>
      </w:r>
    </w:p>
    <w:p w14:paraId="4E1CB803" w14:textId="77777777" w:rsidR="006E2DDF" w:rsidRPr="00BB75B8" w:rsidRDefault="006E2DDF" w:rsidP="00E54777">
      <w:pPr>
        <w:pStyle w:val="NormalHanging12a"/>
        <w:widowControl/>
        <w:rPr>
          <w:szCs w:val="24"/>
        </w:rPr>
      </w:pPr>
      <w:r w:rsidRPr="00BB75B8">
        <w:t>G.</w:t>
      </w:r>
      <w:r w:rsidRPr="00BB75B8">
        <w:tab/>
        <w:t>mivel a konfliktusban részt vevő valamennyi fél megsérti a nemzetközi emberi jogokat és a humanitárius jogot, és a legtöbb jogsértés háborús bűncselekménynek minősül; mivel az RFS által elkövetett cselekmények – például az emberek üldözése és kiirtása – akár emberiesség elleni bűncselekményeknek is minősülhetnek, és taktikái közé tartoznak a polgári lakosság elleni szisztematikus támadások, a lakosság, az újságírók és a médiában dolgozók megfélemlítése, valamint az intézményi hatalom destabilizálására irányuló erőfeszítések;</w:t>
      </w:r>
    </w:p>
    <w:p w14:paraId="3ECC3C62" w14:textId="77777777" w:rsidR="006E2DDF" w:rsidRPr="00BB75B8" w:rsidRDefault="006E2DDF" w:rsidP="00E54777">
      <w:pPr>
        <w:pStyle w:val="NormalHanging12a"/>
        <w:widowControl/>
        <w:rPr>
          <w:szCs w:val="24"/>
        </w:rPr>
      </w:pPr>
      <w:r w:rsidRPr="00BB75B8">
        <w:t>H.</w:t>
      </w:r>
      <w:r w:rsidRPr="00BB75B8">
        <w:tab/>
        <w:t xml:space="preserve">mivel a gyermekek különösen </w:t>
      </w:r>
      <w:proofErr w:type="gramStart"/>
      <w:r w:rsidRPr="00BB75B8">
        <w:t>veszélyeztetettek,</w:t>
      </w:r>
      <w:proofErr w:type="gramEnd"/>
      <w:r w:rsidRPr="00BB75B8">
        <w:t xml:space="preserve"> és az UNICEF 2024 eleje óta több száz olyan esetről számolt be, amikor gyermekeket erőszakoltak meg; mivel a valós adatok várhatóan sokkal magasabbak lesznek; mivel Szudánban a folyamatos lezárások és lakóhelyelhagyások miatt sok gyermek nem tud iskolába járni, ami miatt fokozott kockázatoknak vannak kitéve, és nem gyakorolhatják az oktatáshoz való jogukat;</w:t>
      </w:r>
    </w:p>
    <w:p w14:paraId="3C3547A8" w14:textId="77777777" w:rsidR="006E2DDF" w:rsidRPr="00BB75B8" w:rsidRDefault="006E2DDF" w:rsidP="00E54777">
      <w:pPr>
        <w:pStyle w:val="NormalHanging12a"/>
        <w:widowControl/>
        <w:rPr>
          <w:szCs w:val="24"/>
        </w:rPr>
      </w:pPr>
      <w:r w:rsidRPr="00BB75B8">
        <w:t>I.</w:t>
      </w:r>
      <w:r w:rsidRPr="00BB75B8">
        <w:tab/>
        <w:t>mivel az EU 273 millió EUR segélyt különített el a régió, ezen belül 161 millió EUR-t kifejezetten Szudán számára;</w:t>
      </w:r>
    </w:p>
    <w:p w14:paraId="630AB984" w14:textId="77777777" w:rsidR="006E2DDF" w:rsidRPr="00BB75B8" w:rsidRDefault="006E2DDF" w:rsidP="00E54777">
      <w:pPr>
        <w:pStyle w:val="NormalHanging12a"/>
        <w:widowControl/>
        <w:rPr>
          <w:szCs w:val="24"/>
        </w:rPr>
      </w:pPr>
      <w:r w:rsidRPr="00BB75B8">
        <w:t>J.</w:t>
      </w:r>
      <w:r w:rsidRPr="00BB75B8">
        <w:tab/>
        <w:t>mivel az EU továbbra is szükségleteken alapuló és humanitárius elvek által vezérelt sürgősségi életmentő segélyt nyújt a legkiszolgáltatottabb népességcsoportok azonnali megsegítésének és védelmének biztosítása, az alapvető segítségnyújtás biztosítása és az emberi jogi jogsértések nyomon követése, valamint az ország súlyos élelmezési és élelmiszerválságára való reagálás és az alapvető szolgáltatások humanitárius támogatása érdekében; mivel a női szervezetek, az ellenállási bizottságok és a közösségi reagáló szervezetek továbbra is központi szerepet játszanak a polgári lakosság védelmében és a jogsértések dokumentálásában;</w:t>
      </w:r>
    </w:p>
    <w:p w14:paraId="2D7BF3B7" w14:textId="77777777" w:rsidR="006E2DDF" w:rsidRPr="00BB75B8" w:rsidRDefault="006E2DDF" w:rsidP="00E54777">
      <w:pPr>
        <w:pStyle w:val="NormalHanging12a"/>
        <w:widowControl/>
        <w:rPr>
          <w:szCs w:val="24"/>
        </w:rPr>
      </w:pPr>
      <w:r w:rsidRPr="00BB75B8">
        <w:t>K.</w:t>
      </w:r>
      <w:r w:rsidRPr="00BB75B8">
        <w:tab/>
        <w:t>mivel ezt a háborút olykor proxyháborúnak minősítik, amelyben Szudán az olyan természeti erőforrásokért folytatott verseny harcterévé vált, mint az arany, a gumiarábikum, a vasérc, a réz és az urán;</w:t>
      </w:r>
    </w:p>
    <w:p w14:paraId="07418980" w14:textId="77777777" w:rsidR="006E2DDF" w:rsidRPr="00BB75B8" w:rsidRDefault="006E2DDF" w:rsidP="00E54777">
      <w:pPr>
        <w:pStyle w:val="NormalHanging12a"/>
        <w:widowControl/>
        <w:rPr>
          <w:szCs w:val="24"/>
        </w:rPr>
      </w:pPr>
      <w:r w:rsidRPr="00BB75B8">
        <w:t>L.</w:t>
      </w:r>
      <w:r w:rsidRPr="00BB75B8">
        <w:tab/>
        <w:t>mivel a Parlament az EU–Afrika-partnerség meghosszabbításáról szóló, 2025. októberi állásfoglalásában felszólította az összes szereplőt, hogy növeljék az átláthatóságot, és ténylegesen tiltsák be az összes konfliktusövezetből származó ásvány EU-ba való behozatalát;</w:t>
      </w:r>
    </w:p>
    <w:p w14:paraId="7844BB0E" w14:textId="77777777" w:rsidR="006E2DDF" w:rsidRPr="00BB75B8" w:rsidRDefault="006E2DDF" w:rsidP="00E54777">
      <w:pPr>
        <w:pStyle w:val="NormalHanging12a"/>
        <w:widowControl/>
        <w:rPr>
          <w:szCs w:val="24"/>
        </w:rPr>
      </w:pPr>
      <w:r w:rsidRPr="00BB75B8">
        <w:t>M.</w:t>
      </w:r>
      <w:r w:rsidRPr="00BB75B8">
        <w:tab/>
        <w:t xml:space="preserve">mivel az ENSZ Népesedési Alapja (UNFPA) és partnerei továbbra is nyújtanak reproduktív egészségügyi és védelmi szolgáltatásokat, de a nemzetközi finanszírozás közelmúltbeli csökkentése arra kényszerítette az UNFPA-t, hogy kivonuljon a Szudánban általa támogatott 93 egészségügyi létesítmény több mint feléből, ami azt </w:t>
      </w:r>
      <w:r w:rsidRPr="00BB75B8">
        <w:lastRenderedPageBreak/>
        <w:t>jelenti, hogy jelenleg csak minden negyedik olyan létesítmény működik, amely klinikai támogatást nyújt a nemi erőszak áldozatainak;</w:t>
      </w:r>
    </w:p>
    <w:p w14:paraId="7FC8F3D4" w14:textId="77777777" w:rsidR="006E2DDF" w:rsidRDefault="006E2DDF" w:rsidP="00E54777">
      <w:pPr>
        <w:pStyle w:val="NormalHanging12a"/>
        <w:widowControl/>
      </w:pPr>
      <w:r w:rsidRPr="00BB75B8">
        <w:t>1.</w:t>
      </w:r>
      <w:r w:rsidRPr="00BB75B8">
        <w:tab/>
        <w:t>a leghatározottabban elítéli az RSF által El-Fáserben és Szudán többi részén elkövetett súlyos atrocitásokat, többek között a széles körű, etnikailag célzott gyilkosságokat és erőszakot, a nemi erőszakot és a szexuális rabszolgaságra kényszerítést, a kínzást, az erőszakos eltüntetéseket, a kórházak és humanitárius létesítmények elleni támadásokat, valamint a polgári lakosság szándékos éheztetését, ami valószínűleg népirtásnak minősül;</w:t>
      </w:r>
    </w:p>
    <w:p w14:paraId="0E30B423" w14:textId="04A7EACF" w:rsidR="00BB75B8" w:rsidRPr="00BB75B8" w:rsidRDefault="00BB75B8" w:rsidP="00E54777">
      <w:pPr>
        <w:pStyle w:val="NormalHanging12a"/>
        <w:widowControl/>
      </w:pPr>
      <w:r>
        <w:t>2</w:t>
      </w:r>
      <w:r w:rsidRPr="00BB75B8">
        <w:t>.</w:t>
      </w:r>
      <w:r w:rsidRPr="00BB75B8">
        <w:tab/>
        <w:t>határozottan elítéli a Szudánban zajló, fokozódó erőszakot, valamint a nemzetközi jog valamennyi fél általi súlyos megsértését; hangsúlyozza, hogy a szudáni konfliktusra nincs életképes katonai megoldás, és hogy az ellenségeskedés folytatódása elfogadhatatlan szenvedést okoz a polgári lakosságnak, és egyre nagyobb kockázatot jelent a regionális békére és biztonságra nézve;</w:t>
      </w:r>
    </w:p>
    <w:p w14:paraId="5B3F1402" w14:textId="38E7CD55" w:rsidR="006E2DDF" w:rsidRPr="00BB75B8" w:rsidRDefault="00BB75B8" w:rsidP="00E54777">
      <w:pPr>
        <w:pStyle w:val="NormalHanging12a"/>
        <w:widowControl/>
      </w:pPr>
      <w:r>
        <w:t>3</w:t>
      </w:r>
      <w:r w:rsidR="006E2DDF" w:rsidRPr="00BB75B8">
        <w:t>.</w:t>
      </w:r>
      <w:r w:rsidR="006E2DDF" w:rsidRPr="00BB75B8">
        <w:tab/>
        <w:t>határozottan elítéli a nemzetközi humanitárius jog és az emberi jogok súlyos és szisztematikus megsértését, amelyet mind az RSF, mind az SAF elkövetett, beleértve a polgári lakosság elleni válogatás nélküli támadásokat, az etnikai alapú erőszakot, a szexuális erőszakot, a kínzást, a gyermekkatonák bevetését, a kórházak és humanitárius létesítmények elleni támadásokat és a polgári lakosság szándékos éheztetését, amelyek valószínűleg népirtásnak minősülnek;</w:t>
      </w:r>
    </w:p>
    <w:p w14:paraId="1DEF84A5" w14:textId="2FBD1052" w:rsidR="006E2DDF" w:rsidRPr="00BB75B8" w:rsidRDefault="00BB75B8" w:rsidP="00E54777">
      <w:pPr>
        <w:pStyle w:val="NormalHanging12a"/>
        <w:widowControl/>
      </w:pPr>
      <w:r>
        <w:t>4</w:t>
      </w:r>
      <w:r w:rsidR="006E2DDF" w:rsidRPr="00BB75B8">
        <w:t>.</w:t>
      </w:r>
      <w:r w:rsidR="006E2DDF" w:rsidRPr="00BB75B8">
        <w:tab/>
        <w:t>határozottan elítéli a folyamatban lévő szudáni konfliktust, amely immár harmadik éve továbbra is ezrek életét követeli és hatalmas nehézségeket okoz a szudáni népnek, valamint komoly fenyegetést jelent a tágabb régió stabilitására és biztonságára nézve;</w:t>
      </w:r>
    </w:p>
    <w:p w14:paraId="08C06159" w14:textId="0327D67C" w:rsidR="006E2DDF" w:rsidRPr="00BB75B8" w:rsidRDefault="00BB75B8" w:rsidP="00E54777">
      <w:pPr>
        <w:pStyle w:val="NormalHanging12a"/>
        <w:widowControl/>
      </w:pPr>
      <w:r>
        <w:t>5</w:t>
      </w:r>
      <w:r w:rsidR="006E2DDF" w:rsidRPr="00BB75B8">
        <w:t>.</w:t>
      </w:r>
      <w:r w:rsidR="006E2DDF" w:rsidRPr="00BB75B8">
        <w:tab/>
        <w:t>határozottan elítéli a két fegyveres erő által Szudánban elkövetett folyamatos erőszakot, valamint a nemzetközi emberi jogok és a humanitárius jog valamennyi fél általi súlyos megsértését; elítéli a humanitárius segélyek blokkolását és fosztogatását, valamint a humanitárius és egészségügyi dolgozók, a sürgősségi segélyszolgálatok munkatársai és az emberijog-védők elleni támadásokat, amelyek az alapvető jogok és a nemzetközi humanitárius jog súlyos megsértésének minősülnek;</w:t>
      </w:r>
    </w:p>
    <w:p w14:paraId="576337AC" w14:textId="2A5C0B78" w:rsidR="006E2DDF" w:rsidRPr="00BB75B8" w:rsidRDefault="00BB75B8" w:rsidP="00E54777">
      <w:pPr>
        <w:pStyle w:val="NormalHanging12a"/>
        <w:widowControl/>
      </w:pPr>
      <w:r>
        <w:t>6</w:t>
      </w:r>
      <w:r w:rsidR="006E2DDF" w:rsidRPr="00BB75B8">
        <w:t>.</w:t>
      </w:r>
      <w:r w:rsidR="006E2DDF" w:rsidRPr="00BB75B8">
        <w:tab/>
        <w:t>teljes szolidaritását fejezi ki a szudáni néppel, különösen az ostromoknak, éhínségnek, a lakosság elűzésének és a válogatás nélküli támadásoknak leginkább kitett területeken élőkkel, és tisztelettel adózik a szélsőséges körülmények között tevékenykedő helyi, önkéntes és nemzetközi humanitárius dolgozók előtt, beleértve az olyan kölcsönös segélyszervezeteket is, mint az Emergency Response Rooms; tisztelettel adózik a szudáni civil társadalmi szervezetek, ellenállási bizottságok, valamint női, munkavállalói és ifjúsági mozgalmak előtt;</w:t>
      </w:r>
    </w:p>
    <w:p w14:paraId="145B9EFF" w14:textId="2830CBD2" w:rsidR="006E2DDF" w:rsidRPr="00BB75B8" w:rsidRDefault="00BB75B8" w:rsidP="00E54777">
      <w:pPr>
        <w:pStyle w:val="NormalHanging12a"/>
        <w:widowControl/>
      </w:pPr>
      <w:r>
        <w:t>7</w:t>
      </w:r>
      <w:r w:rsidR="006E2DDF" w:rsidRPr="00BB75B8">
        <w:t>.</w:t>
      </w:r>
      <w:r w:rsidR="006E2DDF" w:rsidRPr="00BB75B8">
        <w:tab/>
        <w:t>sajnálatát fejezi ki amiatt, hogy a harcosok háborús taktikaként széles körben és szisztematikusan alkalmazzák a nők és lányok elleni szexuális és nemi alapú erőszakot, beleértve a nemi erőszakot, a szexuális rabszolgaságot és a kényszerházasságot; felszólít sürgős, a túlélőket a középpontba helyező válaszintézkedések megtételére, beleértve az orvosi, pszichoszociális és jogi támogatást is; sürgeti az összes felet, hogy haladéktalanul vessenek véget ezeknek a visszaéléseknek, és biztosítsák az elkövetők felelősségre vonását; hangsúlyozza, hogy a humanitárius és békeépítési válaszlépések során prioritásként kell kezelni a nők és a gyermekek védelmét;</w:t>
      </w:r>
    </w:p>
    <w:p w14:paraId="19EF6A7D" w14:textId="7307FDDE" w:rsidR="006E2DDF" w:rsidRPr="00BB75B8" w:rsidRDefault="00BB75B8" w:rsidP="00E54777">
      <w:pPr>
        <w:pStyle w:val="NormalHanging12a"/>
        <w:widowControl/>
      </w:pPr>
      <w:r>
        <w:lastRenderedPageBreak/>
        <w:t>8</w:t>
      </w:r>
      <w:r w:rsidR="006E2DDF" w:rsidRPr="00BB75B8">
        <w:t>.</w:t>
      </w:r>
      <w:r w:rsidR="006E2DDF" w:rsidRPr="00BB75B8">
        <w:tab/>
        <w:t>megerősíti Szudán szuverenitását, függetlenségét, egységét és területi integritását; felszólítja az EU-t, tagállamait, továbbá valamennyi szudáni és nemzetközi szereplőt, hogy tartsák fenn Szudán szuverenitását, egységét és területi integritását, valamint a kartúmi polgári kormány legitimitását; elutasít minden arra irányuló kísérletet, hogy párhuzamos vagy rivális hatóságokat vagy politikai struktúrákat hozzanak létre az RSF által ellenőrzött területeken;</w:t>
      </w:r>
    </w:p>
    <w:p w14:paraId="10D50CB0" w14:textId="14A331E6" w:rsidR="006E2DDF" w:rsidRPr="00BB75B8" w:rsidRDefault="00BB75B8" w:rsidP="00E54777">
      <w:pPr>
        <w:pStyle w:val="NormalHanging12a"/>
        <w:widowControl/>
        <w:rPr>
          <w:szCs w:val="24"/>
        </w:rPr>
      </w:pPr>
      <w:r>
        <w:t>9</w:t>
      </w:r>
      <w:r w:rsidR="006E2DDF" w:rsidRPr="00BB75B8">
        <w:t>.</w:t>
      </w:r>
      <w:r w:rsidR="006E2DDF" w:rsidRPr="00BB75B8">
        <w:tab/>
        <w:t>hangsúlyozza, hogy a konfliktus megszüntetése elsősorban az RSF és az SAF vezetőinek és a velük szövetségben álló milíciáknak, valamint azoknak a feladata, akik közvetlenül vagy közvetetten támogatják őket; sürget minden külső szereplőt, hogy hozzák meg a szükséges intézkedéseket annak érdekében, hogy az ENSZ Biztonsági Tanácsának 1556 (2004) és 1591 (2005) sz. határozatával bevezetett fegyverembargóval összhangban leállítsák fegyverek és más katonai felszerelések bármely fél számára történő értékesítését és szállítását;</w:t>
      </w:r>
    </w:p>
    <w:p w14:paraId="58547628" w14:textId="53BE0EF5" w:rsidR="006E2DDF" w:rsidRDefault="00BB75B8" w:rsidP="00E54777">
      <w:pPr>
        <w:pStyle w:val="NormalHanging12a"/>
        <w:widowControl/>
      </w:pPr>
      <w:r>
        <w:t>10</w:t>
      </w:r>
      <w:r w:rsidR="006E2DDF" w:rsidRPr="00BB75B8">
        <w:t>.</w:t>
      </w:r>
      <w:r w:rsidR="006E2DDF" w:rsidRPr="00BB75B8">
        <w:tab/>
        <w:t>elítéli a szudáni háborút tápláló külső beavatkozás minden formáját, beleértve a fegyvertranszfereket, a zsoldosok bevetését, az aranycsempészetet és az illegális pénzügyi hálózatokat, amelyek aláássák Szudán szuverenitását és közvetlenül hozzájárulnak a tömeges atrocitásokhoz, és hangsúlyozza, hogy az ilyen fellépések nemzetközi felelősséget vonhatnak maguk után; felszólít a zsoldosok toborzásának, valamint az RSF és a szövetséges milíciák ellátásának és katonai vagy logisztikai támogatásának azonnali beszüntetésére;</w:t>
      </w:r>
    </w:p>
    <w:p w14:paraId="2DE4EB3D" w14:textId="3D50B501" w:rsidR="00BB75B8" w:rsidRPr="00BB75B8" w:rsidRDefault="00BB75B8" w:rsidP="00E54777">
      <w:pPr>
        <w:pStyle w:val="NormalHanging12a"/>
        <w:widowControl/>
      </w:pPr>
      <w:r>
        <w:t>11</w:t>
      </w:r>
      <w:r w:rsidRPr="00BB75B8">
        <w:t>.</w:t>
      </w:r>
      <w:r w:rsidRPr="00BB75B8">
        <w:tab/>
        <w:t>hangsúlyozza, hogy a szudáni civil társadalomnak, az ellenállási bizottságoknak, a szakszervezeteknek, a nő- és ifjúsági szervezeteknek, a kisebbségi és marginalizált közösségeknek és más alulról szerveződő szereplőknek kulcsfontosságú szerepük van a politikai rendezésben; felhívja az EU-t, hogy kezelje prioritásként részvételüket, védelmüket és erőforrásaikat, többek között közvetlen, rugalmas finanszírozás és biztonságos terekre irányuló kezdeményezések révén;</w:t>
      </w:r>
    </w:p>
    <w:p w14:paraId="3B45BB8A" w14:textId="5C3CC5B2" w:rsidR="006E2DDF" w:rsidRPr="00BB75B8" w:rsidRDefault="00BB75B8" w:rsidP="00E54777">
      <w:pPr>
        <w:pStyle w:val="NormalHanging12a"/>
        <w:widowControl/>
      </w:pPr>
      <w:r>
        <w:t>12</w:t>
      </w:r>
      <w:r w:rsidR="006E2DDF" w:rsidRPr="00BB75B8">
        <w:t>.</w:t>
      </w:r>
      <w:r w:rsidR="006E2DDF" w:rsidRPr="00BB75B8">
        <w:tab/>
        <w:t>felszólít, hogy állítsák helyre és erősítsék meg Szudánban a jogállamiságot, az elszámoltathatóságot, a nemzetközi jog – többek között a nemzetközi humanitárius jog és az emberi jogok – tiszteletben tartását, valamint az igazságszolgáltatást; hangsúlyozza, hogy Szudán jövőjét nem alakíthatják erőszakos szélsőséges csoportok és hálózatok, amelyek destabilizáló hatása régóta táplálja az erőszakot és az instabilitást Szudánban és az egész régióban; követeli az ellenségeskedések azonnali beszüntetését, és felszólítja az összes felet, hogy kezdjenek érdemi párbeszédet a konfliktus lezárása és a polgári demokratikus kormányzásra való áttérés megvalósítása érdekében; felhívja az összes harmadik fél szereplőt, hogy támogassák az ellenségeskedések beszüntetésének biztosítására irányuló diplomáciai fellépéseket; elítéli az ENSZ-fegyverembargók valamennyi megsértését; megerősíti, hogy egy valóban polgári irányítású átmenet az egyetlen életképes út Szudán fenntartható békéje felé; határozottan támogatja az Afrikai Unió és a regionális partnerek arra irányuló erőfeszítéseit, hogy elősegítsék a békefolyamatot;</w:t>
      </w:r>
      <w:r>
        <w:t xml:space="preserve"> </w:t>
      </w:r>
      <w:r w:rsidRPr="00BB75B8">
        <w:t>hangsúlyozza, hogy a szudáni civil társadalomnak, különösen a nők vezette szervezeteknek központi szerepet kell játszaniuk a béketárgyalásokon, és vezető szerepet kell játszaniuk az átmenet folyamatában; felszólítja ezért az EU-t és tagállamait, hogy proaktívan járuljanak hozzá a nemzetközi közösségbeli partnerekkel folytatott béketárgyalásokhoz, és politikailag és pénzügyileg támogassák a szudáni civil társadalmat, a nők vezette szervezeteket, az emberijog-védőket és az újságírókat;</w:t>
      </w:r>
    </w:p>
    <w:p w14:paraId="7D388342" w14:textId="227931CE" w:rsidR="006E2DDF" w:rsidRPr="00BB75B8" w:rsidRDefault="00BB75B8" w:rsidP="00E54777">
      <w:pPr>
        <w:pStyle w:val="NormalHanging12a"/>
        <w:widowControl/>
      </w:pPr>
      <w:r>
        <w:lastRenderedPageBreak/>
        <w:t>13</w:t>
      </w:r>
      <w:r w:rsidR="006E2DDF" w:rsidRPr="00BB75B8">
        <w:t>.</w:t>
      </w:r>
      <w:r w:rsidR="006E2DDF" w:rsidRPr="00BB75B8">
        <w:tab/>
        <w:t>kéri, hogy nyissanak biztonságos humanitárius folyosókat, különösen El-Fáser, Kadugli és El Obeid felé, és hogy ezeket az ENSZ és az Afrikai Unió kövesse nyomon és ellenőrizze a tiszteletben tartásuk biztosítása érdekében; hangsúlyozza, hogy az EU-nak aktívan elő kell mozdítania és támogatnia kell egy ellenőrizhető tűzszüneti megállapodás létrejöttét, amely bármilyen fenntartható békefolyamat előfeltétele;</w:t>
      </w:r>
    </w:p>
    <w:p w14:paraId="7C106AEB" w14:textId="1E787425" w:rsidR="006E2DDF" w:rsidRPr="00BB75B8" w:rsidRDefault="00BB75B8" w:rsidP="00E54777">
      <w:pPr>
        <w:pStyle w:val="NormalHanging12a"/>
        <w:widowControl/>
      </w:pPr>
      <w:r>
        <w:t>14</w:t>
      </w:r>
      <w:r w:rsidR="006E2DDF" w:rsidRPr="00BB75B8">
        <w:t>.</w:t>
      </w:r>
      <w:r w:rsidR="006E2DDF" w:rsidRPr="00BB75B8">
        <w:tab/>
        <w:t>felszólít, hogy tegyék lehetővé a humanitárius segélyek azonnali, biztonságos és akadálytalan eljuttatását valamennyi rászoruló csoporthoz, bárhol is legyenek, és követeli, hogy mindkét fél hagyjon fel a segélyek fegyverként való felhasználásával; sürgeti a konfliktusban részt vevő valamennyi felet, hogy haladéktalanul számolják fel a humanitárius segítség célba juttatását gátló valamennyi akadályt, biztosítsanak azonnali, feltétel nélküli, biztonságos és akadálytalan humanitárius hozzáférést, hagyjanak fel a szándékos akadályozással, és védjék meg a polgári lakosságot; kéri, hogy nyújtsanak támogatást a szudáni menekülteket befogadó szomszédos országoknak;</w:t>
      </w:r>
    </w:p>
    <w:p w14:paraId="1CE2A199" w14:textId="0E0C6DC9" w:rsidR="006E2DDF" w:rsidRPr="00BB75B8" w:rsidRDefault="00BB75B8" w:rsidP="00E54777">
      <w:pPr>
        <w:pStyle w:val="NormalHanging12a"/>
        <w:widowControl/>
      </w:pPr>
      <w:r>
        <w:t>15</w:t>
      </w:r>
      <w:r w:rsidR="006E2DDF" w:rsidRPr="00BB75B8">
        <w:t>.</w:t>
      </w:r>
      <w:r w:rsidR="006E2DDF" w:rsidRPr="00BB75B8">
        <w:tab/>
        <w:t>felhívja a harcban álló feleket, hogy haladéktalanul állítsák helyre a kommunikációs szolgáltatásokat Szudán egész területén, és hagyjanak fel az internethozzáférés korlátozásával, amely sérti a szudáni nép tájékoztatáshoz való jogát, akadályozza a humanitárius és sürgősségi szolgáltatások nyújtását, befolyásolja a polgári lakosság biztonságát és védelmét, és akadályozza a nemzetközi emberi jogok és a humanitárius jog folyamatos megsértésének létfontosságú nyomon követését és jelentését;</w:t>
      </w:r>
    </w:p>
    <w:p w14:paraId="3D5E3789" w14:textId="0DDC704B" w:rsidR="006E2DDF" w:rsidRPr="00BB75B8" w:rsidRDefault="00BB75B8" w:rsidP="00E54777">
      <w:pPr>
        <w:pStyle w:val="NormalHanging12a"/>
        <w:widowControl/>
      </w:pPr>
      <w:r>
        <w:t>16</w:t>
      </w:r>
      <w:r w:rsidR="006E2DDF" w:rsidRPr="00BB75B8">
        <w:t>.</w:t>
      </w:r>
      <w:r w:rsidR="006E2DDF" w:rsidRPr="00BB75B8">
        <w:tab/>
        <w:t>sajnálatát fejezi ki az El-Fáserben és környékén az RSF támadása során és azt követően elkövetett tömeges gyilkosságok, kivégzések és szexuális erőszak miatt; mély aggodalmát fejezi ki a folytatódó emberrablásokról és a humanitárius hozzáférés hiányáról szóló jelentések miatt; elítéli különösen a polgári infrastruktúra szándékos célbavételét, beleértve a mecsetek és templomok lerombolását, és felszólít a vallási kisebbségek védelmére és vallásgyakorláshoz való joguk fenntartására;</w:t>
      </w:r>
    </w:p>
    <w:p w14:paraId="62854B26" w14:textId="5CCCB088" w:rsidR="006E2DDF" w:rsidRPr="00BB75B8" w:rsidRDefault="00BB75B8" w:rsidP="00E54777">
      <w:pPr>
        <w:pStyle w:val="NormalHanging12a"/>
        <w:widowControl/>
      </w:pPr>
      <w:r>
        <w:t>17</w:t>
      </w:r>
      <w:r w:rsidR="006E2DDF" w:rsidRPr="00BB75B8">
        <w:t>.</w:t>
      </w:r>
      <w:r w:rsidR="006E2DDF" w:rsidRPr="00BB75B8">
        <w:tab/>
        <w:t>sürgeti a harcban álló feleket, hogy haladéktalanul vessenek véget az ellenségeskedéseknek, hagyjanak fel a polgári lakosság és a polgári infrastruktúra elleni támadásokkal, szüntessék be az infrastruktúra és a humanitárius segélyek elleni támadásokat, vessenek véget az éheztetés és a szexuális erőszak háborús fegyverként való alkalmazásának, hagyjanak fel a gyermekkatonák toborzásával és bevetésével, és tegyék lehetővé a humanitárius segélyek akadálytalan bejutását az ország egész területére, hozzanak létre humanitárius folyosókat, keressenek tárgyalásos megoldást és teljesítsék a dzsiddai nyilatkozatban vállalt kötelezettségeiket; mély aggodalmát fejezi ki a szudáni humanitárius válság riasztó mértékű fokozódása miatt, mivel a konfliktus a világ legsúlyosabb humanitárius katasztrófáját idézte elő, és tovább táplálja azt, az ország egyes részein bizonyítottan éhínséget okozva; aggodalmát fejezi ki továbbá a szomszédos országokba irányuló tömeges migráció hatása miatt;</w:t>
      </w:r>
    </w:p>
    <w:p w14:paraId="2EA0DC7A" w14:textId="339D2F98" w:rsidR="006E2DDF" w:rsidRPr="00BB75B8" w:rsidRDefault="00BB75B8" w:rsidP="00E54777">
      <w:pPr>
        <w:pStyle w:val="NormalHanging12a"/>
        <w:widowControl/>
      </w:pPr>
      <w:r>
        <w:t>18</w:t>
      </w:r>
      <w:r w:rsidR="006E2DDF" w:rsidRPr="00BB75B8">
        <w:t>.</w:t>
      </w:r>
      <w:r w:rsidR="006E2DDF" w:rsidRPr="00BB75B8">
        <w:tab/>
        <w:t>felszólítja az összes felet, hogy haladéktalanul hagyjanak fel a nemi erőszak, valamint a szexuális és nemi alapú erőszak minden egyéb formája háborús fegyverként való széles körű alkalmazásával; felszólít a szexuális erőszak túlélői védelmének, ellátásának, kezelésének és pszichoszociális támogatásának elősegítésére;</w:t>
      </w:r>
    </w:p>
    <w:p w14:paraId="6C370ED5" w14:textId="30379A0F" w:rsidR="006E2DDF" w:rsidRPr="00BB75B8" w:rsidRDefault="00BB75B8" w:rsidP="00E54777">
      <w:pPr>
        <w:pStyle w:val="NormalHanging12a"/>
        <w:widowControl/>
        <w:rPr>
          <w:szCs w:val="24"/>
        </w:rPr>
      </w:pPr>
      <w:r>
        <w:t>19</w:t>
      </w:r>
      <w:r w:rsidR="006E2DDF" w:rsidRPr="00BB75B8">
        <w:t>.</w:t>
      </w:r>
      <w:r w:rsidR="006E2DDF" w:rsidRPr="00BB75B8">
        <w:tab/>
        <w:t>felhívja a harcban álló feleket, hogy hagyjanak fel a szudáni aktivisták, emberijog-védők, újságírók és a civil társadalom képviselői elleni célzott támadásokkal és zaklatással;</w:t>
      </w:r>
    </w:p>
    <w:p w14:paraId="1740EB68" w14:textId="601E01FF" w:rsidR="006E2DDF" w:rsidRPr="00BB75B8" w:rsidRDefault="00BB75B8" w:rsidP="00E54777">
      <w:pPr>
        <w:pStyle w:val="NormalHanging12a"/>
        <w:widowControl/>
        <w:rPr>
          <w:szCs w:val="24"/>
        </w:rPr>
      </w:pPr>
      <w:r>
        <w:lastRenderedPageBreak/>
        <w:t>20</w:t>
      </w:r>
      <w:r w:rsidR="006E2DDF" w:rsidRPr="00BB75B8">
        <w:t>.</w:t>
      </w:r>
      <w:r w:rsidR="006E2DDF" w:rsidRPr="00BB75B8">
        <w:tab/>
        <w:t>sürgeti az összes felet, hogy tartsák tiszteletben a nemzetközi humanitárius jog és az emberi jogi jogszabályok szerinti kötelezettségeiket, minden lehetséges eszközt bevetve a polgári lakosság és a polgári javak védelme érdekében; hangsúlyozza, hogy a szudáni konfliktus kezelésére irányuló erőfeszítések során prioritásként kell kezelni a szudáni nők és lányok helyzetének kezelését, különös tekintettel a konfliktusokkal kapcsolatos szexuális erőszakra; hangsúlyozza, hogy megfelelő támogatásra van szükség a sürgősségi szociális szolgálatok számára, és külön támogatást kell nyújtani a szexuális és nemi alapú erőszak túlélőinek védelmére, ellátására, kezelésére és az őket támogató mechanizmusokra;</w:t>
      </w:r>
    </w:p>
    <w:p w14:paraId="3093A928" w14:textId="7A3F7796" w:rsidR="006E2DDF" w:rsidRPr="00BB75B8" w:rsidRDefault="00BB75B8" w:rsidP="00E54777">
      <w:pPr>
        <w:pStyle w:val="NormalHanging12a"/>
        <w:widowControl/>
      </w:pPr>
      <w:r>
        <w:t>21</w:t>
      </w:r>
      <w:r w:rsidR="006E2DDF" w:rsidRPr="00BB75B8">
        <w:t>.</w:t>
      </w:r>
      <w:r w:rsidR="006E2DDF" w:rsidRPr="00BB75B8">
        <w:tab/>
        <w:t>felhívja a Szudánnal szomszédos országokat, hogy nyissák meg határaikat a szudáni menekültek előtt, továbbá felhívja az EU-t és tagállamait, hogy gyorsan növeljék a sürgősségi finanszírozást a Szudánban és a szomszédos országok menekülttáboraiban történő humanitárius segítségnyújtás számára;</w:t>
      </w:r>
    </w:p>
    <w:p w14:paraId="2BCD3C19" w14:textId="6FDBC188" w:rsidR="006E2DDF" w:rsidRPr="00BB75B8" w:rsidRDefault="00BB75B8" w:rsidP="00E54777">
      <w:pPr>
        <w:pStyle w:val="NormalHanging12a"/>
        <w:widowControl/>
      </w:pPr>
      <w:r>
        <w:t>22</w:t>
      </w:r>
      <w:r w:rsidR="006E2DDF" w:rsidRPr="00BB75B8">
        <w:t>.</w:t>
      </w:r>
      <w:r w:rsidR="006E2DDF" w:rsidRPr="00BB75B8">
        <w:tab/>
        <w:t>kiemeli annak súlyos kockázatát, hogy a szudáni konfliktus átterjed más kiszolgáltatott régiókra, például Afrika szarvára és a Száhel-övezetre, és mély aggodalmát fejezi ki a szudáni válságnak az Európába irányuló irreguláris migrációs áramlatokra gyakorolt hatásai miatt;</w:t>
      </w:r>
    </w:p>
    <w:p w14:paraId="7B875961" w14:textId="5C9C6AFA" w:rsidR="006E2DDF" w:rsidRPr="00BB75B8" w:rsidRDefault="00BB75B8" w:rsidP="00E54777">
      <w:pPr>
        <w:pStyle w:val="NormalHanging12a"/>
        <w:widowControl/>
      </w:pPr>
      <w:r>
        <w:t>23</w:t>
      </w:r>
      <w:r w:rsidR="006E2DDF" w:rsidRPr="00BB75B8">
        <w:t>.</w:t>
      </w:r>
      <w:r w:rsidR="006E2DDF" w:rsidRPr="00BB75B8">
        <w:tab/>
        <w:t>sürgeti a Tanácsot és a Bizottságot, hogy tartsák fenn és növeljék a Szudán és a régió számára elkülönített 273 millió EUR összegű uniós humanitárius kötelezettségvállalást, biztosítva, hogy a források eljussanak a leginkább rászorulókhoz;</w:t>
      </w:r>
    </w:p>
    <w:p w14:paraId="127CD753" w14:textId="77C0DA4D" w:rsidR="006E2DDF" w:rsidRPr="00BB75B8" w:rsidRDefault="00BB75B8" w:rsidP="00E54777">
      <w:pPr>
        <w:pStyle w:val="NormalHanging12a"/>
        <w:widowControl/>
      </w:pPr>
      <w:r>
        <w:t>24</w:t>
      </w:r>
      <w:r w:rsidR="006E2DDF" w:rsidRPr="00BB75B8">
        <w:t>.</w:t>
      </w:r>
      <w:r w:rsidR="006E2DDF" w:rsidRPr="00BB75B8">
        <w:tab/>
        <w:t>követeli, hogy a szudáni nép ellen elkövetett valamennyi bűncselekmény elkövetőit haladéktalanul vonják felelősségre; felhívja az EU-t és a tagállamokat, hogy támogassák a Nemzetközi Büntetőbíróság joghatóságának Szudán egészére történő kiterjesztését, az IIFFM ajánlásának megfelelően egy független igazságszolgáltatási mechanizmus létrehozását, valamint a nemzeti eljárások univerzális joghatóság alá vonását;</w:t>
      </w:r>
    </w:p>
    <w:p w14:paraId="5A5D5302" w14:textId="3C83A1E0" w:rsidR="006E2DDF" w:rsidRPr="00BB75B8" w:rsidRDefault="00BB75B8" w:rsidP="00E54777">
      <w:pPr>
        <w:pStyle w:val="NormalHanging12a"/>
        <w:widowControl/>
      </w:pPr>
      <w:r>
        <w:t>25</w:t>
      </w:r>
      <w:r w:rsidR="006E2DDF" w:rsidRPr="00BB75B8">
        <w:t>.</w:t>
      </w:r>
      <w:r w:rsidR="006E2DDF" w:rsidRPr="00BB75B8">
        <w:tab/>
        <w:t>hangsúlyozza, hogy az elszámoltathatóság jogi és erkölcsi kötelesség; hangsúlyozza, hogy az igazságszolgáltatás nem várhat, és hogy a nemzetközi közösségnek határozottan fel kell lépnie a nemzetközi jog szerint felelős személyek büntetőeljárás alá vonása érdekében;</w:t>
      </w:r>
    </w:p>
    <w:p w14:paraId="494654FC" w14:textId="20E5E96A" w:rsidR="006E2DDF" w:rsidRPr="00BB75B8" w:rsidRDefault="00BB75B8" w:rsidP="00E54777">
      <w:pPr>
        <w:pStyle w:val="NormalHanging12a"/>
        <w:widowControl/>
      </w:pPr>
      <w:r>
        <w:t>26</w:t>
      </w:r>
      <w:r w:rsidR="006E2DDF" w:rsidRPr="00BB75B8">
        <w:t>.</w:t>
      </w:r>
      <w:r w:rsidR="006E2DDF" w:rsidRPr="00BB75B8">
        <w:tab/>
        <w:t>azonnali, hatékony, alapos, független, pártatlan és átlátható vizsgálatokra szólít fel az elkövetők – köztük a parancsnoki láncba tartozók – felelősségre vonása érdekében;</w:t>
      </w:r>
    </w:p>
    <w:p w14:paraId="2A37188C" w14:textId="2F385596" w:rsidR="006E2DDF" w:rsidRDefault="00BB75B8" w:rsidP="00E54777">
      <w:pPr>
        <w:pStyle w:val="NormalHanging12a"/>
        <w:widowControl/>
      </w:pPr>
      <w:r>
        <w:t>27</w:t>
      </w:r>
      <w:r w:rsidR="006E2DDF" w:rsidRPr="00BB75B8">
        <w:t>.</w:t>
      </w:r>
      <w:r w:rsidR="006E2DDF" w:rsidRPr="00BB75B8">
        <w:tab/>
        <w:t>felhívja az EU-t és tagállamait, hogy kettőzzék meg diplomáciai erőfeszítéseiket mindkét harcban álló fél irányában, használjanak fel minden rendelkezésükre álló eszközt az összes elszámoltathatósági mechanizmushoz való hozzáférés biztosítása érdekében, lépjenek fel sürgősen az emberi jogok és a nemzetközi humanitárius jog Szudánban történő súlyos megsértésével szemben, és vonják felelősségre az elkövetőket e jogsértésekért;</w:t>
      </w:r>
    </w:p>
    <w:p w14:paraId="7AC9944D" w14:textId="1F38194F" w:rsidR="00BB75B8" w:rsidRPr="00BB75B8" w:rsidRDefault="00BB75B8" w:rsidP="00E54777">
      <w:pPr>
        <w:pStyle w:val="NormalHanging12a"/>
        <w:widowControl/>
      </w:pPr>
      <w:r>
        <w:t>28</w:t>
      </w:r>
      <w:r w:rsidRPr="00BB75B8">
        <w:t>.</w:t>
      </w:r>
      <w:r w:rsidRPr="00BB75B8">
        <w:tab/>
        <w:t xml:space="preserve">hangsúlyozza, hogy az EU jelenlegi korlátozó intézkedései fontosak, de továbbra sem elegendőek a folyamatban lévő atrocitások megállításához; ezért mélyebb és tartós diplomáciai szerepvállalásra szólít fel, különösen az Európai Unió Afrika szarváért felelős különleges képviselőjén, Annette Weberen keresztül, valamint konkrét elszámoltathatósági intézkedésekre szólít fel mind az elkövetők, mind bűntársaik ellen világszerte; szorgalmazza továbbá egy szudáni uniós különmegbízott kinevezését, aki </w:t>
      </w:r>
      <w:r w:rsidRPr="00BB75B8">
        <w:lastRenderedPageBreak/>
        <w:t>erős felhatalmazással rendelkezik az uniós fellépés koordinálására, a regionális partnerekkel való kapcsolattartásra, a diplomáciai szerepvállalás megkönnyítésére, valamint a szudáni civil társadalom, az emberijog-védők, az újságírók és a demokratikus szereplők következetes támogatásának biztosítására</w:t>
      </w:r>
      <w:r>
        <w:t>;</w:t>
      </w:r>
    </w:p>
    <w:p w14:paraId="1EB573E6" w14:textId="462FBFEB" w:rsidR="006E2DDF" w:rsidRDefault="00BB75B8" w:rsidP="00E54777">
      <w:pPr>
        <w:pStyle w:val="NormalHanging12a"/>
        <w:widowControl/>
      </w:pPr>
      <w:r>
        <w:t>29</w:t>
      </w:r>
      <w:r w:rsidR="006E2DDF" w:rsidRPr="00BB75B8">
        <w:t>.</w:t>
      </w:r>
      <w:r w:rsidR="006E2DDF" w:rsidRPr="00BB75B8">
        <w:tab/>
        <w:t>sürgeti az EU-t, hogy az EU globális emberi jogi szankciórendszere keretében alkalmazzon célzott szankciókat az RSF és a SAF kulcsfontosságú parancsnokaira, köztük Abd el-Fattáh el-Burhán és Mohamed Hamdan „Hemedti” Dagalo tábornokokra és hálózataikra, valamint a finanszírozókra és a külső támogatókra a nemzetközi humanitárius jog súlyos megsértésében való felelősségük miatt;</w:t>
      </w:r>
    </w:p>
    <w:p w14:paraId="1EBDAB88" w14:textId="30E27A81" w:rsidR="00BB75B8" w:rsidRPr="00BB75B8" w:rsidRDefault="00BB75B8" w:rsidP="00E54777">
      <w:pPr>
        <w:pStyle w:val="NormalHanging12a"/>
        <w:widowControl/>
        <w:rPr>
          <w:rFonts w:eastAsia="Aptos"/>
          <w:kern w:val="2"/>
          <w:szCs w:val="24"/>
          <w14:ligatures w14:val="standardContextual"/>
        </w:rPr>
      </w:pPr>
      <w:r>
        <w:rPr>
          <w:rFonts w:eastAsia="Aptos"/>
          <w:kern w:val="2"/>
          <w:szCs w:val="24"/>
          <w14:ligatures w14:val="standardContextual"/>
        </w:rPr>
        <w:t>30</w:t>
      </w:r>
      <w:r w:rsidRPr="00BB75B8">
        <w:rPr>
          <w:rFonts w:eastAsia="Aptos"/>
          <w:kern w:val="2"/>
          <w:szCs w:val="24"/>
          <w14:ligatures w14:val="standardContextual"/>
        </w:rPr>
        <w:t>.</w:t>
      </w:r>
      <w:r w:rsidRPr="00BB75B8">
        <w:rPr>
          <w:rFonts w:eastAsia="Aptos"/>
          <w:kern w:val="2"/>
          <w:szCs w:val="24"/>
          <w14:ligatures w14:val="standardContextual"/>
        </w:rPr>
        <w:tab/>
        <w:t>felhívja a Tanácsot, hogy sürgősen indítsa el az annak értékelésére irányuló eljárást, hogy az RSF esetében teljesülnek-e a terroristák uniós jegyzékébe való felvétel kritériumai, biztosítva az intézkedéseire vonatkozó érdemi bizonyítékok szigorú felülvizsgálatát, és indokolt esetben az uniós tagállamok egyhangúlag döntsenek a felvételről;</w:t>
      </w:r>
    </w:p>
    <w:p w14:paraId="322C0B82" w14:textId="7B82826C" w:rsidR="006E2DDF" w:rsidRPr="00BB75B8" w:rsidRDefault="00BB75B8" w:rsidP="00E54777">
      <w:pPr>
        <w:pStyle w:val="NormalHanging12a"/>
        <w:widowControl/>
      </w:pPr>
      <w:r>
        <w:t>31</w:t>
      </w:r>
      <w:r w:rsidR="006E2DDF" w:rsidRPr="00BB75B8">
        <w:t>.</w:t>
      </w:r>
      <w:r w:rsidR="006E2DDF" w:rsidRPr="00BB75B8">
        <w:tab/>
        <w:t>felhívja a Bizottság alelnökét/az Unió külügyi és biztonságpolitikai főképviselőjét, a Bizottságot, a Tanácsot és a tagállamokat, hogy a népirtás bűntettének megelőzéséről és megbüntetéséről szóló ENSZ-egyezmény szerinti kötelezettségeikre tekintettel tegyenek határozott lépéseket és szorosan működjenek együtt a nemzetközi partnerekkel a szudáni népirtás megelőzése érdekében;</w:t>
      </w:r>
    </w:p>
    <w:p w14:paraId="5EC2429B" w14:textId="58D26816" w:rsidR="006E2DDF" w:rsidRPr="00BB75B8" w:rsidRDefault="00BB75B8" w:rsidP="00E54777">
      <w:pPr>
        <w:pStyle w:val="NormalHanging12a"/>
        <w:widowControl/>
      </w:pPr>
      <w:r>
        <w:t>32</w:t>
      </w:r>
      <w:r w:rsidR="006E2DDF" w:rsidRPr="00BB75B8">
        <w:t>.</w:t>
      </w:r>
      <w:r w:rsidR="006E2DDF" w:rsidRPr="00BB75B8">
        <w:tab/>
        <w:t>sürgeti a konfliktusban részt vevő valamennyi felet, hogy konstruktívan kezdeményezzenek inkluzív tűzszüneti tárgyalásokat, és hangsúlyozza, hogy sürgősen szükség van egy hiteles és inkluzív közvetítési folyamatra; sürget minden olyan külső szereplőt, amely közvetlenül vagy közvetve fegyvereket, pénzügyi támogatást vagy bármilyen egyéb támogatást biztosít a harcban álló feleknek, hogy haladéktalanul szüntesse meg ezt a támogatást, és tartsa tiszteletben az ENSZ fegyverembargóját; megjegyzi, hogy a jelenlegi fegyverembargó Dárfúrra korlátozódik, és kéri annak Szudán egészére történő kiterjesztését;</w:t>
      </w:r>
    </w:p>
    <w:p w14:paraId="5D821FFB" w14:textId="1AF001C4" w:rsidR="006E2DDF" w:rsidRPr="00BB75B8" w:rsidRDefault="00BB75B8" w:rsidP="00E54777">
      <w:pPr>
        <w:pStyle w:val="NormalHanging12a"/>
        <w:widowControl/>
      </w:pPr>
      <w:r>
        <w:t>33</w:t>
      </w:r>
      <w:r w:rsidR="006E2DDF" w:rsidRPr="00BB75B8">
        <w:t>.</w:t>
      </w:r>
      <w:r w:rsidR="006E2DDF" w:rsidRPr="00BB75B8">
        <w:tab/>
        <w:t>üdvözli a kvartett (azaz Egyiptom, Szaúd-Arábia, az Egyesült Arab Emírségek és az Egyesült Államok) által 2025. szeptember 12-én kiadott, a szudáni konfliktus lezárásáról szóló együttes nyilatkozatot, és emlékeztet arra, hogy a kvartett továbbra is a konfliktus egyetlen elismert közvetítési formája; támogatja az Afrikai Unió és a Kormányközi Fejlesztési Hatóság arra irányuló erőfeszítéseit, hogy összehangolják a valamennyi félre kifejtett nemzetközi és kétoldalú nyomást a tűzszünet biztosítása, a humanitárius hozzáférés javítása és az inkluzív politikai párbeszéd újraindítása érdekében, olyan partnerekkel együttműködve, mint az EU, az Arab Államok Ligája és az ENSZ;</w:t>
      </w:r>
    </w:p>
    <w:p w14:paraId="6411BAB2" w14:textId="048073A7" w:rsidR="000C7770" w:rsidRPr="000C7770" w:rsidRDefault="00BB75B8" w:rsidP="00E54777">
      <w:pPr>
        <w:pStyle w:val="NormalHanging12a"/>
        <w:widowControl/>
      </w:pPr>
      <w:r>
        <w:t>34</w:t>
      </w:r>
      <w:r w:rsidR="006E2DDF" w:rsidRPr="00BB75B8">
        <w:t>.</w:t>
      </w:r>
      <w:r w:rsidR="006E2DDF" w:rsidRPr="00BB75B8">
        <w:tab/>
        <w:t>utasítja elnökét, hogy továbbítsa ezt az állásfoglalást a Tanácsnak, a Bizottságnak, a Bizottság alelnökének/az Unió külügyi és biztonságpolitikai főképviselőjének, a tagállamok kormányainak és parlamentjeinek, az Afrikai Uniónak, az Egyesült Nemzetek Szervezete főtitkárának, az ENSZ Emberi Jogi Tanácsának, a Nemzetközi Büntetőbíróságnak és a szudáni hatóságoknak.</w:t>
      </w:r>
    </w:p>
    <w:sectPr w:rsidR="000C7770" w:rsidRPr="000C7770" w:rsidSect="000C777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DC464" w14:textId="77777777" w:rsidR="004E6D6B" w:rsidRPr="000C7770" w:rsidRDefault="004E6D6B">
      <w:r w:rsidRPr="000C7770">
        <w:separator/>
      </w:r>
    </w:p>
  </w:endnote>
  <w:endnote w:type="continuationSeparator" w:id="0">
    <w:p w14:paraId="3AF19DAE" w14:textId="77777777" w:rsidR="004E6D6B" w:rsidRPr="000C7770" w:rsidRDefault="004E6D6B">
      <w:r w:rsidRPr="000C77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24B46" w14:textId="77777777" w:rsidR="00064002" w:rsidRPr="000C777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0EE3D" w14:textId="77777777" w:rsidR="00064002" w:rsidRPr="000C777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29650" w14:textId="77777777" w:rsidR="00064002" w:rsidRPr="000C77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06793" w14:textId="77777777" w:rsidR="004E6D6B" w:rsidRPr="000C7770" w:rsidRDefault="004E6D6B">
      <w:r w:rsidRPr="000C7770">
        <w:separator/>
      </w:r>
    </w:p>
  </w:footnote>
  <w:footnote w:type="continuationSeparator" w:id="0">
    <w:p w14:paraId="09BAA69C" w14:textId="77777777" w:rsidR="004E6D6B" w:rsidRPr="000C7770" w:rsidRDefault="004E6D6B">
      <w:r w:rsidRPr="000C7770">
        <w:continuationSeparator/>
      </w:r>
    </w:p>
  </w:footnote>
  <w:footnote w:id="1">
    <w:p w14:paraId="5C7B5F8A" w14:textId="07C65578" w:rsidR="006E2DDF" w:rsidRPr="000C7770" w:rsidRDefault="006E2DDF" w:rsidP="000C7770">
      <w:pPr>
        <w:pStyle w:val="FootnoteText"/>
        <w:ind w:left="567" w:hanging="567"/>
        <w:rPr>
          <w:sz w:val="24"/>
          <w:lang w:val="hu-HU"/>
        </w:rPr>
      </w:pPr>
      <w:r w:rsidRPr="000C7770">
        <w:rPr>
          <w:rStyle w:val="FootnoteReference"/>
          <w:sz w:val="24"/>
          <w:lang w:val="hu-HU"/>
        </w:rPr>
        <w:footnoteRef/>
      </w:r>
      <w:r w:rsidR="000C7770" w:rsidRPr="000C7770">
        <w:rPr>
          <w:sz w:val="24"/>
          <w:lang w:val="hu-HU"/>
        </w:rPr>
        <w:t xml:space="preserve"> </w:t>
      </w:r>
      <w:r w:rsidR="000C7770" w:rsidRPr="000C7770">
        <w:rPr>
          <w:sz w:val="24"/>
          <w:lang w:val="hu-HU"/>
        </w:rPr>
        <w:tab/>
      </w:r>
      <w:r w:rsidRPr="000C7770">
        <w:rPr>
          <w:sz w:val="24"/>
          <w:lang w:val="hu-HU"/>
        </w:rPr>
        <w:t xml:space="preserve">HL C, </w:t>
      </w:r>
      <w:r w:rsidR="0038348A">
        <w:rPr>
          <w:sz w:val="24"/>
          <w:lang w:val="hu-HU"/>
        </w:rPr>
        <w:t>C/</w:t>
      </w:r>
      <w:r w:rsidRPr="000C7770">
        <w:rPr>
          <w:sz w:val="24"/>
          <w:lang w:val="hu-HU"/>
        </w:rPr>
        <w:t xml:space="preserve">2024/486, 2024.1.23., ELI: </w:t>
      </w:r>
      <w:hyperlink r:id="rId1" w:history="1">
        <w:r w:rsidRPr="000C7770">
          <w:rPr>
            <w:rStyle w:val="Hyperlink"/>
            <w:sz w:val="24"/>
            <w:lang w:val="hu-HU"/>
          </w:rPr>
          <w:t>http://data.europa.eu/eli/C/2024/486/oj</w:t>
        </w:r>
      </w:hyperlink>
      <w:r w:rsidRPr="000C7770">
        <w:rPr>
          <w:sz w:val="24"/>
          <w:lang w:val="hu-HU"/>
        </w:rPr>
        <w:t>.</w:t>
      </w:r>
    </w:p>
  </w:footnote>
  <w:footnote w:id="2">
    <w:p w14:paraId="040D29EC" w14:textId="76E2261D" w:rsidR="006E2DDF" w:rsidRPr="000C7770" w:rsidRDefault="006E2DDF" w:rsidP="000C7770">
      <w:pPr>
        <w:pStyle w:val="FootnoteText"/>
        <w:ind w:left="567" w:hanging="567"/>
        <w:rPr>
          <w:sz w:val="24"/>
          <w:lang w:val="hu-HU"/>
        </w:rPr>
      </w:pPr>
      <w:r w:rsidRPr="000C7770">
        <w:rPr>
          <w:rStyle w:val="FootnoteReference"/>
          <w:sz w:val="24"/>
          <w:lang w:val="hu-HU"/>
        </w:rPr>
        <w:footnoteRef/>
      </w:r>
      <w:r w:rsidR="000C7770" w:rsidRPr="000C7770">
        <w:rPr>
          <w:sz w:val="24"/>
          <w:lang w:val="hu-HU"/>
        </w:rPr>
        <w:t xml:space="preserve"> </w:t>
      </w:r>
      <w:r w:rsidR="000C7770" w:rsidRPr="000C7770">
        <w:rPr>
          <w:sz w:val="24"/>
          <w:lang w:val="hu-HU"/>
        </w:rPr>
        <w:tab/>
      </w:r>
      <w:r w:rsidRPr="000C7770">
        <w:rPr>
          <w:sz w:val="24"/>
          <w:lang w:val="hu-HU"/>
        </w:rPr>
        <w:t>HL C, </w:t>
      </w:r>
      <w:r w:rsidR="0038348A">
        <w:rPr>
          <w:sz w:val="24"/>
          <w:lang w:val="hu-HU"/>
        </w:rPr>
        <w:t>C/</w:t>
      </w:r>
      <w:r w:rsidRPr="000C7770">
        <w:rPr>
          <w:sz w:val="24"/>
          <w:lang w:val="hu-HU"/>
        </w:rPr>
        <w:t xml:space="preserve">2025/3154, 2025.6.20., ELI: </w:t>
      </w:r>
      <w:hyperlink r:id="rId2" w:history="1">
        <w:r w:rsidRPr="000C7770">
          <w:rPr>
            <w:rStyle w:val="Hyperlink"/>
            <w:sz w:val="24"/>
            <w:lang w:val="hu-HU"/>
          </w:rPr>
          <w:t>http://data.europa.eu/eli/C/2025/3154/oj</w:t>
        </w:r>
      </w:hyperlink>
      <w:r w:rsidRPr="000C7770">
        <w:rPr>
          <w:sz w:val="24"/>
          <w:lang w:val="hu-HU"/>
        </w:rPr>
        <w:t>.</w:t>
      </w:r>
    </w:p>
  </w:footnote>
  <w:footnote w:id="3">
    <w:p w14:paraId="080DEEB9" w14:textId="7C2E4F36" w:rsidR="006E2DDF" w:rsidRPr="000C7770" w:rsidRDefault="006E2DDF" w:rsidP="000C7770">
      <w:pPr>
        <w:pStyle w:val="FootnoteText"/>
        <w:ind w:left="567" w:hanging="567"/>
        <w:rPr>
          <w:sz w:val="24"/>
          <w:lang w:val="hu-HU"/>
        </w:rPr>
      </w:pPr>
      <w:r w:rsidRPr="000C7770">
        <w:rPr>
          <w:rStyle w:val="FootnoteReference"/>
          <w:sz w:val="24"/>
          <w:lang w:val="hu-HU"/>
        </w:rPr>
        <w:footnoteRef/>
      </w:r>
      <w:r w:rsidR="000C7770" w:rsidRPr="000C7770">
        <w:rPr>
          <w:sz w:val="24"/>
          <w:lang w:val="hu-HU"/>
        </w:rPr>
        <w:t xml:space="preserve"> </w:t>
      </w:r>
      <w:r w:rsidR="000C7770" w:rsidRPr="000C7770">
        <w:rPr>
          <w:sz w:val="24"/>
          <w:lang w:val="hu-HU"/>
        </w:rPr>
        <w:tab/>
      </w:r>
      <w:r w:rsidRPr="000C7770">
        <w:rPr>
          <w:sz w:val="24"/>
          <w:lang w:val="hu-HU"/>
        </w:rPr>
        <w:t xml:space="preserve">HL L, 2024/383, 2024.1.22., ELI: </w:t>
      </w:r>
      <w:hyperlink r:id="rId3" w:history="1">
        <w:r w:rsidRPr="000C7770">
          <w:rPr>
            <w:rStyle w:val="Hyperlink"/>
            <w:sz w:val="24"/>
            <w:lang w:val="hu-HU"/>
          </w:rPr>
          <w:t>http://data.europa.eu/eli/dec/2024/383/oj</w:t>
        </w:r>
      </w:hyperlink>
      <w:r w:rsidRPr="000C7770">
        <w:rPr>
          <w:sz w:val="24"/>
          <w:lang w:val="hu-HU"/>
        </w:rPr>
        <w:t>.</w:t>
      </w:r>
    </w:p>
  </w:footnote>
  <w:footnote w:id="4">
    <w:p w14:paraId="198BD439" w14:textId="3142B640" w:rsidR="006E2DDF" w:rsidRPr="000C7770" w:rsidRDefault="006E2DDF" w:rsidP="000C7770">
      <w:pPr>
        <w:pStyle w:val="FootnoteText"/>
        <w:ind w:left="567" w:hanging="567"/>
        <w:rPr>
          <w:sz w:val="24"/>
          <w:lang w:val="hu-HU"/>
        </w:rPr>
      </w:pPr>
      <w:r w:rsidRPr="000C7770">
        <w:rPr>
          <w:rStyle w:val="FootnoteReference"/>
          <w:sz w:val="24"/>
          <w:lang w:val="hu-HU"/>
        </w:rPr>
        <w:footnoteRef/>
      </w:r>
      <w:r w:rsidR="000C7770" w:rsidRPr="000C7770">
        <w:rPr>
          <w:sz w:val="24"/>
          <w:lang w:val="hu-HU"/>
        </w:rPr>
        <w:t xml:space="preserve"> </w:t>
      </w:r>
      <w:r w:rsidR="000C7770" w:rsidRPr="000C7770">
        <w:rPr>
          <w:sz w:val="24"/>
          <w:lang w:val="hu-HU"/>
        </w:rPr>
        <w:tab/>
      </w:r>
      <w:r w:rsidRPr="000C7770">
        <w:rPr>
          <w:sz w:val="24"/>
          <w:lang w:val="hu-HU"/>
        </w:rPr>
        <w:t xml:space="preserve">HL L, 2024/1784, 2024.6.24., ELI: </w:t>
      </w:r>
      <w:hyperlink r:id="rId4" w:history="1">
        <w:r w:rsidRPr="000C7770">
          <w:rPr>
            <w:rStyle w:val="Hyperlink"/>
            <w:sz w:val="24"/>
            <w:lang w:val="hu-HU"/>
          </w:rPr>
          <w:t>http://data.europa.eu/eli/dec/2024/1784/oj</w:t>
        </w:r>
      </w:hyperlink>
      <w:r w:rsidRPr="000C7770">
        <w:rPr>
          <w:sz w:val="24"/>
          <w:lang w:val="hu-HU"/>
        </w:rPr>
        <w:t>.</w:t>
      </w:r>
    </w:p>
  </w:footnote>
  <w:footnote w:id="5">
    <w:p w14:paraId="24595E35" w14:textId="7F65CF65" w:rsidR="006E2DDF" w:rsidRPr="000C7770" w:rsidRDefault="006E2DDF" w:rsidP="000C7770">
      <w:pPr>
        <w:pStyle w:val="FootnoteText"/>
        <w:ind w:left="567" w:hanging="567"/>
        <w:rPr>
          <w:sz w:val="24"/>
          <w:lang w:val="hu-HU"/>
        </w:rPr>
      </w:pPr>
      <w:r w:rsidRPr="000C7770">
        <w:rPr>
          <w:rStyle w:val="FootnoteReference"/>
          <w:sz w:val="24"/>
          <w:lang w:val="hu-HU"/>
        </w:rPr>
        <w:footnoteRef/>
      </w:r>
      <w:r w:rsidR="000C7770" w:rsidRPr="000C7770">
        <w:rPr>
          <w:sz w:val="24"/>
          <w:lang w:val="hu-HU"/>
        </w:rPr>
        <w:t xml:space="preserve"> </w:t>
      </w:r>
      <w:r w:rsidR="000C7770" w:rsidRPr="000C7770">
        <w:rPr>
          <w:sz w:val="24"/>
          <w:lang w:val="hu-HU"/>
        </w:rPr>
        <w:tab/>
      </w:r>
      <w:r w:rsidRPr="000C7770">
        <w:rPr>
          <w:sz w:val="24"/>
          <w:lang w:val="hu-HU"/>
        </w:rPr>
        <w:t xml:space="preserve">HL L, 2024/2655, 2024.10.9., ELI: </w:t>
      </w:r>
      <w:hyperlink r:id="rId5" w:history="1">
        <w:r w:rsidRPr="000C7770">
          <w:rPr>
            <w:rStyle w:val="Hyperlink"/>
            <w:sz w:val="24"/>
            <w:lang w:val="hu-HU"/>
          </w:rPr>
          <w:t>http://data.europa.eu/eli/dec/2024/2655/oj</w:t>
        </w:r>
      </w:hyperlink>
      <w:r w:rsidRPr="000C7770">
        <w:rPr>
          <w:sz w:val="24"/>
          <w:lang w:val="hu-HU"/>
        </w:rPr>
        <w:t>.</w:t>
      </w:r>
    </w:p>
  </w:footnote>
  <w:footnote w:id="6">
    <w:p w14:paraId="137FE662" w14:textId="41337B03" w:rsidR="006E2DDF" w:rsidRPr="000C7770" w:rsidRDefault="006E2DDF" w:rsidP="000C7770">
      <w:pPr>
        <w:pStyle w:val="FootnoteText"/>
        <w:ind w:left="567" w:hanging="567"/>
        <w:rPr>
          <w:sz w:val="24"/>
          <w:lang w:val="hu-HU"/>
        </w:rPr>
      </w:pPr>
      <w:r w:rsidRPr="000C7770">
        <w:rPr>
          <w:rStyle w:val="FootnoteReference"/>
          <w:sz w:val="24"/>
          <w:lang w:val="hu-HU"/>
        </w:rPr>
        <w:footnoteRef/>
      </w:r>
      <w:r w:rsidR="000C7770" w:rsidRPr="000C7770">
        <w:rPr>
          <w:sz w:val="24"/>
          <w:lang w:val="hu-HU"/>
        </w:rPr>
        <w:t xml:space="preserve"> </w:t>
      </w:r>
      <w:r w:rsidR="000C7770" w:rsidRPr="000C7770">
        <w:rPr>
          <w:sz w:val="24"/>
          <w:lang w:val="hu-HU"/>
        </w:rPr>
        <w:tab/>
      </w:r>
      <w:r w:rsidRPr="000C7770">
        <w:rPr>
          <w:sz w:val="24"/>
          <w:lang w:val="hu-HU"/>
        </w:rPr>
        <w:t xml:space="preserve">HL L, 2024/3154, 2024.12.16., ELI: </w:t>
      </w:r>
      <w:hyperlink r:id="rId6" w:history="1">
        <w:r w:rsidRPr="000C7770">
          <w:rPr>
            <w:rStyle w:val="Hyperlink"/>
            <w:sz w:val="24"/>
            <w:lang w:val="hu-HU"/>
          </w:rPr>
          <w:t>http://data.europa.eu/eli/dec/2024/3154/oj</w:t>
        </w:r>
      </w:hyperlink>
      <w:r w:rsidRPr="000C7770">
        <w:rPr>
          <w:sz w:val="24"/>
          <w:lang w:val="hu-HU"/>
        </w:rPr>
        <w:t>.</w:t>
      </w:r>
    </w:p>
  </w:footnote>
  <w:footnote w:id="7">
    <w:p w14:paraId="2CB5E9E3" w14:textId="61C99CA6" w:rsidR="006E2DDF" w:rsidRPr="000C7770" w:rsidRDefault="006E2DDF" w:rsidP="000C7770">
      <w:pPr>
        <w:pStyle w:val="FootnoteText"/>
        <w:ind w:left="567" w:hanging="567"/>
        <w:rPr>
          <w:sz w:val="24"/>
          <w:lang w:val="hu-HU"/>
        </w:rPr>
      </w:pPr>
      <w:r w:rsidRPr="000C7770">
        <w:rPr>
          <w:rStyle w:val="FootnoteReference"/>
          <w:sz w:val="24"/>
          <w:lang w:val="hu-HU"/>
        </w:rPr>
        <w:footnoteRef/>
      </w:r>
      <w:r w:rsidR="000C7770" w:rsidRPr="000C7770">
        <w:rPr>
          <w:sz w:val="24"/>
          <w:lang w:val="hu-HU"/>
        </w:rPr>
        <w:t xml:space="preserve"> </w:t>
      </w:r>
      <w:r w:rsidR="000C7770" w:rsidRPr="000C7770">
        <w:rPr>
          <w:sz w:val="24"/>
          <w:lang w:val="hu-HU"/>
        </w:rPr>
        <w:tab/>
      </w:r>
      <w:r w:rsidRPr="000C7770">
        <w:rPr>
          <w:sz w:val="24"/>
          <w:lang w:val="hu-HU"/>
        </w:rPr>
        <w:t xml:space="preserve">HL L, 2025/377, 2025.2.25., ELI: </w:t>
      </w:r>
      <w:hyperlink r:id="rId7" w:history="1">
        <w:r w:rsidRPr="000C7770">
          <w:rPr>
            <w:rStyle w:val="Hyperlink"/>
            <w:sz w:val="24"/>
            <w:lang w:val="hu-HU"/>
          </w:rPr>
          <w:t>http://data.europa.eu/eli/dec/2025/377/oj</w:t>
        </w:r>
      </w:hyperlink>
      <w:r w:rsidRPr="000C7770">
        <w:rPr>
          <w:sz w:val="24"/>
          <w:lang w:val="hu-HU"/>
        </w:rPr>
        <w:t>.</w:t>
      </w:r>
    </w:p>
  </w:footnote>
  <w:footnote w:id="8">
    <w:p w14:paraId="59DA6A5A" w14:textId="14A0EDB4" w:rsidR="006E2DDF" w:rsidRPr="000C7770" w:rsidRDefault="006E2DDF" w:rsidP="000C7770">
      <w:pPr>
        <w:pStyle w:val="FootnoteText"/>
        <w:ind w:left="567" w:hanging="567"/>
        <w:rPr>
          <w:sz w:val="24"/>
          <w:lang w:val="hu-HU"/>
        </w:rPr>
      </w:pPr>
      <w:r w:rsidRPr="000C7770">
        <w:rPr>
          <w:rStyle w:val="FootnoteReference"/>
          <w:sz w:val="24"/>
          <w:lang w:val="hu-HU"/>
        </w:rPr>
        <w:footnoteRef/>
      </w:r>
      <w:r w:rsidR="000C7770" w:rsidRPr="000C7770">
        <w:rPr>
          <w:sz w:val="24"/>
          <w:lang w:val="hu-HU"/>
        </w:rPr>
        <w:t xml:space="preserve"> </w:t>
      </w:r>
      <w:r w:rsidR="000C7770" w:rsidRPr="000C7770">
        <w:rPr>
          <w:sz w:val="24"/>
          <w:lang w:val="hu-HU"/>
        </w:rPr>
        <w:tab/>
      </w:r>
      <w:r w:rsidRPr="000C7770">
        <w:rPr>
          <w:sz w:val="24"/>
          <w:lang w:val="hu-HU"/>
        </w:rPr>
        <w:t xml:space="preserve">HL L, 2025/1481, 2025.7.18., ELI: </w:t>
      </w:r>
      <w:hyperlink r:id="rId8" w:history="1">
        <w:r w:rsidRPr="000C7770">
          <w:rPr>
            <w:rStyle w:val="Hyperlink"/>
            <w:sz w:val="24"/>
            <w:lang w:val="hu-HU"/>
          </w:rPr>
          <w:t>http://data.europa.eu/eli/dec/2025/1481/oj</w:t>
        </w:r>
      </w:hyperlink>
      <w:r w:rsidRPr="000C7770">
        <w:rPr>
          <w:sz w:val="24"/>
          <w:lang w:val="hu-HU"/>
        </w:rPr>
        <w:t>.</w:t>
      </w:r>
    </w:p>
  </w:footnote>
  <w:footnote w:id="9">
    <w:p w14:paraId="2B2EE413" w14:textId="313BDE45" w:rsidR="006E2DDF" w:rsidRPr="000C7770" w:rsidRDefault="006E2DDF" w:rsidP="000C7770">
      <w:pPr>
        <w:pStyle w:val="FootnoteText"/>
        <w:ind w:left="567" w:hanging="567"/>
        <w:rPr>
          <w:sz w:val="24"/>
          <w:lang w:val="hu-HU"/>
        </w:rPr>
      </w:pPr>
      <w:r w:rsidRPr="000C7770">
        <w:rPr>
          <w:rStyle w:val="FootnoteReference"/>
          <w:sz w:val="24"/>
          <w:lang w:val="hu-HU"/>
        </w:rPr>
        <w:footnoteRef/>
      </w:r>
      <w:r w:rsidR="000C7770" w:rsidRPr="000C7770">
        <w:rPr>
          <w:sz w:val="24"/>
          <w:lang w:val="hu-HU"/>
        </w:rPr>
        <w:t xml:space="preserve"> </w:t>
      </w:r>
      <w:r w:rsidR="000C7770" w:rsidRPr="000C7770">
        <w:rPr>
          <w:sz w:val="24"/>
          <w:lang w:val="hu-HU"/>
        </w:rPr>
        <w:tab/>
      </w:r>
      <w:r w:rsidRPr="000C7770">
        <w:rPr>
          <w:sz w:val="24"/>
          <w:lang w:val="hu-HU"/>
        </w:rPr>
        <w:t>Elfogadott szövegek, P10_</w:t>
      </w:r>
      <w:proofErr w:type="gramStart"/>
      <w:r w:rsidRPr="000C7770">
        <w:rPr>
          <w:sz w:val="24"/>
          <w:lang w:val="hu-HU"/>
        </w:rPr>
        <w:t>TA(</w:t>
      </w:r>
      <w:proofErr w:type="gramEnd"/>
      <w:r w:rsidRPr="000C7770">
        <w:rPr>
          <w:sz w:val="24"/>
          <w:lang w:val="hu-HU"/>
        </w:rPr>
        <w:t>2025)0253.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12DC7" w14:textId="77777777" w:rsidR="00064002" w:rsidRPr="000C777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9A003" w14:textId="77777777" w:rsidR="00064002" w:rsidRPr="000C777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0E730" w14:textId="77777777" w:rsidR="00064002" w:rsidRPr="000C77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6827859">
    <w:abstractNumId w:val="9"/>
  </w:num>
  <w:num w:numId="2" w16cid:durableId="1745104468">
    <w:abstractNumId w:val="9"/>
  </w:num>
  <w:num w:numId="3" w16cid:durableId="1104154912">
    <w:abstractNumId w:val="7"/>
  </w:num>
  <w:num w:numId="4" w16cid:durableId="1149904074">
    <w:abstractNumId w:val="7"/>
  </w:num>
  <w:num w:numId="5" w16cid:durableId="1085496643">
    <w:abstractNumId w:val="6"/>
  </w:num>
  <w:num w:numId="6" w16cid:durableId="1504665039">
    <w:abstractNumId w:val="6"/>
  </w:num>
  <w:num w:numId="7" w16cid:durableId="1927837231">
    <w:abstractNumId w:val="5"/>
  </w:num>
  <w:num w:numId="8" w16cid:durableId="1616017768">
    <w:abstractNumId w:val="5"/>
  </w:num>
  <w:num w:numId="9" w16cid:durableId="1052732316">
    <w:abstractNumId w:val="4"/>
  </w:num>
  <w:num w:numId="10" w16cid:durableId="1879196107">
    <w:abstractNumId w:val="4"/>
  </w:num>
  <w:num w:numId="11" w16cid:durableId="97675859">
    <w:abstractNumId w:val="8"/>
  </w:num>
  <w:num w:numId="12" w16cid:durableId="1025013798">
    <w:abstractNumId w:val="8"/>
  </w:num>
  <w:num w:numId="13" w16cid:durableId="537661739">
    <w:abstractNumId w:val="3"/>
  </w:num>
  <w:num w:numId="14" w16cid:durableId="557936737">
    <w:abstractNumId w:val="3"/>
  </w:num>
  <w:num w:numId="15" w16cid:durableId="414479538">
    <w:abstractNumId w:val="2"/>
  </w:num>
  <w:num w:numId="16" w16cid:durableId="214053248">
    <w:abstractNumId w:val="2"/>
  </w:num>
  <w:num w:numId="17" w16cid:durableId="848176208">
    <w:abstractNumId w:val="1"/>
  </w:num>
  <w:num w:numId="18" w16cid:durableId="1390887216">
    <w:abstractNumId w:val="1"/>
  </w:num>
  <w:num w:numId="19" w16cid:durableId="1560440693">
    <w:abstractNumId w:val="0"/>
  </w:num>
  <w:num w:numId="20" w16cid:durableId="186875477">
    <w:abstractNumId w:val="0"/>
  </w:num>
  <w:num w:numId="21" w16cid:durableId="228927972">
    <w:abstractNumId w:val="9"/>
  </w:num>
  <w:num w:numId="22" w16cid:durableId="421882088">
    <w:abstractNumId w:val="7"/>
  </w:num>
  <w:num w:numId="23" w16cid:durableId="1602034402">
    <w:abstractNumId w:val="6"/>
  </w:num>
  <w:num w:numId="24" w16cid:durableId="739055634">
    <w:abstractNumId w:val="5"/>
  </w:num>
  <w:num w:numId="25" w16cid:durableId="171645869">
    <w:abstractNumId w:val="4"/>
  </w:num>
  <w:num w:numId="26" w16cid:durableId="1999075021">
    <w:abstractNumId w:val="8"/>
  </w:num>
  <w:num w:numId="27" w16cid:durableId="460615914">
    <w:abstractNumId w:val="3"/>
  </w:num>
  <w:num w:numId="28" w16cid:durableId="1236821331">
    <w:abstractNumId w:val="2"/>
  </w:num>
  <w:num w:numId="29" w16cid:durableId="736130489">
    <w:abstractNumId w:val="1"/>
  </w:num>
  <w:num w:numId="30" w16cid:durableId="1214460798">
    <w:abstractNumId w:val="0"/>
  </w:num>
  <w:num w:numId="31" w16cid:durableId="1615676389">
    <w:abstractNumId w:val="9"/>
  </w:num>
  <w:num w:numId="32" w16cid:durableId="531962706">
    <w:abstractNumId w:val="7"/>
  </w:num>
  <w:num w:numId="33" w16cid:durableId="442379896">
    <w:abstractNumId w:val="6"/>
  </w:num>
  <w:num w:numId="34" w16cid:durableId="1828015843">
    <w:abstractNumId w:val="5"/>
  </w:num>
  <w:num w:numId="35" w16cid:durableId="1345668542">
    <w:abstractNumId w:val="4"/>
  </w:num>
  <w:num w:numId="36" w16cid:durableId="1155730865">
    <w:abstractNumId w:val="8"/>
  </w:num>
  <w:num w:numId="37" w16cid:durableId="156305688">
    <w:abstractNumId w:val="3"/>
  </w:num>
  <w:num w:numId="38" w16cid:durableId="1371226173">
    <w:abstractNumId w:val="2"/>
  </w:num>
  <w:num w:numId="39" w16cid:durableId="1461997210">
    <w:abstractNumId w:val="1"/>
  </w:num>
  <w:num w:numId="40" w16cid:durableId="41026388">
    <w:abstractNumId w:val="0"/>
  </w:num>
  <w:num w:numId="41" w16cid:durableId="625813625">
    <w:abstractNumId w:val="10"/>
  </w:num>
  <w:num w:numId="42" w16cid:durableId="584532156">
    <w:abstractNumId w:val="10"/>
  </w:num>
  <w:num w:numId="43" w16cid:durableId="1833837436">
    <w:abstractNumId w:val="10"/>
  </w:num>
  <w:num w:numId="44" w16cid:durableId="17966365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33, 0539, 0542 és 0543/2025"/>
    <w:docVar w:name="dvlangue" w:val="HU"/>
    <w:docVar w:name="dvnumam" w:val="0"/>
    <w:docVar w:name="dvpe" w:val="779.006"/>
    <w:docVar w:name="dvtitre" w:val="Az Európai Parlament 2025. november 27-i állásfoglalása a háború eszkalációjáról és humanitárius katasztrófáról Szudánban(2025/2984(RSP))"/>
  </w:docVars>
  <w:rsids>
    <w:rsidRoot w:val="004E6D6B"/>
    <w:rsid w:val="00002272"/>
    <w:rsid w:val="00064002"/>
    <w:rsid w:val="000677B9"/>
    <w:rsid w:val="000831BA"/>
    <w:rsid w:val="000A42CC"/>
    <w:rsid w:val="000C7770"/>
    <w:rsid w:val="000E0DC3"/>
    <w:rsid w:val="000E7DD9"/>
    <w:rsid w:val="0010095E"/>
    <w:rsid w:val="00125B37"/>
    <w:rsid w:val="00187494"/>
    <w:rsid w:val="001F32AE"/>
    <w:rsid w:val="002767FF"/>
    <w:rsid w:val="002B18FE"/>
    <w:rsid w:val="002B5493"/>
    <w:rsid w:val="00343214"/>
    <w:rsid w:val="00361C00"/>
    <w:rsid w:val="0038348A"/>
    <w:rsid w:val="00395FA1"/>
    <w:rsid w:val="003E15D4"/>
    <w:rsid w:val="00411CCE"/>
    <w:rsid w:val="0041666E"/>
    <w:rsid w:val="00421060"/>
    <w:rsid w:val="00471C19"/>
    <w:rsid w:val="004867E3"/>
    <w:rsid w:val="00494A28"/>
    <w:rsid w:val="004C0004"/>
    <w:rsid w:val="004C5D52"/>
    <w:rsid w:val="004E6D6B"/>
    <w:rsid w:val="0050519A"/>
    <w:rsid w:val="005072A1"/>
    <w:rsid w:val="00514517"/>
    <w:rsid w:val="00545827"/>
    <w:rsid w:val="00560270"/>
    <w:rsid w:val="005C2568"/>
    <w:rsid w:val="005F1B17"/>
    <w:rsid w:val="006037C0"/>
    <w:rsid w:val="006631B6"/>
    <w:rsid w:val="00680577"/>
    <w:rsid w:val="006E2DDF"/>
    <w:rsid w:val="006F308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17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75B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477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B51590"/>
  <w15:chartTrackingRefBased/>
  <w15:docId w15:val="{2EA16E78-BB78-43D9-A34B-1059A48B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E2DDF"/>
    <w:pPr>
      <w:spacing w:after="240"/>
      <w:ind w:left="567" w:hanging="567"/>
    </w:pPr>
  </w:style>
  <w:style w:type="paragraph" w:customStyle="1" w:styleId="EPComma">
    <w:name w:val="EPComma"/>
    <w:basedOn w:val="Normal"/>
    <w:link w:val="EPCommaChar"/>
    <w:rsid w:val="006E2DDF"/>
    <w:pPr>
      <w:spacing w:before="480" w:after="240"/>
    </w:pPr>
  </w:style>
  <w:style w:type="character" w:customStyle="1" w:styleId="EPCommaChar">
    <w:name w:val="EPComma Char"/>
    <w:basedOn w:val="DefaultParagraphFont"/>
    <w:link w:val="EPComma"/>
    <w:rsid w:val="006E2DDF"/>
    <w:rPr>
      <w:sz w:val="24"/>
      <w:lang w:val="hu-HU"/>
    </w:rPr>
  </w:style>
  <w:style w:type="character" w:customStyle="1" w:styleId="cf01">
    <w:name w:val="cf01"/>
    <w:basedOn w:val="DefaultParagraphFont"/>
    <w:rsid w:val="006E2DDF"/>
    <w:rPr>
      <w:rFonts w:ascii="Segoe UI" w:hAnsi="Segoe UI" w:cs="Segoe UI" w:hint="default"/>
      <w:sz w:val="18"/>
      <w:szCs w:val="18"/>
    </w:rPr>
  </w:style>
  <w:style w:type="character" w:styleId="Hyperlink">
    <w:name w:val="Hyperlink"/>
    <w:basedOn w:val="DefaultParagraphFont"/>
    <w:rsid w:val="006E2DDF"/>
    <w:rPr>
      <w:color w:val="0563C1" w:themeColor="hyperlink"/>
      <w:u w:val="single"/>
    </w:rPr>
  </w:style>
  <w:style w:type="paragraph" w:styleId="Revision">
    <w:name w:val="Revision"/>
    <w:hidden/>
    <w:uiPriority w:val="99"/>
    <w:semiHidden/>
    <w:rsid w:val="00E54777"/>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1481/oj" TargetMode="External"/><Relationship Id="rId3" Type="http://schemas.openxmlformats.org/officeDocument/2006/relationships/hyperlink" Target="http://data.europa.eu/eli/dec/2024/383/oj" TargetMode="External"/><Relationship Id="rId7" Type="http://schemas.openxmlformats.org/officeDocument/2006/relationships/hyperlink" Target="http://data.europa.eu/eli/dec/2025/377/oj" TargetMode="External"/><Relationship Id="rId2" Type="http://schemas.openxmlformats.org/officeDocument/2006/relationships/hyperlink" Target="http://data.europa.eu/eli/C/2025/3154/oj" TargetMode="External"/><Relationship Id="rId1" Type="http://schemas.openxmlformats.org/officeDocument/2006/relationships/hyperlink" Target="http://data.europa.eu/eli/C/2024/486/oj" TargetMode="External"/><Relationship Id="rId6" Type="http://schemas.openxmlformats.org/officeDocument/2006/relationships/hyperlink" Target="http://data.europa.eu/eli/dec/2024/3154/oj" TargetMode="External"/><Relationship Id="rId5" Type="http://schemas.openxmlformats.org/officeDocument/2006/relationships/hyperlink" Target="http://data.europa.eu/eli/dec/2024/2655/oj" TargetMode="External"/><Relationship Id="rId4" Type="http://schemas.openxmlformats.org/officeDocument/2006/relationships/hyperlink" Target="http://data.europa.eu/eli/dec/2024/17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2991</Words>
  <Characters>21145</Characters>
  <Application>Microsoft Office Word</Application>
  <DocSecurity>0</DocSecurity>
  <Lines>391</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2026-01-20T15:47:00Z</dcterms:created>
  <dcterms:modified xsi:type="dcterms:W3CDTF">2026-01-20T15:47:00Z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B10-0533, 0539, 0542 és 0543/2025</vt:lpwstr>
  </property>
  <property fmtid="{D5CDD505-2E9C-101B-9397-08002B2CF9AE}" pid="4" name="&lt;Type&gt;">
    <vt:lpwstr>RR</vt:lpwstr>
  </property>
</Properties>
</file>