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5FBB" w14:paraId="689660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7990A6" w14:textId="77777777" w:rsidR="00751A4A" w:rsidRPr="00E15FBB" w:rsidRDefault="00522742" w:rsidP="0010095E">
            <w:pPr>
              <w:pStyle w:val="EPName"/>
            </w:pPr>
            <w:r w:rsidRPr="00E15FBB">
              <w:t>Parlament Europejski</w:t>
            </w:r>
          </w:p>
          <w:p w14:paraId="6AAF22B8" w14:textId="77777777" w:rsidR="00751A4A" w:rsidRPr="00E15F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5FBB">
              <w:t>2024</w:t>
            </w:r>
            <w:r w:rsidR="00817416" w:rsidRPr="00E15FBB">
              <w:t>-202</w:t>
            </w:r>
            <w:r w:rsidRPr="00E15FBB">
              <w:t>9</w:t>
            </w:r>
          </w:p>
        </w:tc>
        <w:tc>
          <w:tcPr>
            <w:tcW w:w="2268" w:type="dxa"/>
            <w:shd w:val="clear" w:color="auto" w:fill="auto"/>
          </w:tcPr>
          <w:p w14:paraId="5BD3D4C5" w14:textId="77777777" w:rsidR="00751A4A" w:rsidRPr="00E15FBB" w:rsidRDefault="00187494" w:rsidP="0010095E">
            <w:pPr>
              <w:pStyle w:val="EPLogo"/>
            </w:pPr>
            <w:r w:rsidRPr="00E15FBB">
              <w:rPr>
                <w:noProof/>
                <w:lang w:eastAsia="ja-JP"/>
              </w:rPr>
              <w:drawing>
                <wp:inline distT="0" distB="0" distL="0" distR="0" wp14:anchorId="479C53B1" wp14:editId="534396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182B8" w14:textId="77777777" w:rsidR="00D058B8" w:rsidRPr="00E15FBB" w:rsidRDefault="00D058B8" w:rsidP="004C5D52">
      <w:pPr>
        <w:pStyle w:val="LineTop"/>
      </w:pPr>
    </w:p>
    <w:p w14:paraId="76D0BB23" w14:textId="77777777" w:rsidR="00680577" w:rsidRPr="00E15FBB" w:rsidRDefault="00522742" w:rsidP="00680577">
      <w:pPr>
        <w:pStyle w:val="EPBodyTA1"/>
      </w:pPr>
      <w:r w:rsidRPr="00E15FBB">
        <w:t>TEKSTY PRZYJĘTE</w:t>
      </w:r>
    </w:p>
    <w:p w14:paraId="40A815F1" w14:textId="77777777" w:rsidR="00D058B8" w:rsidRPr="00E15FBB" w:rsidRDefault="00D058B8" w:rsidP="00D058B8">
      <w:pPr>
        <w:pStyle w:val="LineBottom"/>
      </w:pPr>
    </w:p>
    <w:p w14:paraId="0B5E8B81" w14:textId="287C9001" w:rsidR="00522742" w:rsidRPr="00E15FBB" w:rsidRDefault="00522742" w:rsidP="00522742">
      <w:pPr>
        <w:pStyle w:val="ATHeading1"/>
      </w:pPr>
      <w:bookmarkStart w:id="0" w:name="TANumber"/>
      <w:r w:rsidRPr="00E15FBB">
        <w:t>P10_</w:t>
      </w:r>
      <w:proofErr w:type="gramStart"/>
      <w:r w:rsidRPr="00E15FBB">
        <w:t>TA(</w:t>
      </w:r>
      <w:proofErr w:type="gramEnd"/>
      <w:r w:rsidRPr="00E15FBB">
        <w:t>2025)0</w:t>
      </w:r>
      <w:r w:rsidR="00AE0C84">
        <w:t>31</w:t>
      </w:r>
      <w:r w:rsidRPr="00E15FBB">
        <w:t>0</w:t>
      </w:r>
      <w:bookmarkEnd w:id="0"/>
    </w:p>
    <w:p w14:paraId="451A9C3E" w14:textId="125ABA0D" w:rsidR="00522742" w:rsidRPr="001B7D99" w:rsidRDefault="001B7D99" w:rsidP="00522742">
      <w:pPr>
        <w:pStyle w:val="ATHeading2"/>
      </w:pPr>
      <w:r w:rsidRPr="001B7D99">
        <w:rPr>
          <w:bCs/>
        </w:rPr>
        <w:t>Eskalacja wojny i katastrofa humanitarna w Sudanie</w:t>
      </w:r>
    </w:p>
    <w:p w14:paraId="28E8E232" w14:textId="65E05EE9" w:rsidR="00522742" w:rsidRPr="00E15FBB" w:rsidRDefault="00522742" w:rsidP="00522742">
      <w:pPr>
        <w:rPr>
          <w:i/>
          <w:vanish/>
        </w:rPr>
      </w:pPr>
      <w:r w:rsidRPr="00E15FBB">
        <w:rPr>
          <w:i/>
        </w:rPr>
        <w:fldChar w:fldCharType="begin"/>
      </w:r>
      <w:r w:rsidRPr="00E15FBB">
        <w:rPr>
          <w:i/>
        </w:rPr>
        <w:instrText xml:space="preserve"> TC"(</w:instrText>
      </w:r>
      <w:bookmarkStart w:id="1" w:name="DocNumber"/>
      <w:r w:rsidRPr="00E15FBB">
        <w:rPr>
          <w:i/>
        </w:rPr>
        <w:instrText>B10-0533</w:instrText>
      </w:r>
      <w:r w:rsidR="001B7D99">
        <w:rPr>
          <w:i/>
        </w:rPr>
        <w:instrText>, 0539, 0542 oraz 0543</w:instrText>
      </w:r>
      <w:r w:rsidRPr="00E15FBB">
        <w:rPr>
          <w:i/>
        </w:rPr>
        <w:instrText>/2025</w:instrText>
      </w:r>
      <w:bookmarkEnd w:id="1"/>
      <w:r w:rsidRPr="00E15FBB">
        <w:rPr>
          <w:i/>
        </w:rPr>
        <w:instrText xml:space="preserve">)"\l3 \n&gt; \* MERGEFORMAT </w:instrText>
      </w:r>
      <w:r w:rsidRPr="00E15FBB">
        <w:rPr>
          <w:i/>
        </w:rPr>
        <w:fldChar w:fldCharType="end"/>
      </w:r>
    </w:p>
    <w:p w14:paraId="093A72AE" w14:textId="77777777" w:rsidR="00522742" w:rsidRPr="00E15FBB" w:rsidRDefault="00522742" w:rsidP="00522742">
      <w:pPr>
        <w:rPr>
          <w:vanish/>
        </w:rPr>
      </w:pPr>
      <w:bookmarkStart w:id="2" w:name="PE"/>
      <w:r w:rsidRPr="00E15FBB">
        <w:rPr>
          <w:vanish/>
        </w:rPr>
        <w:t>PE779.006</w:t>
      </w:r>
      <w:bookmarkEnd w:id="2"/>
    </w:p>
    <w:p w14:paraId="2F1B85AD" w14:textId="4C8AA292" w:rsidR="00522742" w:rsidRPr="00E15FBB" w:rsidRDefault="00522742" w:rsidP="00B75DA8">
      <w:pPr>
        <w:pStyle w:val="ATHeading3"/>
      </w:pPr>
      <w:bookmarkStart w:id="3" w:name="Sujet"/>
      <w:r w:rsidRPr="00E15FBB">
        <w:t xml:space="preserve">Rezolucja Parlamentu Europejskiego z dnia </w:t>
      </w:r>
      <w:r w:rsidR="001B7D99">
        <w:t>27 listopada</w:t>
      </w:r>
      <w:r w:rsidRPr="00E15FBB">
        <w:t xml:space="preserve"> 2025 r. w sprawie eskalacji wojny i katastrofy humanitarnej w Sudanie</w:t>
      </w:r>
      <w:bookmarkEnd w:id="3"/>
      <w:r w:rsidRPr="00E15FBB">
        <w:t xml:space="preserve"> </w:t>
      </w:r>
      <w:bookmarkStart w:id="4" w:name="References"/>
      <w:r w:rsidRPr="00E15FBB">
        <w:t>(2025/2984(RSP))</w:t>
      </w:r>
      <w:bookmarkEnd w:id="4"/>
    </w:p>
    <w:p w14:paraId="053B0D23" w14:textId="77777777" w:rsidR="00D80E73" w:rsidRPr="00E15FBB" w:rsidRDefault="00D80E73" w:rsidP="00D80E73">
      <w:pPr>
        <w:pStyle w:val="EPComma"/>
      </w:pPr>
      <w:bookmarkStart w:id="5" w:name="TextBodyBegin"/>
      <w:bookmarkEnd w:id="5"/>
      <w:r w:rsidRPr="00E15FBB">
        <w:rPr>
          <w:i/>
        </w:rPr>
        <w:t>Parlament Europejski,</w:t>
      </w:r>
    </w:p>
    <w:p w14:paraId="45739862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swoje poprzednie rezolucje w sprawie Sudanu, zwłaszcza rezolucję z 15 czerwca 2023 r. w sprawie sytuacji humanitarnej w Sudanie, w szczególności śmierci dzieci, które znalazły się w ogniu walki</w:t>
      </w:r>
      <w:r w:rsidRPr="00E15FBB">
        <w:rPr>
          <w:rStyle w:val="FootnoteReference"/>
        </w:rPr>
        <w:footnoteReference w:id="1"/>
      </w:r>
      <w:r w:rsidRPr="00E15FBB">
        <w:t>, oraz rezolucję z 13 marca 2025 r. w sprawie poważnego kryzysu politycznego, humanitarnego i kryzysu praw człowieka w Sudanie, szczególnie przemocy seksualnej i gwałtów na dzieciach</w:t>
      </w:r>
      <w:r w:rsidRPr="00E15FBB">
        <w:rPr>
          <w:rStyle w:val="FootnoteReference"/>
        </w:rPr>
        <w:footnoteReference w:id="2"/>
      </w:r>
      <w:r w:rsidRPr="00E15FBB">
        <w:t>,</w:t>
      </w:r>
    </w:p>
    <w:p w14:paraId="7EA9C8EE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Powszechną deklarację praw człowieka oraz Międzynarodowy pakt praw obywatelskich i politycznych,</w:t>
      </w:r>
    </w:p>
    <w:p w14:paraId="528E50CA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konwencje genewskie z 1949 r. i protokoły dodatkowe do nich,</w:t>
      </w:r>
    </w:p>
    <w:p w14:paraId="38BE38D0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wysiłki mediacyjne na rzecz pokoju w Sudanie, w szczególności te podejmowane przez Unię Afrykańską, ONZ, Międzyrządowy Organ ds. Rozwoju, Arabię Saudyjską i Stany Zjednoczone,</w:t>
      </w:r>
    </w:p>
    <w:p w14:paraId="74965ED3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rezolucje Rady Bezpieczeństwa ONZ nr 1556 (2004) i 2736 (2024) oraz wszystkie inne istotne rezolucje Rady Bezpieczeństwa ONZ dotyczące Sudanu,</w:t>
      </w:r>
    </w:p>
    <w:p w14:paraId="47C0A7A2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odnośne rezolucje Rady Praw Człowieka w sprawie sytuacji w zakresie praw człowieka w Sudanie,</w:t>
      </w:r>
    </w:p>
    <w:p w14:paraId="44EBC9BE" w14:textId="39D4347A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decyzje Rady (</w:t>
      </w:r>
      <w:proofErr w:type="spellStart"/>
      <w:r w:rsidRPr="00E15FBB">
        <w:t>WPZiB</w:t>
      </w:r>
      <w:proofErr w:type="spellEnd"/>
      <w:r w:rsidRPr="00E15FBB">
        <w:t>) 2024/383</w:t>
      </w:r>
      <w:r w:rsidRPr="00E15FBB">
        <w:rPr>
          <w:rStyle w:val="FootnoteReference"/>
        </w:rPr>
        <w:footnoteReference w:id="3"/>
      </w:r>
      <w:r w:rsidRPr="00E15FBB">
        <w:t>, (</w:t>
      </w:r>
      <w:proofErr w:type="spellStart"/>
      <w:r w:rsidR="00B75DA8" w:rsidRPr="00B75DA8">
        <w:t>WPZiB</w:t>
      </w:r>
      <w:proofErr w:type="spellEnd"/>
      <w:r w:rsidRPr="00E15FBB">
        <w:t>) 2024/1784</w:t>
      </w:r>
      <w:r w:rsidRPr="00E15FBB">
        <w:rPr>
          <w:rStyle w:val="FootnoteReference"/>
        </w:rPr>
        <w:footnoteReference w:id="4"/>
      </w:r>
      <w:r w:rsidRPr="00E15FBB">
        <w:t>, (</w:t>
      </w:r>
      <w:proofErr w:type="spellStart"/>
      <w:r w:rsidR="00B75DA8" w:rsidRPr="00B75DA8">
        <w:t>WPZiB</w:t>
      </w:r>
      <w:proofErr w:type="spellEnd"/>
      <w:r w:rsidRPr="00E15FBB">
        <w:t xml:space="preserve">) </w:t>
      </w:r>
      <w:r w:rsidRPr="00E15FBB">
        <w:lastRenderedPageBreak/>
        <w:t>2024/2655</w:t>
      </w:r>
      <w:r w:rsidRPr="00E15FBB">
        <w:rPr>
          <w:rStyle w:val="FootnoteReference"/>
        </w:rPr>
        <w:footnoteReference w:id="5"/>
      </w:r>
      <w:r w:rsidRPr="00E15FBB">
        <w:t>, (</w:t>
      </w:r>
      <w:proofErr w:type="spellStart"/>
      <w:r w:rsidR="00B75DA8" w:rsidRPr="00B75DA8">
        <w:t>WPZiB</w:t>
      </w:r>
      <w:proofErr w:type="spellEnd"/>
      <w:r w:rsidRPr="00E15FBB">
        <w:t>) 2024/3154</w:t>
      </w:r>
      <w:r w:rsidRPr="00E15FBB">
        <w:rPr>
          <w:rStyle w:val="FootnoteReference"/>
        </w:rPr>
        <w:footnoteReference w:id="6"/>
      </w:r>
      <w:r w:rsidRPr="00E15FBB">
        <w:t>, (</w:t>
      </w:r>
      <w:proofErr w:type="spellStart"/>
      <w:r w:rsidR="00B75DA8" w:rsidRPr="00B75DA8">
        <w:t>WPZiB</w:t>
      </w:r>
      <w:proofErr w:type="spellEnd"/>
      <w:r w:rsidRPr="00E15FBB">
        <w:t>) 2025/377</w:t>
      </w:r>
      <w:r w:rsidRPr="00E15FBB">
        <w:rPr>
          <w:rStyle w:val="FootnoteReference"/>
        </w:rPr>
        <w:footnoteReference w:id="7"/>
      </w:r>
      <w:r w:rsidRPr="00E15FBB">
        <w:t xml:space="preserve"> i </w:t>
      </w:r>
      <w:r w:rsidR="00B75DA8" w:rsidRPr="00E15FBB">
        <w:t>(</w:t>
      </w:r>
      <w:proofErr w:type="spellStart"/>
      <w:r w:rsidR="00B75DA8" w:rsidRPr="00B75DA8">
        <w:t>WPZiB</w:t>
      </w:r>
      <w:proofErr w:type="spellEnd"/>
      <w:r w:rsidR="00B75DA8" w:rsidRPr="00E15FBB">
        <w:t xml:space="preserve">) </w:t>
      </w:r>
      <w:r w:rsidRPr="00E15FBB">
        <w:t>2025/1481</w:t>
      </w:r>
      <w:r w:rsidRPr="00E15FBB">
        <w:rPr>
          <w:rStyle w:val="FootnoteReference"/>
        </w:rPr>
        <w:footnoteReference w:id="8"/>
      </w:r>
      <w:r w:rsidRPr="00E15FBB">
        <w:t xml:space="preserve"> w sprawie środków ograniczających w związku z sytuacją w Sudanie,</w:t>
      </w:r>
    </w:p>
    <w:p w14:paraId="24A75A56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–</w:t>
      </w:r>
      <w:r w:rsidRPr="00E15FBB">
        <w:tab/>
        <w:t>uwzględniając konkluzje Rady w sprawie Sudanu, które Rada do Spraw Zagranicznych zatwierdziła na posiedzeniu 20 października 2025 r.,</w:t>
      </w:r>
    </w:p>
    <w:p w14:paraId="434166B0" w14:textId="77777777" w:rsidR="00D80E73" w:rsidRPr="00E15FBB" w:rsidRDefault="00D80E73" w:rsidP="00D80E73">
      <w:pPr>
        <w:pStyle w:val="NormalHanging12a"/>
        <w:rPr>
          <w:kern w:val="2"/>
          <w:szCs w:val="24"/>
          <w14:ligatures w14:val="standardContextual"/>
        </w:rPr>
      </w:pPr>
      <w:r w:rsidRPr="00E15FBB">
        <w:t>–</w:t>
      </w:r>
      <w:r w:rsidRPr="00E15FBB">
        <w:tab/>
        <w:t>uwzględniając wydane w imieniu Unii Europejskiej oświadczenie wysokiej przedstawicielki Unii do spraw zagranicznych i polityki bezpieczeństwa z 20 listopada 2025 r. w sprawie Sudanu,</w:t>
      </w:r>
    </w:p>
    <w:p w14:paraId="3F0D58C9" w14:textId="77777777" w:rsidR="00D80E73" w:rsidRPr="00E15FBB" w:rsidRDefault="00D80E73" w:rsidP="00D80E73">
      <w:pPr>
        <w:pStyle w:val="NormalHanging12a"/>
        <w:rPr>
          <w:bCs/>
          <w:szCs w:val="24"/>
        </w:rPr>
      </w:pPr>
      <w:r w:rsidRPr="00E15FBB">
        <w:t>–</w:t>
      </w:r>
      <w:r w:rsidRPr="00E15FBB">
        <w:tab/>
        <w:t>uwzględniając swoją rezolucję z 23 października 2025 r. w sprawie odnowienia partnerstwa UE–Afryka: ustalenie wspólnych priorytetów w perspektywie szczytu w Angoli</w:t>
      </w:r>
      <w:r w:rsidRPr="00E15FBB">
        <w:rPr>
          <w:rStyle w:val="FootnoteReference"/>
        </w:rPr>
        <w:footnoteReference w:id="9"/>
      </w:r>
      <w:r w:rsidRPr="00E15FBB">
        <w:t>,</w:t>
      </w:r>
    </w:p>
    <w:p w14:paraId="7E13F19B" w14:textId="77777777" w:rsidR="00D80E73" w:rsidRPr="00E15FBB" w:rsidRDefault="00D80E73" w:rsidP="00D80E73">
      <w:pPr>
        <w:pStyle w:val="NormalHanging12a"/>
      </w:pPr>
      <w:r w:rsidRPr="00E15FBB">
        <w:t>–</w:t>
      </w:r>
      <w:r w:rsidRPr="00E15FBB">
        <w:tab/>
        <w:t>uwzględniając art. 136 ust. 2 i 4 Regulaminu,</w:t>
      </w:r>
    </w:p>
    <w:p w14:paraId="5E28B84D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A.</w:t>
      </w:r>
      <w:r w:rsidRPr="00E15FBB">
        <w:tab/>
        <w:t xml:space="preserve">mając na uwadze, że konflikt między Siłami Zbrojnymi Sudanu (SAF) a Siłami Szybkiego Wsparcia (RSF), który rozpoczął się w kwietniu 2023 r., przekształcił się w największy i najpoważniejszy na świecie kryzys humanitarny i kryzys związany z ochroną, powodujący masowe wysiedlenia (ponad 7,2 mln ludzi przesiedlonych wewnętrznie i ponad 4,2 mln uchodźców, azylantów i osób powracających, którzy uciekli do krajów sąsiednich), brak bezpieczeństwa żywnościowego i powszechne naruszenia praw człowieka; mając na uwadze, że prawie dwie trzecie ludności Sudanu, w tym 16 mln dzieci, pilnie potrzebuje pomocy humanitarnej w sytuacji, w której masowo dochodzi do </w:t>
      </w:r>
      <w:proofErr w:type="spellStart"/>
      <w:r w:rsidRPr="00E15FBB">
        <w:t>wysiedleń</w:t>
      </w:r>
      <w:proofErr w:type="spellEnd"/>
      <w:r w:rsidRPr="00E15FBB">
        <w:t>, panuje klęska głodu, powszechnie dochodzi do ataków na ludność cywilną oraz pracowników humanitarnych i służby medyczne, a system podstawowych usług załamał się;</w:t>
      </w:r>
    </w:p>
    <w:p w14:paraId="5B333883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B.</w:t>
      </w:r>
      <w:r w:rsidRPr="00E15FBB">
        <w:tab/>
        <w:t>mając na uwadze, że 26 października 2025 r., po 18-miesięcznym oblężeniu, RSF zajęły miasto Al-</w:t>
      </w:r>
      <w:proofErr w:type="spellStart"/>
      <w:r w:rsidRPr="00E15FBB">
        <w:t>Faszir</w:t>
      </w:r>
      <w:proofErr w:type="spellEnd"/>
      <w:r w:rsidRPr="00E15FBB">
        <w:t>, co doprowadziło do masowych mordów i aktów okrucieństwa, w tym doraźnych egzekucji, systematycznej przemocy seksualnej, tortur i zabójstw na tle etnicznym;</w:t>
      </w:r>
    </w:p>
    <w:p w14:paraId="570BF1EC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C.</w:t>
      </w:r>
      <w:r w:rsidRPr="00E15FBB">
        <w:tab/>
        <w:t>mając na uwadze, że niezależna międzynarodowa misja wyjaśniająca (IIFFM) ds. Sudanu udokumentowała wykorzystywanie gwałtu jako szczególnie okrutnego narzędzia wojny, w tym publicznej przemocy seksualnej i gwałtów zbiorowych, oraz stosowanie przymusowych małżeństw, przez co miliony osób są narażone na przemoc ze względu na płeć;</w:t>
      </w:r>
    </w:p>
    <w:p w14:paraId="004CE000" w14:textId="77777777" w:rsidR="00D80E73" w:rsidRPr="00E15FBB" w:rsidRDefault="00D80E73" w:rsidP="00D80E73">
      <w:pPr>
        <w:pStyle w:val="NormalHanging12a"/>
        <w:rPr>
          <w:rFonts w:eastAsia="Calibri"/>
          <w:szCs w:val="24"/>
        </w:rPr>
      </w:pPr>
      <w:r w:rsidRPr="00E15FBB">
        <w:t>D.</w:t>
      </w:r>
      <w:r w:rsidRPr="00E15FBB">
        <w:tab/>
        <w:t xml:space="preserve">mając na uwadze, że w swoim sprawozdaniu IIFFM stwierdził, że obie strony konfliktu łamią prawo międzynarodowe, a naruszenia te noszą znamiona zbrodni międzynarodowych – RSF dopuściły się zbrodni wojennych i zbrodni przeciwko ludzkości, a SAF naruszyły międzynarodowe prawo humanitarne i prawo dotyczące praw człowieka, co również stanowi zbrodnię wojenną; mając na uwadze, że naruszenia popełniane przez obie strony obejmują przemoc ukierunkowaną etnicznie i religijnie, głodzenie jako narzędzie wojny, masową przemoc seksualną (w tym gwałty na </w:t>
      </w:r>
      <w:r w:rsidRPr="00E15FBB">
        <w:lastRenderedPageBreak/>
        <w:t>dzieciach), przymusową rekrutację dzieci, arbitralne zatrzymania i inne poważne nadużycia;</w:t>
      </w:r>
    </w:p>
    <w:p w14:paraId="203A1DBE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E.</w:t>
      </w:r>
      <w:r w:rsidRPr="00E15FBB">
        <w:tab/>
        <w:t>mając na uwadze, że obie strony wykorzystują pomoc humanitarną jako broń oraz utrudniają organizacjom humanitarnym swobodny i nieograniczony dostęp do osób potrzebujących;</w:t>
      </w:r>
    </w:p>
    <w:p w14:paraId="7093CF46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F.</w:t>
      </w:r>
      <w:r w:rsidRPr="00E15FBB">
        <w:tab/>
        <w:t>mając na uwadze, że wszystkie państwa zaangażowane w wywieranie zewnętrznego wpływu na Sudan odgrywają istotną rolę w przedłużaniu konfliktu w tym kraju;</w:t>
      </w:r>
    </w:p>
    <w:p w14:paraId="7183A311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G.</w:t>
      </w:r>
      <w:r w:rsidRPr="00E15FBB">
        <w:tab/>
        <w:t>mając na uwadze, że wszystkie strony konfliktu naruszają prawo międzynarodowe praw człowieka i międzynarodowe prawo humanitarne, a większość naruszeń stanowi zbrodnie wojenne;</w:t>
      </w:r>
      <w:r w:rsidRPr="00E15FBB">
        <w:rPr>
          <w:rStyle w:val="cf01"/>
          <w:color w:val="000000"/>
        </w:rPr>
        <w:t xml:space="preserve"> </w:t>
      </w:r>
      <w:r w:rsidRPr="00E15FBB">
        <w:t>mając na uwadze, że czyny, jakich dopuściły się RSF, mogą również stanowić zbrodnie przeciwko ludzkości, w tym prześladowanie i eksterminację, a ich taktyka obejmuje systematyczne ataki na ludność cywilną, zastraszanie ludności, dziennikarzy i pracowników mediów oraz działania mające na celu destabilizację władzy instytucjonalnej;</w:t>
      </w:r>
    </w:p>
    <w:p w14:paraId="6213C014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H.</w:t>
      </w:r>
      <w:r w:rsidRPr="00E15FBB">
        <w:tab/>
        <w:t>mając na uwadze, że dzieci są szczególnie zagrożone, a UNICEF donosi, że od 2024 r. miało miejsce kilkaset przypadków gwałtów na dzieciach; mając na uwadze, że rzeczywista liczba przypadków prawdopodobnie jest znacznie wyższa; mając na uwadze, że duża liczba dzieci w Sudanie nie może uczęszczać do szkoły z powodu trwającego zamknięcia placówek i wysiedleń, co wystawia dzieci na większe ryzyko i pozbawia je dostępu do edukacji;</w:t>
      </w:r>
    </w:p>
    <w:p w14:paraId="2ABCB7AD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I.</w:t>
      </w:r>
      <w:r w:rsidRPr="00E15FBB">
        <w:tab/>
        <w:t>mając na uwadze, że UE przeznaczyła na ten region 273 mln EUR, w tym 161 mln EUR specjalnie na Sudan;</w:t>
      </w:r>
    </w:p>
    <w:p w14:paraId="24DF3DB8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J.</w:t>
      </w:r>
      <w:r w:rsidRPr="00E15FBB">
        <w:tab/>
        <w:t>mając na uwadze, że UE nadal udziela nadzwyczajnej pomocy ratującej życie, która jest dostosowana do potrzeb i zgodna z zasadami humanitarnymi, aby zapewnić najsłabszym grupom społecznym natychmiastową pomoc i ochronę, dostarczyć niezbędną pomoc, monitorować naruszenia praw człowieka, a także reagować na poważny kryzys związany z brakiem bezpieczeństwa żywnościowego i niedożywieniem w kraju oraz zapewnić wsparcie humanitarne na rzecz podstawowych usług; mając na uwadze, że organizacje kobiece, komitety oporu i lokalne służby ratownicze nadal odgrywają kluczową rolę w ochronie ludności cywilnej i dokumentowaniu przypadków łamania praw;</w:t>
      </w:r>
    </w:p>
    <w:p w14:paraId="234F7577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K.</w:t>
      </w:r>
      <w:r w:rsidRPr="00E15FBB">
        <w:tab/>
        <w:t>mając na uwadze, że wojnę tę uważa się czasem za wojnę zastępczą, w której Sudan stał się polem walki o zasoby naturalne, takie jak złoto, guma arabska, ruda żelaza, miedź i uran;</w:t>
      </w:r>
    </w:p>
    <w:p w14:paraId="3A5A23DB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L.</w:t>
      </w:r>
      <w:r w:rsidRPr="00E15FBB">
        <w:tab/>
        <w:t>mając na uwadze, że w rezolucji z października 2025 r. w sprawie odnowienia partnerstwa UE–Afryka Parlament wezwał wszystkie podmioty, aby zwiększyły przejrzystość i skutecznie zakazały przywozu do UE wszystkich minerałów wydobytych w wyniku przelewu krwi;</w:t>
      </w:r>
    </w:p>
    <w:p w14:paraId="2F1E694B" w14:textId="77777777" w:rsidR="00D80E73" w:rsidRPr="00E15FBB" w:rsidRDefault="00D80E73" w:rsidP="00D80E73">
      <w:pPr>
        <w:pStyle w:val="NormalHanging12a"/>
        <w:rPr>
          <w:szCs w:val="24"/>
        </w:rPr>
      </w:pPr>
      <w:r w:rsidRPr="00E15FBB">
        <w:t>M.</w:t>
      </w:r>
      <w:r w:rsidRPr="00E15FBB">
        <w:tab/>
        <w:t xml:space="preserve">mając na uwadze, że Fundusz Ludnościowy ONZ (UNFPA) i jego partnerzy nadal świadczą usługi w zakresie zdrowia reprodukcyjnego i ochrony, ale ostatnie międzynarodowe cięcia finansowe zmusiły UNFPA do wycofania się z ponad połowy z 93 placówek opieki zdrowotnej, które wspierał w Sudanie, co oznacza, że obecnie </w:t>
      </w:r>
      <w:r w:rsidRPr="00E15FBB">
        <w:lastRenderedPageBreak/>
        <w:t>funkcjonuje tylko co czwarta placówka oferująca wsparcie kliniczne ofiarom gwałtu;</w:t>
      </w:r>
    </w:p>
    <w:p w14:paraId="3CBA28D4" w14:textId="77777777" w:rsidR="00D80E73" w:rsidRDefault="00D80E73" w:rsidP="00D80E73">
      <w:pPr>
        <w:pStyle w:val="NormalHanging12a"/>
      </w:pPr>
      <w:r w:rsidRPr="00E15FBB">
        <w:t>1.</w:t>
      </w:r>
      <w:r w:rsidRPr="00E15FBB">
        <w:tab/>
        <w:t>potępia w najostrzejszych słowach poważne zbrodnie popełnione przez RSF w Al-Faszir i w pozostałej części Sudanu, w tym masowe zabójstwa i przemoc na tle etnicznym, gwałty i niewolnictwo seksualne, tortury, wymuszone zaginięcia, ataki na szpitale i placówki humanitarne oraz celowe głodzenie ludności cywilnej, które mogą stanowić akty ludobójstwa;</w:t>
      </w:r>
    </w:p>
    <w:p w14:paraId="5C6A0546" w14:textId="6A2456DF" w:rsidR="00AE0C84" w:rsidRPr="00AE0C84" w:rsidRDefault="00AE0C84" w:rsidP="00D80E73">
      <w:pPr>
        <w:pStyle w:val="NormalHanging12a"/>
        <w:rPr>
          <w:bCs/>
          <w:iCs/>
        </w:rPr>
      </w:pPr>
      <w:r>
        <w:rPr>
          <w:bCs/>
          <w:iCs/>
        </w:rPr>
        <w:t>2</w:t>
      </w:r>
      <w:r w:rsidRPr="00C64F1A">
        <w:rPr>
          <w:bCs/>
          <w:iCs/>
        </w:rPr>
        <w:t>.</w:t>
      </w:r>
      <w:r w:rsidRPr="00C64F1A">
        <w:rPr>
          <w:bCs/>
          <w:iCs/>
        </w:rPr>
        <w:tab/>
        <w:t>zdecydowanie potępia eskalację przemocy w Sudanie i poważne naruszenia prawa międzynarodowego przez wszystkie strony; podkreśla, że nie istnieje realne rozwiązanie konfliktu w Sudanie przy użyciu metod wojskowych oraz że kontynuacja działań wojennych powoduje niedopuszczalne cierpienie ludności cywilnej i stanowi coraz większe zagrożenie dla pokoju i bezpieczeństwa w regionie;</w:t>
      </w:r>
    </w:p>
    <w:p w14:paraId="4CBD2AE6" w14:textId="01F5472F" w:rsidR="00D80E73" w:rsidRPr="00E15FBB" w:rsidRDefault="00AE0C84" w:rsidP="00D80E73">
      <w:pPr>
        <w:pStyle w:val="NormalHanging12a"/>
      </w:pPr>
      <w:r>
        <w:t>3</w:t>
      </w:r>
      <w:r w:rsidR="00D80E73" w:rsidRPr="00E15FBB">
        <w:t>.</w:t>
      </w:r>
      <w:r w:rsidR="00D80E73" w:rsidRPr="00E15FBB">
        <w:tab/>
        <w:t>zdecydowanie potępia poważne i systematyczne naruszenia międzynarodowego prawa humanitarnego i praw człowieka popełniane zarówno przez RSF, jak i SAF, w tym masowe ataki na ludność cywilną, przemoc na tle etnicznym, przemoc seksualną, tortury, wykorzystywanie dzieci jako żołnierzy, ataki na szpitale i ośrodki humanitarne, a także celowe głodzenie ludności cywilnej, które mogą stanowić akty ludobójstwa;</w:t>
      </w:r>
    </w:p>
    <w:p w14:paraId="1023AA40" w14:textId="39B885A8" w:rsidR="00D80E73" w:rsidRPr="00E15FBB" w:rsidRDefault="00AE0C84" w:rsidP="00D80E73">
      <w:pPr>
        <w:pStyle w:val="NormalHanging12a"/>
      </w:pPr>
      <w:r>
        <w:t>4</w:t>
      </w:r>
      <w:r w:rsidR="00D80E73" w:rsidRPr="00E15FBB">
        <w:t>.</w:t>
      </w:r>
      <w:r w:rsidR="00D80E73" w:rsidRPr="00E15FBB">
        <w:tab/>
        <w:t>zdecydowanie potępia trwający w Sudanie konflikt, który przez trzeci rok z rzędu nadal powoduje śmierć tysięcy osób i ogromne trudności dla ludności Sudanu oraz stanowi poważne zagrożenie dla stabilności i bezpieczeństwa w całym regionie;</w:t>
      </w:r>
    </w:p>
    <w:p w14:paraId="434713EB" w14:textId="76EC3E9E" w:rsidR="00D80E73" w:rsidRPr="00E15FBB" w:rsidRDefault="00AE0C84" w:rsidP="00D80E73">
      <w:pPr>
        <w:pStyle w:val="NormalHanging12a"/>
      </w:pPr>
      <w:r>
        <w:t>5</w:t>
      </w:r>
      <w:r w:rsidR="00D80E73" w:rsidRPr="00E15FBB">
        <w:t>.</w:t>
      </w:r>
      <w:r w:rsidR="00D80E73" w:rsidRPr="00E15FBB">
        <w:tab/>
        <w:t>stanowczo potępia nieustającą przemoc ze strony obu formacji zbrojnych w Sudanie oraz poważne naruszenia prawa międzynarodowego praw człowieka i międzynarodowego prawa humanitarnego popełniane przez wszystkie strony; potępia blokowanie i grabieże pomocy humanitarnej oraz ataki na pracowników humanitarnych i medycznych, służby ratownicze i obrońców praw człowieka, które stanowią poważne naruszenia praw podstawowych i międzynarodowego prawa humanitarnego;</w:t>
      </w:r>
    </w:p>
    <w:p w14:paraId="18D400D4" w14:textId="602B3A45" w:rsidR="00D80E73" w:rsidRPr="00E15FBB" w:rsidRDefault="00AE0C84" w:rsidP="00D80E73">
      <w:pPr>
        <w:pStyle w:val="NormalHanging12a"/>
      </w:pPr>
      <w:r>
        <w:t>6</w:t>
      </w:r>
      <w:r w:rsidR="00D80E73" w:rsidRPr="00E15FBB">
        <w:t>.</w:t>
      </w:r>
      <w:r w:rsidR="00D80E73" w:rsidRPr="00E15FBB">
        <w:tab/>
        <w:t>wyraża pełną solidarność z mieszkańcami Sudanu, zwłaszcza z tymi na obszarach najbardziej dotkniętych blokadami, głodem, wysiedleniami i masowymi atakami, i wyraża uznanie dla lokalnych, ochotniczych i międzynarodowych pracowników humanitarnych działających w ekstremalnych warunkach, w tym grup wzajemnej pomocy, takich jak Emergency Response Rooms; wyraża uznanie dla sudańskich organizacji społeczeństwa obywatelskiego, komitetów oporu oraz ruchów kobiecych, pracowniczych i młodzieżowych;</w:t>
      </w:r>
    </w:p>
    <w:p w14:paraId="1830926B" w14:textId="7567411B" w:rsidR="00D80E73" w:rsidRPr="00E15FBB" w:rsidRDefault="00AE0C84" w:rsidP="00D80E73">
      <w:pPr>
        <w:pStyle w:val="NormalHanging12a"/>
      </w:pPr>
      <w:r>
        <w:t>7</w:t>
      </w:r>
      <w:r w:rsidR="00D80E73" w:rsidRPr="00E15FBB">
        <w:t>.</w:t>
      </w:r>
      <w:r w:rsidR="00D80E73" w:rsidRPr="00E15FBB">
        <w:tab/>
        <w:t>potępia powszechne i systematyczne stosowanie przez strony konfliktu przemocy seksualnej i przemocy ze względu na płeć wobec kobiet i dziewcząt, w tym gwałtów, niewolnictwa seksualnego i przymusowych małżeństw, jako taktyki wojennej; wzywa do podjęcia pilnych działań pomocowych wobec osób, które doświadczyły tego rodzaju przemocy, w tym do zapewnienia wsparcia medycznego, psychospołecznego i prawnego; wzywa wszystkie strony do natychmiastowego zaprzestania tych nadużyć i dopilnowania, aby sprawcy zostali pociągnięci do odpowiedzialności; podkreśla potrzebę priorytetowego traktowania ochrony kobiet i dzieci we wszystkich działaniach humanitarnych i pokojowych;</w:t>
      </w:r>
    </w:p>
    <w:p w14:paraId="1A6DDEB3" w14:textId="1539930F" w:rsidR="00D80E73" w:rsidRPr="00E15FBB" w:rsidRDefault="00AE0C84" w:rsidP="00D80E73">
      <w:pPr>
        <w:pStyle w:val="NormalHanging12a"/>
      </w:pPr>
      <w:r>
        <w:t>8</w:t>
      </w:r>
      <w:r w:rsidR="00D80E73" w:rsidRPr="00E15FBB">
        <w:t>.</w:t>
      </w:r>
      <w:r w:rsidR="00D80E73" w:rsidRPr="00E15FBB">
        <w:tab/>
        <w:t xml:space="preserve">potwierdza suwerenność, niepodległość, jedność i integralność terytorialną Sudanu; apeluje do UE, jej państw członkowskich oraz wszystkich podmiotów sudańskich i </w:t>
      </w:r>
      <w:r w:rsidR="00D80E73" w:rsidRPr="00E15FBB">
        <w:lastRenderedPageBreak/>
        <w:t>międzynarodowych, by wspierały suwerenność, jedność i integralność terytorialną Sudanu oraz legitymację cywilnego rządu w Chartumie; sprzeciwia się wszelkim próbom tworzenia równoległych lub konkurencyjnych organów władzy lub struktur politycznych na obszarach kontrolowanych przez RSF;</w:t>
      </w:r>
    </w:p>
    <w:p w14:paraId="04054BFA" w14:textId="5CCB6FCD" w:rsidR="00D80E73" w:rsidRPr="00E15FBB" w:rsidRDefault="00AE0C84" w:rsidP="00D80E73">
      <w:pPr>
        <w:pStyle w:val="NormalHanging12a"/>
        <w:rPr>
          <w:szCs w:val="24"/>
        </w:rPr>
      </w:pPr>
      <w:r>
        <w:t>9</w:t>
      </w:r>
      <w:r w:rsidR="00D80E73" w:rsidRPr="00E15FBB">
        <w:t>.</w:t>
      </w:r>
      <w:r w:rsidR="00D80E73" w:rsidRPr="00E15FBB">
        <w:tab/>
        <w:t>zaznacza, że odpowiedzialność za zakończenie konfliktu spoczywa na przywódcach RSF, SAF i sprzymierzonych z nimi bojówek, a także na podmiotach, które udzielają im bezpośredniego lub pośredniego wsparcia; wzywa wszystkie podmioty zewnętrzne do podjęcia niezbędnych kroków, aby zakończyć sprzedaż lub dostawy broni i innego sprzętu wojskowego wszystkim stronom – zgodnie z embargiem na broń ustanowionym rezolucjami Rady Bezpieczeństwa ONZ nr 1556 (2004) i 1591 (2005);</w:t>
      </w:r>
      <w:bookmarkStart w:id="6" w:name="_Hlk214614372"/>
    </w:p>
    <w:p w14:paraId="5A406C38" w14:textId="038D0503" w:rsidR="00D80E73" w:rsidRDefault="00AE0C84" w:rsidP="00D80E73">
      <w:pPr>
        <w:pStyle w:val="NormalHanging12a"/>
      </w:pPr>
      <w:r>
        <w:t>10</w:t>
      </w:r>
      <w:r w:rsidR="00D80E73" w:rsidRPr="00E15FBB">
        <w:t>.</w:t>
      </w:r>
      <w:r w:rsidR="00D80E73" w:rsidRPr="00E15FBB">
        <w:tab/>
        <w:t>potępia wszelkie formy obcych ingerencji, które podsycają wojnę w Sudanie, w tym transfery broni, wysyłanie najemników, przemyt złota i nielegalne sieci finansowe, które to ingerencje podważają suwerenność Sudanu i bezpośrednio przyczyniają się do masowych zbrodni, oraz podkreśla, że takie działania podlegają odpowiedzialności na gruncie prawa międzynarodowego; wzywa do natychmiastowego zaprzestania rekrutacji najemników oraz dostaw i wsparcia wojskowego lub logistycznego dla RSF i sprzymierzonych bojówek;</w:t>
      </w:r>
    </w:p>
    <w:p w14:paraId="5DF09B8E" w14:textId="160CD516" w:rsidR="00AE0C84" w:rsidRPr="00AE0C84" w:rsidRDefault="00AE0C84" w:rsidP="00D80E73">
      <w:pPr>
        <w:pStyle w:val="NormalHanging12a"/>
        <w:rPr>
          <w:bCs/>
          <w:iCs/>
        </w:rPr>
      </w:pPr>
      <w:r>
        <w:rPr>
          <w:bCs/>
          <w:iCs/>
        </w:rPr>
        <w:t>11</w:t>
      </w:r>
      <w:r w:rsidRPr="00C64F1A">
        <w:rPr>
          <w:bCs/>
          <w:iCs/>
        </w:rPr>
        <w:t>.</w:t>
      </w:r>
      <w:r w:rsidRPr="00C64F1A">
        <w:rPr>
          <w:bCs/>
          <w:iCs/>
        </w:rPr>
        <w:tab/>
        <w:t>podkreśla kluczową rolę sudańskiego społeczeństwa obywatelskiego, komitetów oporu, związków zawodowych, organizacji kobiecych i młodzieżowych, mniejszości i społeczności marginalizowanych oraz innych podmiotów oddolnych w każdym porozumieniu politycznym; wzywa UE do priorytetowego traktowania ich udziału, ochrony i zapewnienia im środków, w tym poprzez bezpośrednie, elastyczne finansowanie i inicjatywy na rzecz bezpiecznych przestrzeni;</w:t>
      </w:r>
    </w:p>
    <w:p w14:paraId="7484753C" w14:textId="5405E907" w:rsidR="00D80E73" w:rsidRPr="00E15FBB" w:rsidRDefault="00D80E73" w:rsidP="00D80E73">
      <w:pPr>
        <w:pStyle w:val="NormalHanging12a"/>
      </w:pPr>
      <w:r w:rsidRPr="00E15FBB">
        <w:t>1</w:t>
      </w:r>
      <w:r w:rsidR="00AE0C84">
        <w:t>2</w:t>
      </w:r>
      <w:r w:rsidRPr="00E15FBB">
        <w:t>.</w:t>
      </w:r>
      <w:r w:rsidRPr="00E15FBB">
        <w:tab/>
        <w:t xml:space="preserve">wzywa do przywrócenia i wzmocnienia praworządności, rozliczalności, poszanowania prawa międzynarodowego – w tym międzynarodowego prawa humanitarnego i międzynarodowego prawa dotyczącego praw człowieka – oraz działań wymiaru sprawiedliwości w Sudanie; podkreśla, że przyszłości Sudanu nie mogą kształtować brutalne grupy i sieci ekstremistyczne, których destabilizujące wpływy od dawna podsycają przemoc i potęgują niestabilność w Sudanie i w całym </w:t>
      </w:r>
      <w:bookmarkEnd w:id="6"/>
      <w:r w:rsidRPr="00E15FBB">
        <w:t>regionie; domaga się natychmiastowego zaprzestania działań wojennych i wzywa wszystkie strony do zaangażowania się w konstruktywny dialog, aby zakończyć konflikt i przejść do cywilnej formy rządów demokratycznych; wzywa wszystkie podmioty trzecie do wsparcia działań dyplomatycznych gwarantujących zaprzestanie działań wojennych; potępia wszelkie naruszenia embarg ONZ na broń; potwierdza, że przemiany prowadzone przez ludność cywilną są jedyną realną drogą do trwałego pokoju w Sudanie; zdecydowanie popiera wysiłki Unii Afrykańskiej i partnerów regionalnych na rzecz ułatwienia procesu pokojowego;</w:t>
      </w:r>
      <w:r w:rsidR="00AE0C84">
        <w:t xml:space="preserve"> </w:t>
      </w:r>
      <w:r w:rsidR="00AE0C84" w:rsidRPr="00C64F1A">
        <w:rPr>
          <w:bCs/>
          <w:iCs/>
        </w:rPr>
        <w:t>podkreśla, że sudańskie społeczeństwo obywatelskie, a zwłaszcza organizacje kierowane przez kobiety, muszą odgrywać kluczową rolę w rozmowach pokojowych i przewodzić procesowi transformacji; w tym celu wzywa UE i jej państwa członkowskie do aktywnego udziału w negocjacjach pokojowych z partnerami ze społeczności międzynarodowej oraz do politycznego i finansowego wsparcia sudańskiego społeczeństwa obywatelskiego, organizacji kierowanych przez kobiety, obrońców praw człowieka i dziennikarzy;</w:t>
      </w:r>
    </w:p>
    <w:p w14:paraId="18927749" w14:textId="6C8BA47E" w:rsidR="00D80E73" w:rsidRPr="00E15FBB" w:rsidRDefault="00D80E73" w:rsidP="00D80E73">
      <w:pPr>
        <w:pStyle w:val="NormalHanging12a"/>
      </w:pPr>
      <w:r w:rsidRPr="00E15FBB">
        <w:t>1</w:t>
      </w:r>
      <w:r w:rsidR="00AE0C84">
        <w:t>3</w:t>
      </w:r>
      <w:r w:rsidRPr="00E15FBB">
        <w:t>.</w:t>
      </w:r>
      <w:r w:rsidRPr="00E15FBB">
        <w:tab/>
        <w:t xml:space="preserve">domaga się, by otwarto bezpieczne korytarze humanitarne, w szczególności do Al-Faszir, Kadukli i Al-Ubajjid, oraz by monitorowały i weryfikowały je Organizacja Narodów Zjednoczonych i Unia Afrykańska, co zagwarantuje, że ustalenia dotyczące </w:t>
      </w:r>
      <w:r w:rsidRPr="00E15FBB">
        <w:lastRenderedPageBreak/>
        <w:t>tych korytarzy będą przestrzegane; podkreśla, że UE musi aktywnie promować i wspierać możliwe do zweryfikowania zawieszenie broni jako warunek wstępny trwałych procesów pokojowych;</w:t>
      </w:r>
    </w:p>
    <w:p w14:paraId="45F6E1FE" w14:textId="443266B1" w:rsidR="00D80E73" w:rsidRPr="00E15FBB" w:rsidRDefault="00D80E73" w:rsidP="00D80E73">
      <w:pPr>
        <w:pStyle w:val="NormalHanging12a"/>
      </w:pPr>
      <w:r w:rsidRPr="00E15FBB">
        <w:t>1</w:t>
      </w:r>
      <w:r w:rsidR="00AE0C84">
        <w:t>4</w:t>
      </w:r>
      <w:r w:rsidRPr="00E15FBB">
        <w:t>.</w:t>
      </w:r>
      <w:r w:rsidRPr="00E15FBB">
        <w:tab/>
        <w:t>apeluje o natychmiastowy, bezpieczny i niezakłócony dostęp pomocy humanitarnej do wszystkich osób dotkniętych konfliktem, niezależnie od tego, gdzie się znajdują, oraz domaga się, aby obie strony zaprzestały wykorzystywania pomocy jako broni; wzywa wszystkie strony konfliktu do niezwłocznego usunięcia barier utrudniających dostarczanie pomocy humanitarnej oraz do zapewnienia natychmiastowego, bezwarunkowego, bezpiecznego i niezakłóconego dostępu pomocy humanitarnej, do zaprzestania celowego utrudniania, a także do ochrony ludności cywilnej; apeluje o udzielenie wsparcia państwom sąsiadującym przyjmującym sudańskich uchodźców;</w:t>
      </w:r>
    </w:p>
    <w:p w14:paraId="2B48A923" w14:textId="5C9A63F3" w:rsidR="00D80E73" w:rsidRPr="00E15FBB" w:rsidRDefault="00D80E73" w:rsidP="00D80E73">
      <w:pPr>
        <w:pStyle w:val="NormalHanging12a"/>
      </w:pPr>
      <w:r w:rsidRPr="00E15FBB">
        <w:t>1</w:t>
      </w:r>
      <w:r w:rsidR="00AE0C84">
        <w:t>5</w:t>
      </w:r>
      <w:r w:rsidRPr="00E15FBB">
        <w:t>.</w:t>
      </w:r>
      <w:r w:rsidRPr="00E15FBB">
        <w:tab/>
        <w:t>apeluje do stron konfliktu, by niezwłocznie przywróciły usługi komunikacyjne w całym Sudanie oraz przestały stosować przerwy w dostępie do internetu, które naruszają prawo Sudańczyków do informacji, utrudniają świadczenie usług humanitarnych i ratunkowych, wpływają na bezpieczeństwo i ochronę ludności cywilnej oraz utrudniają niezbędne działania w zakresie monitorowania i zgłaszania bieżących naruszeń międzynarodowego prawa dotyczącego praw człowieka i międzynarodowego prawa humanitarnego;</w:t>
      </w:r>
    </w:p>
    <w:p w14:paraId="1D8D71B8" w14:textId="29F93E57" w:rsidR="00D80E73" w:rsidRPr="00E15FBB" w:rsidRDefault="00D80E73" w:rsidP="00D80E73">
      <w:pPr>
        <w:pStyle w:val="NormalHanging12a"/>
      </w:pPr>
      <w:r w:rsidRPr="00E15FBB">
        <w:t>1</w:t>
      </w:r>
      <w:r w:rsidR="00AE0C84">
        <w:t>6</w:t>
      </w:r>
      <w:r w:rsidRPr="00E15FBB">
        <w:t>.</w:t>
      </w:r>
      <w:r w:rsidRPr="00E15FBB">
        <w:tab/>
        <w:t>potępia masowe zabójstwa, egzekucje i przemoc seksualną, do których doszło w Al-Faszir i okolicach podczas ataku RSF i po jego zakończeniu; wyraża głębokie zaniepokojenie doniesieniami o ciągłych porwaniach i brakiem dostępu pomocy humanitarnej; potępia w szczególności celowe ataki na infrastrukturę cywilną, w tym niszczenie meczetów i kościołów, oraz wzywa do ochrony mniejszości religijnych i zagwarantowania im prawa do praktykowania religii;</w:t>
      </w:r>
    </w:p>
    <w:p w14:paraId="565056B1" w14:textId="59D95A02" w:rsidR="00D80E73" w:rsidRPr="00E15FBB" w:rsidRDefault="00D80E73" w:rsidP="00D80E73">
      <w:pPr>
        <w:pStyle w:val="NormalHanging12a"/>
      </w:pPr>
      <w:r w:rsidRPr="00E15FBB">
        <w:t>1</w:t>
      </w:r>
      <w:r w:rsidR="00AE0C84">
        <w:t>7</w:t>
      </w:r>
      <w:r w:rsidRPr="00E15FBB">
        <w:t>.</w:t>
      </w:r>
      <w:r w:rsidRPr="00E15FBB">
        <w:tab/>
        <w:t>apeluje do stron konfliktu, by natychmiast zakończyły działania wojenne, zaprzestały wszelkich ataków na ludność i infrastrukturę cywilną oraz na infrastrukturę i pomoc humanitarną, przestały wykorzystywać głód i przemoc seksualną jako narzędzia wojny, a także werbować oraz wykorzystywać dzieci jako żołnierzy, oraz by umożliwiły nieograniczony dostęp pomocy humanitarnej w całym kraju, utworzyły korytarze humanitarne, dążyły do wypracowania rozwiązania w procesie negocjacji i wypełniały zobowiązania wynikające z deklaracji z Dżuddy; wyraża poważne zaniepokojenie alarmującym pogłębieniem się kryzysu humanitarnego w Sudanie, ponieważ toczący się tam konflikt doprowadził do najpoważniejszej katastrofy humanitarnej na świecie, skutkującej potwierdzonymi przypadkami klęski głodu w niektórych częściach kraju, i nadal tę katastrofę podsyca; ponadto wyraża zaniepokojenie skutkami masowej migracji do państw sąsiadujących;</w:t>
      </w:r>
    </w:p>
    <w:p w14:paraId="631A9CA4" w14:textId="025EE6BB" w:rsidR="00D80E73" w:rsidRPr="00E15FBB" w:rsidRDefault="00D80E73" w:rsidP="00D80E73">
      <w:pPr>
        <w:pStyle w:val="NormalHanging12a"/>
      </w:pPr>
      <w:r w:rsidRPr="00E15FBB">
        <w:t>1</w:t>
      </w:r>
      <w:r w:rsidR="00AE0C84">
        <w:t>8</w:t>
      </w:r>
      <w:r w:rsidRPr="00E15FBB">
        <w:t>.</w:t>
      </w:r>
      <w:r w:rsidRPr="00E15FBB">
        <w:tab/>
        <w:t>apeluje do wszystkich stron, by natychmiast przestały masowo wykorzystywać gwałty i inne formy przemocy seksualnej oraz przemocy ze względu na płeć jako narzędzie wojny; wzywa do zapewnienia ochrony, opieki, leczenia i wsparcia psychospołecznego ofiarom przemocy seksualnej;</w:t>
      </w:r>
    </w:p>
    <w:p w14:paraId="0EF81F57" w14:textId="0DC64BE9" w:rsidR="00D80E73" w:rsidRPr="00E15FBB" w:rsidRDefault="00D80E73" w:rsidP="00D80E73">
      <w:pPr>
        <w:pStyle w:val="NormalHanging12a"/>
        <w:rPr>
          <w:szCs w:val="24"/>
        </w:rPr>
      </w:pPr>
      <w:r w:rsidRPr="00E15FBB">
        <w:t>1</w:t>
      </w:r>
      <w:r w:rsidR="00AE0C84">
        <w:t>9</w:t>
      </w:r>
      <w:r w:rsidRPr="00E15FBB">
        <w:t>.</w:t>
      </w:r>
      <w:r w:rsidRPr="00E15FBB">
        <w:tab/>
        <w:t>apeluje do stron konfliktu, by zaprzestały ukierunkowanych ataków i nękania sudańskich aktywistów, obrońców praw człowieka, dziennikarzy i przedstawicieli społeczeństwa obywatelskiego;</w:t>
      </w:r>
    </w:p>
    <w:p w14:paraId="5FD70553" w14:textId="0B5AD110" w:rsidR="00D80E73" w:rsidRPr="00E15FBB" w:rsidRDefault="00AE0C84" w:rsidP="00D80E73">
      <w:pPr>
        <w:pStyle w:val="NormalHanging12a"/>
        <w:rPr>
          <w:szCs w:val="24"/>
        </w:rPr>
      </w:pPr>
      <w:r>
        <w:t>20</w:t>
      </w:r>
      <w:r w:rsidR="00D80E73" w:rsidRPr="00E15FBB">
        <w:t>.</w:t>
      </w:r>
      <w:r w:rsidR="00D80E73" w:rsidRPr="00E15FBB">
        <w:tab/>
        <w:t xml:space="preserve">wzywa wszystkie strony do dotrzymania zobowiązań wynikających z </w:t>
      </w:r>
      <w:r w:rsidR="00D80E73" w:rsidRPr="00E15FBB">
        <w:lastRenderedPageBreak/>
        <w:t>międzynarodowego prawa humanitarnego i międzynarodowego prawa dotyczącego praw człowieka poprzez zastosowanie wszelkich możliwych środków, aby chronić ludność cywilną i obiekty cywilne; podkreśla, że w działaniach na rzecz zakończenia konfliktu w Sudanie priorytetem musi być reagowanie na sytuację kobiet i dziewcząt w Sudanie, a w szczególności na ciągłe wykorzystywanie przemocy seksualnej w konfliktach zbrojnych; podkreśla potrzebę zagwarantowania należytego wsparcia służbom socjalnym udzielającym pomocy w nagłych przypadkach oraz szczególnego wsparcia systemów ochrony, opieki, leczenia i pomocy dla osób, które doświadczyły przemocy seksualnej i przemocy ze względu na płeć;</w:t>
      </w:r>
    </w:p>
    <w:p w14:paraId="56F42E3F" w14:textId="36130BC2" w:rsidR="00D80E73" w:rsidRPr="00E15FBB" w:rsidRDefault="00AE0C84" w:rsidP="00D80E73">
      <w:pPr>
        <w:pStyle w:val="NormalHanging12a"/>
      </w:pPr>
      <w:r>
        <w:t>21</w:t>
      </w:r>
      <w:r w:rsidR="00D80E73" w:rsidRPr="00E15FBB">
        <w:t>.</w:t>
      </w:r>
      <w:r w:rsidR="00D80E73" w:rsidRPr="00E15FBB">
        <w:tab/>
        <w:t>apeluje do krajów sąsiadujących z Sudanem, by otworzyły granice dla sudańskich uchodźców, a do UE i jej państw członkowskich – by szybko zwiększyły nadzwyczajne środki na działania humanitarne w Sudanie i w obozach dla uchodźców w krajach sąsiadujących;</w:t>
      </w:r>
    </w:p>
    <w:p w14:paraId="709F12B5" w14:textId="13B6ED1E" w:rsidR="00D80E73" w:rsidRPr="00E15FBB" w:rsidRDefault="00D80E73" w:rsidP="00D80E73">
      <w:pPr>
        <w:pStyle w:val="NormalHanging12a"/>
      </w:pPr>
      <w:r w:rsidRPr="00E15FBB">
        <w:t>2</w:t>
      </w:r>
      <w:r w:rsidR="00AE0C84">
        <w:t>2</w:t>
      </w:r>
      <w:r w:rsidRPr="00E15FBB">
        <w:t>.</w:t>
      </w:r>
      <w:r w:rsidRPr="00E15FBB">
        <w:tab/>
        <w:t>podkreśla poważne ryzyko rozprzestrzenienia się konfliktu w Sudanie na inne regiony podatne na zagrożenia, takie jak Róg Afryki i Sahel, i jest poważnie zaniepokojony wpływem sudańskiego kryzysu na nieuregulowane przepływy migracyjne do Europy;</w:t>
      </w:r>
    </w:p>
    <w:p w14:paraId="219D9235" w14:textId="6BB350FE" w:rsidR="00D80E73" w:rsidRPr="00E15FBB" w:rsidRDefault="00D80E73" w:rsidP="00D80E73">
      <w:pPr>
        <w:pStyle w:val="NormalHanging12a"/>
      </w:pPr>
      <w:r w:rsidRPr="00E15FBB">
        <w:t>2</w:t>
      </w:r>
      <w:r w:rsidR="00AE0C84">
        <w:t>3</w:t>
      </w:r>
      <w:r w:rsidRPr="00E15FBB">
        <w:t>.</w:t>
      </w:r>
      <w:r w:rsidRPr="00E15FBB">
        <w:tab/>
        <w:t>wzywa Radę i Komisję do utrzymania i zwiększenia środków na pomoc humanitarną UE dla Sudanu i regionu w wysokości 273 mln EUR oraz do dopilnowania, by fundusze docierały do osób najbardziej potrzebujących;</w:t>
      </w:r>
    </w:p>
    <w:p w14:paraId="34FEB6D3" w14:textId="593709D9" w:rsidR="00D80E73" w:rsidRPr="00E15FBB" w:rsidRDefault="00D80E73" w:rsidP="00D80E73">
      <w:pPr>
        <w:pStyle w:val="NormalHanging12a"/>
      </w:pPr>
      <w:r w:rsidRPr="00E15FBB">
        <w:t>2</w:t>
      </w:r>
      <w:r w:rsidR="00AE0C84">
        <w:t>4</w:t>
      </w:r>
      <w:r w:rsidRPr="00E15FBB">
        <w:t>.</w:t>
      </w:r>
      <w:r w:rsidRPr="00E15FBB">
        <w:tab/>
        <w:t>domaga się, by niezwłocznie pociągnąć do odpowiedzialności sprawców czynów przestępczych przeciwko Sudańczykom; apeluje do UE i państw członkowskich, by poparły rozszerzenie jurysdykcji Międzynarodowego Trybunału Karnego na cały Sudan, ustanowienie niezależnego mechanizmu sądowego, zgodnie z zaleceniami IIFFM, a także przeniesienie postępowań krajowych do jurysdykcji uniwersalnej;</w:t>
      </w:r>
    </w:p>
    <w:p w14:paraId="2AB87FA4" w14:textId="2F81A120" w:rsidR="00D80E73" w:rsidRPr="00E15FBB" w:rsidRDefault="00D80E73" w:rsidP="00D80E73">
      <w:pPr>
        <w:pStyle w:val="NormalHanging12a"/>
      </w:pPr>
      <w:r w:rsidRPr="00E15FBB">
        <w:t>2</w:t>
      </w:r>
      <w:r w:rsidR="00AE0C84">
        <w:t>5</w:t>
      </w:r>
      <w:r w:rsidRPr="00E15FBB">
        <w:t>.</w:t>
      </w:r>
      <w:r w:rsidRPr="00E15FBB">
        <w:tab/>
        <w:t>podkreśla, że obowiązek pociągnięcia do odpowiedzialności jest prawnym i moralnym imperatywem; zaznacza, że sprawiedliwość nie może czekać, a społeczność międzynarodowa musi podjąć zdecydowane działania w celu ścigania osób odpowiedzialnych na mocy prawa międzynarodowego;</w:t>
      </w:r>
    </w:p>
    <w:p w14:paraId="030578E5" w14:textId="1B0F138E" w:rsidR="00D80E73" w:rsidRPr="00E15FBB" w:rsidRDefault="00D80E73" w:rsidP="00D80E73">
      <w:pPr>
        <w:pStyle w:val="NormalHanging12a"/>
      </w:pPr>
      <w:r w:rsidRPr="00E15FBB">
        <w:t>2</w:t>
      </w:r>
      <w:r w:rsidR="00AE0C84">
        <w:t>6</w:t>
      </w:r>
      <w:r w:rsidRPr="00E15FBB">
        <w:t>.</w:t>
      </w:r>
      <w:r w:rsidRPr="00E15FBB">
        <w:tab/>
        <w:t>apeluje o przeprowadzenie szybkiego, skutecznego, dokładnego, niezależnego, bezstronnego i przejrzystego dochodzenia, aby pociągnąć do odpowiedzialności sprawców, w tym osoby z łańcucha dowodzenia;</w:t>
      </w:r>
    </w:p>
    <w:p w14:paraId="03FB9328" w14:textId="2C6DFAA4" w:rsidR="00D80E73" w:rsidRDefault="00D80E73" w:rsidP="00D80E73">
      <w:pPr>
        <w:pStyle w:val="NormalHanging12a"/>
      </w:pPr>
      <w:r w:rsidRPr="00E15FBB">
        <w:t>2</w:t>
      </w:r>
      <w:r w:rsidR="00AE0C84">
        <w:t>7</w:t>
      </w:r>
      <w:r w:rsidRPr="00E15FBB">
        <w:t>.</w:t>
      </w:r>
      <w:r w:rsidRPr="00E15FBB">
        <w:tab/>
        <w:t>wzywa UE i państwa członkowskie do podwojenia wysiłków dyplomatycznych wobec obu stron konfliktu i wykorzystania wszystkich dostępnych instrumentów, aby zagwarantować dostęp do wszystkich mechanizmów rozliczalności, pilnie reagować na poważne naruszenia praw człowieka i międzynarodowego prawa humanitarnego w Sudanie oraz pociągnąć sprawców do odpowiedzialności za te naruszenia;</w:t>
      </w:r>
    </w:p>
    <w:p w14:paraId="3693364D" w14:textId="0DEF97F6" w:rsidR="00AE0C84" w:rsidRPr="00AE0C84" w:rsidRDefault="00AE0C84" w:rsidP="00D80E73">
      <w:pPr>
        <w:pStyle w:val="NormalHanging12a"/>
        <w:rPr>
          <w:bCs/>
          <w:iCs/>
        </w:rPr>
      </w:pPr>
      <w:r>
        <w:rPr>
          <w:bCs/>
          <w:iCs/>
        </w:rPr>
        <w:t>28</w:t>
      </w:r>
      <w:r w:rsidRPr="00C64F1A">
        <w:rPr>
          <w:bCs/>
          <w:iCs/>
        </w:rPr>
        <w:t>.</w:t>
      </w:r>
      <w:r w:rsidRPr="00C64F1A">
        <w:rPr>
          <w:bCs/>
          <w:iCs/>
        </w:rPr>
        <w:tab/>
        <w:t xml:space="preserve">podkreśla, że obecne środki ograniczające stosowane przez UE są ważne, ale nadal wyraźnie niewystarczające, aby powstrzymać trwające akty okrucieństwa; wzywa zatem do podjęcia głębszych i trwałych działań dyplomatycznych, zwłaszcza za pośrednictwem specjalnej przedstawicielki UE w Rogu Afryki, Annette Weber, wraz z konkretnymi działaniami zmierzającymi do pociągnięcia do odpowiedzialności zarówno sprawców, jak i ich wspólników na całym świecie; wzywa ponadto do powołania specjalnego wysłannika UE w Sudanie, posiadającego silny mandat do koordynowania </w:t>
      </w:r>
      <w:r w:rsidRPr="00C64F1A">
        <w:rPr>
          <w:bCs/>
          <w:iCs/>
        </w:rPr>
        <w:lastRenderedPageBreak/>
        <w:t>działań UE, utrzymywania kontaktów z partnerami regionalnymi, ułatwiania zaangażowania dyplomatycznego oraz zapewniania spójnego wsparcia dla sudańskiego społeczeństwa obywatelskiego, sudańskich obrońców praw człowieka, dziennikarzy i podmiotów demokratycznych;</w:t>
      </w:r>
    </w:p>
    <w:p w14:paraId="65490E38" w14:textId="12352712" w:rsidR="00D80E73" w:rsidRDefault="00D80E73" w:rsidP="00D80E73">
      <w:pPr>
        <w:pStyle w:val="NormalHanging12a"/>
      </w:pPr>
      <w:r w:rsidRPr="00E15FBB">
        <w:t>2</w:t>
      </w:r>
      <w:r w:rsidR="00AE0C84">
        <w:t>9</w:t>
      </w:r>
      <w:r w:rsidRPr="00E15FBB">
        <w:t>.</w:t>
      </w:r>
      <w:r w:rsidRPr="00E15FBB">
        <w:tab/>
        <w:t>apeluje do UE, by w ramach globalnego systemu sankcji UE za naruszenia praw człowieka nałożyła ukierunkowane sankcje na głównych dowódców RSF i SAF, w tym na generałów Abdela Fattaha al-Burhana i Muhammada Hamdana Dagalo (zwanego Hemedtim) oraz ich siatki, a także na podmioty, które ich finansują i na ich sprzymierzeńców spoza Sudanu, ze względu na ich odpowiedzialność za poważne naruszenia międzynarodowego prawa humanitarnego;</w:t>
      </w:r>
    </w:p>
    <w:p w14:paraId="616B290F" w14:textId="3F8C7E9A" w:rsidR="00AE0C84" w:rsidRPr="00AE0C84" w:rsidRDefault="00AE0C84" w:rsidP="00D80E73">
      <w:pPr>
        <w:pStyle w:val="NormalHanging12a"/>
        <w:rPr>
          <w:rFonts w:eastAsia="Aptos"/>
          <w:bCs/>
          <w:iCs/>
          <w:kern w:val="2"/>
          <w:szCs w:val="24"/>
          <w14:ligatures w14:val="standardContextual"/>
        </w:rPr>
      </w:pPr>
      <w:r>
        <w:rPr>
          <w:bCs/>
          <w:iCs/>
        </w:rPr>
        <w:t>30</w:t>
      </w:r>
      <w:r w:rsidRPr="00C64F1A">
        <w:rPr>
          <w:bCs/>
          <w:iCs/>
        </w:rPr>
        <w:t>.</w:t>
      </w:r>
      <w:r w:rsidRPr="00C64F1A">
        <w:rPr>
          <w:bCs/>
          <w:iCs/>
        </w:rPr>
        <w:tab/>
        <w:t>wzywa Radę do pilnego wszczęcia procedury oceny, czy RSF spełniają kryteria umieszczenia na unijnej „liście terrorystów” objętych ograniczeniami, i zapewnienia w tym celu rygorystycznej analizy istotnych dowodów dotyczących działań tej organizacji, oraz – jeśli okaże się to zasadne – do podjęcia jednomyślnej decyzji przez państwa członkowskie UE o umieszczeniu RSF na tej liście;</w:t>
      </w:r>
    </w:p>
    <w:p w14:paraId="3EB35D04" w14:textId="1C288794" w:rsidR="00D80E73" w:rsidRPr="00E15FBB" w:rsidRDefault="00AE0C84" w:rsidP="00D80E73">
      <w:pPr>
        <w:pStyle w:val="NormalHanging12a"/>
      </w:pPr>
      <w:r>
        <w:t>31</w:t>
      </w:r>
      <w:r w:rsidR="00D80E73" w:rsidRPr="00E15FBB">
        <w:t>.</w:t>
      </w:r>
      <w:r w:rsidR="00D80E73" w:rsidRPr="00E15FBB">
        <w:tab/>
        <w:t>mając na uwadze ich zobowiązania wynikające z Konwencji ONZ w sprawie zapobiegania i karania zbrodni ludobójstwa, apeluje do wiceprzewodniczącej Komisji/wysokiej przedstawicielki Unii do spraw zagranicznych i polityki bezpieczeństwa, Komisji, Rady i państw członkowskich, by podjęły zdecydowane działania i ściśle współpracowały z partnerami międzynarodowymi na rzecz zapobiegania ludobójstwu w Sudanie;</w:t>
      </w:r>
    </w:p>
    <w:p w14:paraId="0204357A" w14:textId="59E5E86B" w:rsidR="00D80E73" w:rsidRPr="00E15FBB" w:rsidRDefault="00AE0C84" w:rsidP="00D80E73">
      <w:pPr>
        <w:pStyle w:val="NormalHanging12a"/>
      </w:pPr>
      <w:r>
        <w:t>32</w:t>
      </w:r>
      <w:r w:rsidR="00D80E73" w:rsidRPr="00E15FBB">
        <w:t>.</w:t>
      </w:r>
      <w:r w:rsidR="00D80E73" w:rsidRPr="00E15FBB">
        <w:tab/>
        <w:t>wzywa wszystkie strony konfliktu do konstruktywnego zaangażowania się w obejmujące wszystkie strony negocjacje w sprawie zawieszenia broni oraz podkreśla pilną potrzebę wiarygodnego i inkluzywnego procesu mediacji; wzywa wszystkie podmioty zewnętrzne, które bezpośrednio lub pośrednio dostarczają broń, wsparcie finansowe lub innego rodzaju wsparcie dla walczących stron, do natychmiastowego zaprzestania udzielania takiej pomocy i do przestrzegania nałożonego przez ONZ embarga na broń; zauważa, że obecne embargo na broń ogranicza się do Darfuru i wzywa do jego rozszerzenia na cały Sudan;</w:t>
      </w:r>
    </w:p>
    <w:p w14:paraId="768446AF" w14:textId="64123ECA" w:rsidR="00D80E73" w:rsidRPr="00E15FBB" w:rsidRDefault="00AE0C84" w:rsidP="00D80E73">
      <w:pPr>
        <w:pStyle w:val="NormalHanging12a"/>
      </w:pPr>
      <w:r>
        <w:t>33</w:t>
      </w:r>
      <w:r w:rsidR="00D80E73" w:rsidRPr="00E15FBB">
        <w:t>.</w:t>
      </w:r>
      <w:r w:rsidR="00D80E73" w:rsidRPr="00E15FBB">
        <w:tab/>
        <w:t>z zadowoleniem przyjmuje wydane 12 września 2025 r. wspólne oświadczenie członków czterostronnego dialogu na temat bezpieczeństwa (Egiptu, Arabii Saudyjskiej, Zjednoczonych Emiratów Arabskich i Stanów Zjednoczonych) w sprawie zakończenia konfliktu w Sudanie i przypomina, że dialog ten pozostaje jedyną uznaną formą mediacji w tym konflikcie; wyraża poparcie dla wysiłków Unii Afrykańskiej i Międzynarodowej Organizacji ds. Rozwoju na rzecz koordynacji międzynarodowych i dwustronnych nacisków na wszystkie strony w celu doprowadzenia do zawieszenia broni, poprawy dostępu dla pomocy humanitarnej i wznowienia dialogu politycznego z udziałem wszystkich stron, we współpracy z partnerami takimi jak UE, Liga Państw Arabskich i Organizacja Narodów Zjednoczonych;</w:t>
      </w:r>
    </w:p>
    <w:p w14:paraId="41315AD6" w14:textId="2F214E79" w:rsidR="00E365E1" w:rsidRPr="00E15FBB" w:rsidRDefault="00D80E73" w:rsidP="00C64F1A">
      <w:pPr>
        <w:pStyle w:val="NormalHanging12a"/>
      </w:pPr>
      <w:r w:rsidRPr="00E15FBB">
        <w:t>3</w:t>
      </w:r>
      <w:r w:rsidR="00AE0C84">
        <w:t>4</w:t>
      </w:r>
      <w:r w:rsidRPr="00E15FBB">
        <w:t>.</w:t>
      </w:r>
      <w:r w:rsidRPr="00E15FBB">
        <w:tab/>
        <w:t>zobowiązuje swoją przewodniczącą do przekazania niniejszej rezolucji Radzie, Komisji, wiceprzewodniczącej Komisji/wysokiej przedstawicielce Unii ds. zagranicznych i polityki bezpieczeństwa, rządom i parlamentom państw członkowskich, Unii Afrykańskiej, sekretarzowi generalnemu ONZ, Radzie Praw Człowieka, Międzynarodowemu Trybunałowi Karnemu i władzom Sudanu.</w:t>
      </w:r>
    </w:p>
    <w:sectPr w:rsidR="00E365E1" w:rsidRPr="00E15FBB" w:rsidSect="00E15F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87A25" w14:textId="77777777" w:rsidR="00522742" w:rsidRPr="00E15FBB" w:rsidRDefault="00522742">
      <w:r w:rsidRPr="00E15FBB">
        <w:separator/>
      </w:r>
    </w:p>
  </w:endnote>
  <w:endnote w:type="continuationSeparator" w:id="0">
    <w:p w14:paraId="0A609107" w14:textId="77777777" w:rsidR="00522742" w:rsidRPr="00E15FBB" w:rsidRDefault="00522742">
      <w:r w:rsidRPr="00E15F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76EB" w14:textId="77777777" w:rsidR="00064002" w:rsidRPr="00E15F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F24E6" w14:textId="77777777" w:rsidR="00064002" w:rsidRPr="00E15F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B0172" w14:textId="77777777" w:rsidR="00064002" w:rsidRPr="00E15F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79DD5" w14:textId="77777777" w:rsidR="00522742" w:rsidRPr="00E15FBB" w:rsidRDefault="00522742">
      <w:r w:rsidRPr="00E15FBB">
        <w:separator/>
      </w:r>
    </w:p>
  </w:footnote>
  <w:footnote w:type="continuationSeparator" w:id="0">
    <w:p w14:paraId="6480BE5D" w14:textId="77777777" w:rsidR="00522742" w:rsidRPr="00E15FBB" w:rsidRDefault="00522742">
      <w:r w:rsidRPr="00E15FBB">
        <w:continuationSeparator/>
      </w:r>
    </w:p>
  </w:footnote>
  <w:footnote w:id="1">
    <w:p w14:paraId="59347E84" w14:textId="6C0EA3C9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C, C/2024/486, 23.1.2024, ELI: </w:t>
      </w:r>
      <w:hyperlink r:id="rId1" w:history="1">
        <w:r w:rsidRPr="00AE0C84">
          <w:rPr>
            <w:rStyle w:val="Hyperlink"/>
            <w:sz w:val="24"/>
            <w:lang w:val="fi-FI"/>
          </w:rPr>
          <w:t>http://data.europa.eu/eli/C/2024/486/oj</w:t>
        </w:r>
      </w:hyperlink>
      <w:r w:rsidRPr="00AE0C84">
        <w:rPr>
          <w:sz w:val="24"/>
          <w:lang w:val="fi-FI"/>
        </w:rPr>
        <w:t>.</w:t>
      </w:r>
    </w:p>
  </w:footnote>
  <w:footnote w:id="2">
    <w:p w14:paraId="4DE67847" w14:textId="2009BEAB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C, C/2025/3154, 20.6.2025, ELI: </w:t>
      </w:r>
      <w:hyperlink r:id="rId2" w:history="1">
        <w:r w:rsidRPr="00AE0C84">
          <w:rPr>
            <w:rStyle w:val="Hyperlink"/>
            <w:sz w:val="24"/>
            <w:lang w:val="fi-FI"/>
          </w:rPr>
          <w:t>http://data.europa.eu/eli/C/2025/3154/oj</w:t>
        </w:r>
      </w:hyperlink>
      <w:r w:rsidRPr="00AE0C84">
        <w:rPr>
          <w:sz w:val="24"/>
          <w:lang w:val="fi-FI"/>
        </w:rPr>
        <w:t>.</w:t>
      </w:r>
    </w:p>
  </w:footnote>
  <w:footnote w:id="3">
    <w:p w14:paraId="1DA10BF8" w14:textId="44BB23D4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2024/383, 22.1.2024, ELI: </w:t>
      </w:r>
      <w:hyperlink r:id="rId3" w:history="1">
        <w:r w:rsidRPr="00AE0C84">
          <w:rPr>
            <w:rStyle w:val="Hyperlink"/>
            <w:sz w:val="24"/>
            <w:lang w:val="fi-FI"/>
          </w:rPr>
          <w:t>http://data.europa.eu/eli/dec/2024/383/oj</w:t>
        </w:r>
      </w:hyperlink>
      <w:r w:rsidRPr="00AE0C84">
        <w:rPr>
          <w:sz w:val="24"/>
          <w:lang w:val="fi-FI"/>
        </w:rPr>
        <w:t>.</w:t>
      </w:r>
    </w:p>
  </w:footnote>
  <w:footnote w:id="4">
    <w:p w14:paraId="4654EA35" w14:textId="58994D57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2024/1784, 24.6.2024, ELI: </w:t>
      </w:r>
      <w:hyperlink r:id="rId4" w:history="1">
        <w:r w:rsidRPr="00AE0C84">
          <w:rPr>
            <w:rStyle w:val="Hyperlink"/>
            <w:sz w:val="24"/>
            <w:lang w:val="fi-FI"/>
          </w:rPr>
          <w:t>http://data.europa.eu/eli/dec/2024/1784/oj</w:t>
        </w:r>
      </w:hyperlink>
      <w:r w:rsidRPr="00AE0C84">
        <w:rPr>
          <w:sz w:val="24"/>
          <w:lang w:val="fi-FI"/>
        </w:rPr>
        <w:t>.</w:t>
      </w:r>
    </w:p>
  </w:footnote>
  <w:footnote w:id="5">
    <w:p w14:paraId="42A9C72C" w14:textId="7C4874C4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2024/2655, 9.10.2024, ELI: </w:t>
      </w:r>
      <w:hyperlink r:id="rId5" w:history="1">
        <w:r w:rsidRPr="00AE0C84">
          <w:rPr>
            <w:rStyle w:val="Hyperlink"/>
            <w:sz w:val="24"/>
            <w:lang w:val="fi-FI"/>
          </w:rPr>
          <w:t>http://data.europa.eu/eli/dec/2024/2655/oj</w:t>
        </w:r>
      </w:hyperlink>
      <w:r w:rsidRPr="00AE0C84">
        <w:rPr>
          <w:sz w:val="24"/>
          <w:lang w:val="fi-FI"/>
        </w:rPr>
        <w:t>.</w:t>
      </w:r>
    </w:p>
  </w:footnote>
  <w:footnote w:id="6">
    <w:p w14:paraId="064ACD9C" w14:textId="5E988730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2024/3154, 16.12.2024, ELI: </w:t>
      </w:r>
      <w:hyperlink r:id="rId6" w:history="1">
        <w:r w:rsidRPr="00AE0C84">
          <w:rPr>
            <w:rStyle w:val="Hyperlink"/>
            <w:sz w:val="24"/>
            <w:lang w:val="fi-FI"/>
          </w:rPr>
          <w:t>http://data.europa.eu/eli/dec/2024/3154/oj</w:t>
        </w:r>
      </w:hyperlink>
      <w:r w:rsidRPr="00AE0C84">
        <w:rPr>
          <w:sz w:val="24"/>
          <w:lang w:val="fi-FI"/>
        </w:rPr>
        <w:t>.</w:t>
      </w:r>
    </w:p>
  </w:footnote>
  <w:footnote w:id="7">
    <w:p w14:paraId="7EBE9F5A" w14:textId="0A2E73C4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2025/377, 25.2.2025, ELI: </w:t>
      </w:r>
      <w:hyperlink r:id="rId7" w:history="1">
        <w:r w:rsidRPr="00AE0C84">
          <w:rPr>
            <w:rStyle w:val="Hyperlink"/>
            <w:sz w:val="24"/>
            <w:lang w:val="fi-FI"/>
          </w:rPr>
          <w:t>http://data.europa.eu/eli/dec/2025/377/oj</w:t>
        </w:r>
      </w:hyperlink>
      <w:r w:rsidRPr="00AE0C84">
        <w:rPr>
          <w:sz w:val="24"/>
          <w:lang w:val="fi-FI"/>
        </w:rPr>
        <w:t>.</w:t>
      </w:r>
    </w:p>
  </w:footnote>
  <w:footnote w:id="8">
    <w:p w14:paraId="71F43D0C" w14:textId="5046A531" w:rsidR="00D80E73" w:rsidRPr="00AE0C84" w:rsidRDefault="00D80E73" w:rsidP="00E15FBB">
      <w:pPr>
        <w:pStyle w:val="FootnoteText"/>
        <w:ind w:left="567" w:hanging="567"/>
        <w:rPr>
          <w:sz w:val="24"/>
          <w:lang w:val="fi-FI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AE0C84">
        <w:rPr>
          <w:sz w:val="24"/>
          <w:lang w:val="fi-FI"/>
        </w:rPr>
        <w:t xml:space="preserve"> </w:t>
      </w:r>
      <w:r w:rsidR="00E15FBB" w:rsidRPr="00AE0C84">
        <w:rPr>
          <w:sz w:val="24"/>
          <w:lang w:val="fi-FI"/>
        </w:rPr>
        <w:tab/>
      </w:r>
      <w:r w:rsidRPr="00AE0C84">
        <w:rPr>
          <w:sz w:val="24"/>
          <w:lang w:val="fi-FI"/>
        </w:rPr>
        <w:t xml:space="preserve">Dz.U. L, 2025/1481, 18.7.2025, ELI: </w:t>
      </w:r>
      <w:hyperlink r:id="rId8" w:history="1">
        <w:r w:rsidRPr="00AE0C84">
          <w:rPr>
            <w:rStyle w:val="Hyperlink"/>
            <w:sz w:val="24"/>
            <w:lang w:val="fi-FI"/>
          </w:rPr>
          <w:t>http://data.europa.eu/eli/dec/2025/1481/oj</w:t>
        </w:r>
      </w:hyperlink>
      <w:r w:rsidRPr="00AE0C84">
        <w:rPr>
          <w:sz w:val="24"/>
          <w:lang w:val="fi-FI"/>
        </w:rPr>
        <w:t>.</w:t>
      </w:r>
    </w:p>
  </w:footnote>
  <w:footnote w:id="9">
    <w:p w14:paraId="41D6F137" w14:textId="39E48C71" w:rsidR="00D80E73" w:rsidRPr="00E15FBB" w:rsidRDefault="00D80E73" w:rsidP="00E15FBB">
      <w:pPr>
        <w:pStyle w:val="FootnoteText"/>
        <w:ind w:left="567" w:hanging="567"/>
        <w:rPr>
          <w:sz w:val="24"/>
          <w:lang w:val="pl-PL"/>
        </w:rPr>
      </w:pPr>
      <w:r w:rsidRPr="00E15FBB">
        <w:rPr>
          <w:rStyle w:val="FootnoteReference"/>
          <w:sz w:val="24"/>
          <w:lang w:val="pl-PL"/>
        </w:rPr>
        <w:footnoteRef/>
      </w:r>
      <w:r w:rsidR="00E15FBB" w:rsidRPr="00E15FBB">
        <w:rPr>
          <w:sz w:val="24"/>
          <w:lang w:val="pl-PL"/>
        </w:rPr>
        <w:t xml:space="preserve"> </w:t>
      </w:r>
      <w:r w:rsidR="00E15FBB" w:rsidRPr="00E15FBB">
        <w:rPr>
          <w:sz w:val="24"/>
          <w:lang w:val="pl-PL"/>
        </w:rPr>
        <w:tab/>
      </w:r>
      <w:r w:rsidRPr="00E15FBB">
        <w:rPr>
          <w:sz w:val="24"/>
          <w:lang w:val="pl-PL"/>
        </w:rPr>
        <w:t>Teksty przyjęte, P10_TA(2025)0253.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E14C4" w14:textId="77777777" w:rsidR="00064002" w:rsidRPr="00E15F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E6C3" w14:textId="77777777" w:rsidR="00064002" w:rsidRPr="00E15F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B7FC" w14:textId="77777777" w:rsidR="00064002" w:rsidRPr="00E15F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187006">
    <w:abstractNumId w:val="9"/>
  </w:num>
  <w:num w:numId="2" w16cid:durableId="1400051872">
    <w:abstractNumId w:val="9"/>
  </w:num>
  <w:num w:numId="3" w16cid:durableId="1209490105">
    <w:abstractNumId w:val="7"/>
  </w:num>
  <w:num w:numId="4" w16cid:durableId="1726563193">
    <w:abstractNumId w:val="7"/>
  </w:num>
  <w:num w:numId="5" w16cid:durableId="1585605843">
    <w:abstractNumId w:val="6"/>
  </w:num>
  <w:num w:numId="6" w16cid:durableId="100146031">
    <w:abstractNumId w:val="6"/>
  </w:num>
  <w:num w:numId="7" w16cid:durableId="2103409464">
    <w:abstractNumId w:val="5"/>
  </w:num>
  <w:num w:numId="8" w16cid:durableId="978921367">
    <w:abstractNumId w:val="5"/>
  </w:num>
  <w:num w:numId="9" w16cid:durableId="644822503">
    <w:abstractNumId w:val="4"/>
  </w:num>
  <w:num w:numId="10" w16cid:durableId="968625614">
    <w:abstractNumId w:val="4"/>
  </w:num>
  <w:num w:numId="11" w16cid:durableId="1542549871">
    <w:abstractNumId w:val="8"/>
  </w:num>
  <w:num w:numId="12" w16cid:durableId="939020582">
    <w:abstractNumId w:val="8"/>
  </w:num>
  <w:num w:numId="13" w16cid:durableId="447431083">
    <w:abstractNumId w:val="3"/>
  </w:num>
  <w:num w:numId="14" w16cid:durableId="1882325171">
    <w:abstractNumId w:val="3"/>
  </w:num>
  <w:num w:numId="15" w16cid:durableId="1137992195">
    <w:abstractNumId w:val="2"/>
  </w:num>
  <w:num w:numId="16" w16cid:durableId="1229994520">
    <w:abstractNumId w:val="2"/>
  </w:num>
  <w:num w:numId="17" w16cid:durableId="1209537230">
    <w:abstractNumId w:val="1"/>
  </w:num>
  <w:num w:numId="18" w16cid:durableId="140394387">
    <w:abstractNumId w:val="1"/>
  </w:num>
  <w:num w:numId="19" w16cid:durableId="1635982160">
    <w:abstractNumId w:val="0"/>
  </w:num>
  <w:num w:numId="20" w16cid:durableId="138764665">
    <w:abstractNumId w:val="0"/>
  </w:num>
  <w:num w:numId="21" w16cid:durableId="422386043">
    <w:abstractNumId w:val="9"/>
  </w:num>
  <w:num w:numId="22" w16cid:durableId="733048991">
    <w:abstractNumId w:val="7"/>
  </w:num>
  <w:num w:numId="23" w16cid:durableId="1156144603">
    <w:abstractNumId w:val="6"/>
  </w:num>
  <w:num w:numId="24" w16cid:durableId="694963402">
    <w:abstractNumId w:val="5"/>
  </w:num>
  <w:num w:numId="25" w16cid:durableId="652218172">
    <w:abstractNumId w:val="4"/>
  </w:num>
  <w:num w:numId="26" w16cid:durableId="1804931119">
    <w:abstractNumId w:val="8"/>
  </w:num>
  <w:num w:numId="27" w16cid:durableId="1807507557">
    <w:abstractNumId w:val="3"/>
  </w:num>
  <w:num w:numId="28" w16cid:durableId="1906792185">
    <w:abstractNumId w:val="2"/>
  </w:num>
  <w:num w:numId="29" w16cid:durableId="1624844916">
    <w:abstractNumId w:val="1"/>
  </w:num>
  <w:num w:numId="30" w16cid:durableId="410128527">
    <w:abstractNumId w:val="0"/>
  </w:num>
  <w:num w:numId="31" w16cid:durableId="718868937">
    <w:abstractNumId w:val="9"/>
  </w:num>
  <w:num w:numId="32" w16cid:durableId="777414181">
    <w:abstractNumId w:val="7"/>
  </w:num>
  <w:num w:numId="33" w16cid:durableId="1336542481">
    <w:abstractNumId w:val="6"/>
  </w:num>
  <w:num w:numId="34" w16cid:durableId="844243003">
    <w:abstractNumId w:val="5"/>
  </w:num>
  <w:num w:numId="35" w16cid:durableId="1087339891">
    <w:abstractNumId w:val="4"/>
  </w:num>
  <w:num w:numId="36" w16cid:durableId="758983252">
    <w:abstractNumId w:val="8"/>
  </w:num>
  <w:num w:numId="37" w16cid:durableId="1202592432">
    <w:abstractNumId w:val="3"/>
  </w:num>
  <w:num w:numId="38" w16cid:durableId="576944282">
    <w:abstractNumId w:val="2"/>
  </w:num>
  <w:num w:numId="39" w16cid:durableId="2025667687">
    <w:abstractNumId w:val="1"/>
  </w:num>
  <w:num w:numId="40" w16cid:durableId="814761109">
    <w:abstractNumId w:val="0"/>
  </w:num>
  <w:num w:numId="41" w16cid:durableId="1249463788">
    <w:abstractNumId w:val="10"/>
  </w:num>
  <w:num w:numId="42" w16cid:durableId="1436097785">
    <w:abstractNumId w:val="10"/>
  </w:num>
  <w:num w:numId="43" w16cid:durableId="279728506">
    <w:abstractNumId w:val="10"/>
  </w:num>
  <w:num w:numId="44" w16cid:durableId="5776352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33/2025"/>
    <w:docVar w:name="dvlangue" w:val="PL"/>
    <w:docVar w:name="dvnumam" w:val="0"/>
    <w:docVar w:name="dvpe" w:val="779.006"/>
    <w:docVar w:name="dvtitre" w:val="Rezolucja Parlamentu Europejskiego z dnia  2025 r. w sprawie eskalacji wojny i katastrofy humanitarnej w Sudanie(2025/2984(RSP))"/>
  </w:docVars>
  <w:rsids>
    <w:rsidRoot w:val="005227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D9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742"/>
    <w:rsid w:val="00545827"/>
    <w:rsid w:val="00560270"/>
    <w:rsid w:val="005C2568"/>
    <w:rsid w:val="005F1B17"/>
    <w:rsid w:val="006037C0"/>
    <w:rsid w:val="006631B6"/>
    <w:rsid w:val="00680577"/>
    <w:rsid w:val="006F74FA"/>
    <w:rsid w:val="007248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0C84"/>
    <w:rsid w:val="00AF3B82"/>
    <w:rsid w:val="00B12E95"/>
    <w:rsid w:val="00B22876"/>
    <w:rsid w:val="00B558F0"/>
    <w:rsid w:val="00B75DA8"/>
    <w:rsid w:val="00BD48FE"/>
    <w:rsid w:val="00BD7BD8"/>
    <w:rsid w:val="00BE6ADC"/>
    <w:rsid w:val="00C05BFE"/>
    <w:rsid w:val="00C23CD4"/>
    <w:rsid w:val="00C61C0C"/>
    <w:rsid w:val="00C64F1A"/>
    <w:rsid w:val="00C941CB"/>
    <w:rsid w:val="00CC2357"/>
    <w:rsid w:val="00CF071A"/>
    <w:rsid w:val="00D058B8"/>
    <w:rsid w:val="00D56C11"/>
    <w:rsid w:val="00D80E73"/>
    <w:rsid w:val="00D834A0"/>
    <w:rsid w:val="00D872DF"/>
    <w:rsid w:val="00D91E21"/>
    <w:rsid w:val="00DA7FCD"/>
    <w:rsid w:val="00E15FBB"/>
    <w:rsid w:val="00E365E1"/>
    <w:rsid w:val="00E820A4"/>
    <w:rsid w:val="00E96B2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0C0F6"/>
  <w15:chartTrackingRefBased/>
  <w15:docId w15:val="{316B18AC-2C2F-4101-A497-3A005701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80E7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80E7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80E73"/>
    <w:rPr>
      <w:sz w:val="24"/>
      <w:lang w:val="pl-PL"/>
    </w:rPr>
  </w:style>
  <w:style w:type="character" w:customStyle="1" w:styleId="cf01">
    <w:name w:val="cf01"/>
    <w:basedOn w:val="DefaultParagraphFont"/>
    <w:rsid w:val="00D80E7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D80E7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E0C8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5/1481/oj" TargetMode="External"/><Relationship Id="rId3" Type="http://schemas.openxmlformats.org/officeDocument/2006/relationships/hyperlink" Target="http://data.europa.eu/eli/dec/2024/383/oj" TargetMode="External"/><Relationship Id="rId7" Type="http://schemas.openxmlformats.org/officeDocument/2006/relationships/hyperlink" Target="http://data.europa.eu/eli/dec/2025/377/oj" TargetMode="External"/><Relationship Id="rId2" Type="http://schemas.openxmlformats.org/officeDocument/2006/relationships/hyperlink" Target="http://data.europa.eu/eli/C/2025/3154/oj" TargetMode="External"/><Relationship Id="rId1" Type="http://schemas.openxmlformats.org/officeDocument/2006/relationships/hyperlink" Target="http://data.europa.eu/eli/C/2024/486/oj" TargetMode="External"/><Relationship Id="rId6" Type="http://schemas.openxmlformats.org/officeDocument/2006/relationships/hyperlink" Target="http://data.europa.eu/eli/dec/2024/3154/oj" TargetMode="External"/><Relationship Id="rId5" Type="http://schemas.openxmlformats.org/officeDocument/2006/relationships/hyperlink" Target="http://data.europa.eu/eli/dec/2024/2655/oj" TargetMode="External"/><Relationship Id="rId4" Type="http://schemas.openxmlformats.org/officeDocument/2006/relationships/hyperlink" Target="http://data.europa.eu/eli/dec/2024/17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3036</Words>
  <Characters>20414</Characters>
  <Application>Microsoft Office Word</Application>
  <DocSecurity>4</DocSecurity>
  <Lines>170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2</cp:revision>
  <cp:lastPrinted>2004-11-19T15:42:00Z</cp:lastPrinted>
  <dcterms:created xsi:type="dcterms:W3CDTF">2026-03-02T15:10:00Z</dcterms:created>
  <dcterms:modified xsi:type="dcterms:W3CDTF">2026-03-02T15:10:00Z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B10-0533/2025</vt:lpwstr>
  </property>
  <property fmtid="{D5CDD505-2E9C-101B-9397-08002B2CF9AE}" pid="4" name="&lt;Type&gt;">
    <vt:lpwstr>RR</vt:lpwstr>
  </property>
</Properties>
</file>