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47EA" w14:paraId="32B986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2BDB43" w14:textId="206B479C" w:rsidR="00751A4A" w:rsidRPr="007047EA" w:rsidRDefault="009F5C3E" w:rsidP="0010095E">
            <w:pPr>
              <w:pStyle w:val="EPName"/>
            </w:pPr>
            <w:r w:rsidRPr="007047EA">
              <w:t>Европейски</w:t>
            </w:r>
            <w:r w:rsidR="00311C22" w:rsidRPr="007047EA">
              <w:t xml:space="preserve"> парламент</w:t>
            </w:r>
          </w:p>
          <w:p w14:paraId="428764CB" w14:textId="2A726172" w:rsidR="00751A4A" w:rsidRPr="007047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47EA">
              <w:t>2024</w:t>
            </w:r>
            <w:r w:rsidR="009F5C3E">
              <w:t> – </w:t>
            </w:r>
            <w:r w:rsidR="00817416" w:rsidRPr="007047EA">
              <w:t>202</w:t>
            </w:r>
            <w:r w:rsidRPr="007047EA">
              <w:t>9</w:t>
            </w:r>
          </w:p>
        </w:tc>
        <w:tc>
          <w:tcPr>
            <w:tcW w:w="2268" w:type="dxa"/>
            <w:shd w:val="clear" w:color="auto" w:fill="auto"/>
          </w:tcPr>
          <w:p w14:paraId="5F329636" w14:textId="77777777" w:rsidR="00751A4A" w:rsidRPr="007047EA" w:rsidRDefault="00187494" w:rsidP="0010095E">
            <w:pPr>
              <w:pStyle w:val="EPLogo"/>
            </w:pPr>
            <w:r w:rsidRPr="007047EA">
              <w:rPr>
                <w:noProof/>
                <w:lang w:eastAsia="ja-JP"/>
              </w:rPr>
              <w:drawing>
                <wp:inline distT="0" distB="0" distL="0" distR="0" wp14:anchorId="60F6A837" wp14:editId="71A03D5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7C4492" w14:textId="77777777" w:rsidR="00D058B8" w:rsidRPr="007047EA" w:rsidRDefault="00D058B8" w:rsidP="004C5D52">
      <w:pPr>
        <w:pStyle w:val="LineTop"/>
      </w:pPr>
    </w:p>
    <w:p w14:paraId="445F5268" w14:textId="77777777" w:rsidR="00680577" w:rsidRPr="007047EA" w:rsidRDefault="00311C22" w:rsidP="00680577">
      <w:pPr>
        <w:pStyle w:val="EPBodyTA1"/>
      </w:pPr>
      <w:r w:rsidRPr="007047EA">
        <w:t>ПРИЕТИ ТЕКСТОВЕ</w:t>
      </w:r>
    </w:p>
    <w:p w14:paraId="17E9308F" w14:textId="77777777" w:rsidR="00D058B8" w:rsidRPr="007047EA" w:rsidRDefault="00D058B8" w:rsidP="00D058B8">
      <w:pPr>
        <w:pStyle w:val="LineBottom"/>
      </w:pPr>
    </w:p>
    <w:p w14:paraId="67F88A14" w14:textId="58D3CC7C" w:rsidR="00311C22" w:rsidRPr="007047EA" w:rsidRDefault="00311C22" w:rsidP="00311C22">
      <w:pPr>
        <w:pStyle w:val="ATHeading1"/>
      </w:pPr>
      <w:bookmarkStart w:id="0" w:name="TANumber"/>
      <w:r w:rsidRPr="007047EA">
        <w:t>P10_TA(2025)0</w:t>
      </w:r>
      <w:r w:rsidR="00A8027A">
        <w:rPr>
          <w:lang w:val="en-GB"/>
        </w:rPr>
        <w:t>312</w:t>
      </w:r>
      <w:bookmarkEnd w:id="0"/>
    </w:p>
    <w:p w14:paraId="44D620F2" w14:textId="77777777" w:rsidR="00311C22" w:rsidRPr="007047EA" w:rsidRDefault="00311C22" w:rsidP="00311C22">
      <w:pPr>
        <w:pStyle w:val="ATHeading2"/>
      </w:pPr>
      <w:bookmarkStart w:id="1" w:name="title"/>
      <w:r w:rsidRPr="007047EA">
        <w:t>Позицията на ЕС относно предложения план и ангажимента на ЕС за справедлив и траен мир за Украйна</w:t>
      </w:r>
      <w:bookmarkEnd w:id="1"/>
    </w:p>
    <w:p w14:paraId="65BAAB2B" w14:textId="77777777" w:rsidR="00311C22" w:rsidRPr="007047EA" w:rsidRDefault="00311C22" w:rsidP="00311C22">
      <w:pPr>
        <w:rPr>
          <w:i/>
          <w:vanish/>
        </w:rPr>
      </w:pPr>
      <w:r w:rsidRPr="007047EA">
        <w:rPr>
          <w:i/>
        </w:rPr>
        <w:fldChar w:fldCharType="begin"/>
      </w:r>
      <w:r w:rsidRPr="007047EA">
        <w:rPr>
          <w:i/>
        </w:rPr>
        <w:instrText xml:space="preserve"> TC"(</w:instrText>
      </w:r>
      <w:bookmarkStart w:id="2" w:name="DocNumber"/>
      <w:r w:rsidRPr="007047EA">
        <w:rPr>
          <w:i/>
        </w:rPr>
        <w:instrText xml:space="preserve">B10-0545, 0546, 0547, 0548 </w:instrText>
      </w:r>
      <w:proofErr w:type="spellStart"/>
      <w:r w:rsidRPr="007047EA">
        <w:rPr>
          <w:i/>
        </w:rPr>
        <w:instrText>and</w:instrText>
      </w:r>
      <w:proofErr w:type="spellEnd"/>
      <w:r w:rsidRPr="007047EA">
        <w:rPr>
          <w:i/>
        </w:rPr>
        <w:instrText xml:space="preserve"> 0549/2025</w:instrText>
      </w:r>
      <w:bookmarkEnd w:id="2"/>
      <w:r w:rsidRPr="007047EA">
        <w:rPr>
          <w:i/>
        </w:rPr>
        <w:instrText xml:space="preserve">)"\l3 \n&gt; \* MERGEFORMAT </w:instrText>
      </w:r>
      <w:r w:rsidRPr="007047EA">
        <w:rPr>
          <w:i/>
        </w:rPr>
        <w:fldChar w:fldCharType="end"/>
      </w:r>
    </w:p>
    <w:p w14:paraId="454586DC" w14:textId="77777777" w:rsidR="00311C22" w:rsidRPr="007047EA" w:rsidRDefault="00311C22" w:rsidP="00311C22">
      <w:pPr>
        <w:rPr>
          <w:vanish/>
        </w:rPr>
      </w:pPr>
      <w:bookmarkStart w:id="3" w:name="PE"/>
      <w:r w:rsidRPr="007047EA">
        <w:rPr>
          <w:vanish/>
        </w:rPr>
        <w:t>PE779.019</w:t>
      </w:r>
      <w:bookmarkEnd w:id="3"/>
    </w:p>
    <w:p w14:paraId="77370615" w14:textId="604EE4EE" w:rsidR="00311C22" w:rsidRPr="009F5C3E" w:rsidRDefault="00311C22" w:rsidP="009F5C3E">
      <w:pPr>
        <w:pStyle w:val="ATHeading3"/>
        <w:rPr>
          <w:lang w:val="en-GB"/>
        </w:rPr>
      </w:pPr>
      <w:bookmarkStart w:id="4" w:name="Sujet"/>
      <w:r w:rsidRPr="007047EA">
        <w:t xml:space="preserve">Резолюция на Европейския парламент от </w:t>
      </w:r>
      <w:r w:rsidR="009F5C3E">
        <w:t>27 ноември</w:t>
      </w:r>
      <w:r w:rsidR="009F5C3E" w:rsidRPr="007047EA">
        <w:t xml:space="preserve"> </w:t>
      </w:r>
      <w:r w:rsidRPr="007047EA">
        <w:t>2025 г. относно позицията на ЕС относно предложения план и ангажимента на ЕС за справедлив и траен мир за Украйна</w:t>
      </w:r>
      <w:bookmarkEnd w:id="4"/>
      <w:r w:rsidRPr="007047EA">
        <w:t xml:space="preserve"> </w:t>
      </w:r>
      <w:bookmarkStart w:id="5" w:name="References"/>
      <w:r w:rsidRPr="007047EA">
        <w:t>(2025/3001(RSP))</w:t>
      </w:r>
      <w:bookmarkEnd w:id="5"/>
    </w:p>
    <w:p w14:paraId="13FE3498" w14:textId="77777777" w:rsidR="0091413C" w:rsidRPr="007047EA" w:rsidRDefault="0091413C" w:rsidP="0091413C">
      <w:pPr>
        <w:pStyle w:val="EPComma"/>
      </w:pPr>
      <w:bookmarkStart w:id="6" w:name="TextBodyBegin"/>
      <w:bookmarkEnd w:id="6"/>
      <w:r w:rsidRPr="007047EA">
        <w:rPr>
          <w:i/>
          <w:iCs/>
        </w:rPr>
        <w:t>Европейският парламент</w:t>
      </w:r>
      <w:r w:rsidRPr="007047EA">
        <w:t>,</w:t>
      </w:r>
    </w:p>
    <w:p w14:paraId="1A346823" w14:textId="77777777" w:rsidR="0091413C" w:rsidRPr="007047EA" w:rsidRDefault="0091413C" w:rsidP="0091413C">
      <w:pPr>
        <w:pStyle w:val="NormalHanging12a"/>
      </w:pPr>
      <w:r w:rsidRPr="007047EA">
        <w:t>–</w:t>
      </w:r>
      <w:r w:rsidRPr="007047EA">
        <w:tab/>
        <w:t>като взе предвид предишните си резолюции относно Украйна и Русия,</w:t>
      </w:r>
    </w:p>
    <w:p w14:paraId="678BD40A" w14:textId="77777777" w:rsidR="0091413C" w:rsidRPr="007047EA" w:rsidRDefault="0091413C" w:rsidP="0091413C">
      <w:pPr>
        <w:pStyle w:val="NormalHanging12a"/>
      </w:pPr>
      <w:r w:rsidRPr="007047EA">
        <w:t>–</w:t>
      </w:r>
      <w:r w:rsidRPr="007047EA">
        <w:tab/>
        <w:t>като взе предвид съвместното изявление на председателите на комисиите по външни работи в подкрепа на справедлив и траен мир в Европа от 24 ноември 2025 г.,</w:t>
      </w:r>
    </w:p>
    <w:p w14:paraId="7A526EDA" w14:textId="77777777" w:rsidR="0091413C" w:rsidRPr="007047EA" w:rsidRDefault="0091413C" w:rsidP="0091413C">
      <w:pPr>
        <w:pStyle w:val="NormalHanging12a"/>
      </w:pPr>
      <w:r w:rsidRPr="007047EA">
        <w:t>–</w:t>
      </w:r>
      <w:r w:rsidRPr="007047EA">
        <w:tab/>
        <w:t>като взе предвид член 136, параграфи 2 и 4 от своя Правилник за дейността,</w:t>
      </w:r>
    </w:p>
    <w:p w14:paraId="47739EA0" w14:textId="77777777" w:rsidR="0091413C" w:rsidRPr="007047EA" w:rsidRDefault="0091413C" w:rsidP="0091413C">
      <w:pPr>
        <w:pStyle w:val="NormalHanging12a"/>
      </w:pPr>
      <w:r w:rsidRPr="007047EA">
        <w:t>А.</w:t>
      </w:r>
      <w:r w:rsidRPr="007047EA">
        <w:tab/>
        <w:t>като има предвид, че целта на ЕС продължава да бъде справедлив и траен мир, който се основава на международното право и напълно зачита териториалната цялост, независимостта и суверенитета на Украйна; като има предвид, че поведението на Русия последователно демонстрира липса на интерес към постигането на мир и тя продължава да извършва нападения срещу украински цивилни лица и инфраструктура; като има предвид, че инициативата за прекратяване на войната в Украйна, представена наскоро от администрацията на САЩ, породи основателни опасения относно ангажимента на САЩ за спазване на международното право и за гарантиране на сигурността на Европа и Украйна;</w:t>
      </w:r>
    </w:p>
    <w:p w14:paraId="39993CAA" w14:textId="77777777" w:rsidR="0091413C" w:rsidRPr="007047EA" w:rsidRDefault="0091413C" w:rsidP="0091413C">
      <w:pPr>
        <w:pStyle w:val="NormalHanging12a"/>
      </w:pPr>
      <w:r w:rsidRPr="007047EA">
        <w:t>1.</w:t>
      </w:r>
      <w:r w:rsidRPr="007047EA">
        <w:tab/>
        <w:t>настоятелно призовава ЕС и неговите държави членки да поемат по-голяма отговорност за сигурността на европейския континент, да предоставят непоколебима подкрепа на Украйна, като същевременно се ангажират активно с постигането на траен мир; подчертава, че каквото и да било споразумение, имащо за цел да се прекрати агресивната война на Русия срещу Украйна, далеч надхвърля границите на Русия и Украйна и ще има сериозни последици за европейската система за сигурност; в този контекст настоява, че нито едно решение по отношение на Украйна не трябва да се взема без участието на Украйна и нито един въпрос, засягащ Европа, не трябва да се решава без участието на Европа;</w:t>
      </w:r>
    </w:p>
    <w:p w14:paraId="46B905BF" w14:textId="77777777" w:rsidR="0091413C" w:rsidRPr="007047EA" w:rsidRDefault="0091413C" w:rsidP="0091413C">
      <w:pPr>
        <w:pStyle w:val="NormalHanging12a"/>
      </w:pPr>
      <w:r w:rsidRPr="007047EA">
        <w:lastRenderedPageBreak/>
        <w:t>2.</w:t>
      </w:r>
      <w:r w:rsidRPr="007047EA">
        <w:tab/>
        <w:t xml:space="preserve">отбелязва усилията на администрацията на САЩ за прекратяване на агресивната война на Русия срещу Украйна, но счита, че нееднозначната политика на САЩ по отношение на Украйна е в ущърб на целта за постигане на устойчив мир; поради това настоява ЕС и неговите държави членки да покажат, че могат да бъдат лидери в този решаващ от геополитическа гледна точка момент, и да продължат да работят със Съединените щати и с </w:t>
      </w:r>
      <w:proofErr w:type="spellStart"/>
      <w:r w:rsidRPr="007047EA">
        <w:t>единомислещите</w:t>
      </w:r>
      <w:proofErr w:type="spellEnd"/>
      <w:r w:rsidRPr="007047EA">
        <w:t xml:space="preserve"> партньори, за да се гарантира, че преговорите за справедлив и траен мир за Украйна се основават на принципите на международното право, провеждат се добросъвестно и имат за цел окончателно прекратяване на агресивната война на Русия срещу Украйна;</w:t>
      </w:r>
    </w:p>
    <w:p w14:paraId="431E4EDF" w14:textId="77777777" w:rsidR="0091413C" w:rsidRPr="007047EA" w:rsidRDefault="0091413C" w:rsidP="0091413C">
      <w:pPr>
        <w:pStyle w:val="NormalHanging12a"/>
      </w:pPr>
      <w:r w:rsidRPr="007047EA">
        <w:t>3.</w:t>
      </w:r>
      <w:r w:rsidRPr="007047EA">
        <w:tab/>
        <w:t>подчертава, че европейската стратегия за мир за Украйна трябва да се основава на международното право, да укрепва европейската сигурност, да гарантира запазването и възстановяването на суверенитета и териториалната цялост на Украйна и да бъде приемлива за Украйна и нейния народ, както и да служи като основа за по-нататъшните дипломатически преговори; отново заявява, че мирът не може да бъде постигнат чрез отстъпки за агресора, а изисква непоколебима и устойчива подкрепа за Украйна и адекватно възпиране на Русия с цел тя да не повтори агресията си в бъдеще;</w:t>
      </w:r>
    </w:p>
    <w:p w14:paraId="7CC49CB8" w14:textId="77777777" w:rsidR="0091413C" w:rsidRPr="007047EA" w:rsidRDefault="0091413C" w:rsidP="0091413C">
      <w:pPr>
        <w:pStyle w:val="NormalHanging12a"/>
      </w:pPr>
      <w:r w:rsidRPr="007047EA">
        <w:t>4.</w:t>
      </w:r>
      <w:r w:rsidRPr="007047EA">
        <w:tab/>
        <w:t>счита, че предвид грубите нарушения, извършени в миналото от Русия по отношение на предишни правно обвързващи споразумения, ангажименти за зачитане на суверенитета на нейните съседи и основни принципи на международното право, споразумението за устойчив мир ще трябва да бъде предшествано от прекратяване на огъня и трябва да бъде подкрепено от ефективни мерки за мониторинг на изпълнението на ангажиментите и предотвратяване на забавяне при изпълнението на задълженията, като то трябва да стъпва на солидни гаранции за сигурността на Украйна, предоставени от ЕС и САЩ, чрез които ще бъдат предотвратени нови прояви на агресия и незабавно ще се предприемат ответни мерки спрямо такива прояви;</w:t>
      </w:r>
    </w:p>
    <w:p w14:paraId="1DBD4BA3" w14:textId="77777777" w:rsidR="0091413C" w:rsidRPr="007047EA" w:rsidRDefault="0091413C" w:rsidP="0091413C">
      <w:pPr>
        <w:pStyle w:val="NormalHanging12a"/>
      </w:pPr>
      <w:r w:rsidRPr="007047EA">
        <w:t>5.</w:t>
      </w:r>
      <w:r w:rsidRPr="007047EA">
        <w:tab/>
        <w:t>подчертава, че мирното споразумение не трябва да ограничава способността на Украйна да защитава своя суверенитет, независимост и териториална цялост и по този начин да я прави уязвима за бъдещи нападения; подчертава, че това споразумение трябва да предложи надеждни гаранции за сигурността на Украйна, които по своя обхват съответстват на равнището, предвидено в член 5 от Договора от Вашингтон и член 42, параграф 7 от Договора за Европейския съюз, като се избягва повторение на Меморандума от Будапеща от 1994 г., както и да потвърди отново, че Украйна е свободна да избира съюзите в областта на сигурността и политическите съюзи, в които участва, без това да подлежи на вето от страна на Русия;</w:t>
      </w:r>
    </w:p>
    <w:p w14:paraId="020B6B62" w14:textId="77777777" w:rsidR="0091413C" w:rsidRPr="007047EA" w:rsidRDefault="0091413C" w:rsidP="0091413C">
      <w:pPr>
        <w:pStyle w:val="NormalHanging12a"/>
      </w:pPr>
      <w:r w:rsidRPr="007047EA">
        <w:t>6.</w:t>
      </w:r>
      <w:r w:rsidRPr="007047EA">
        <w:tab/>
        <w:t xml:space="preserve">подчертава, че мирното споразумение трябва да задължава Русия да обезщети изцяло Украйна за всички материални и нематериални вреди, които е причинила; подчертава, че това споразумение трябва да гарантира пълно подвеждане под отговорност съгласно международното право за престъплението агресия и военните престъпления, извършени от Русия, нейните съюзници и нейните марионетни сили срещу Украйна и народа на Украйна, пред Международния наказателен съд и Специалния трибунал за престъплението агресия; подчертава освен това, че то трябва също така да гарантира връщането на всички военнопленници, задържани цивилни лица и отвлечени украински деца, както и изтеглянето на всички руски сили от международно признатата територия на </w:t>
      </w:r>
      <w:r w:rsidRPr="007047EA">
        <w:lastRenderedPageBreak/>
        <w:t>Украйна;</w:t>
      </w:r>
    </w:p>
    <w:p w14:paraId="0B2346CD" w14:textId="77777777" w:rsidR="0091413C" w:rsidRPr="007047EA" w:rsidRDefault="0091413C" w:rsidP="0091413C">
      <w:pPr>
        <w:pStyle w:val="NormalHanging12a"/>
      </w:pPr>
      <w:r w:rsidRPr="007047EA">
        <w:t>7.</w:t>
      </w:r>
      <w:r w:rsidRPr="007047EA">
        <w:tab/>
        <w:t>призовава държавите членки да приемат и реализират без по-нататъшно забавяне издържан от правна и финансова гледна точка „репарационен заем“ за Украйна, обезпечен със замразените руски активи; подчертава, че съдбата на тези активи и условията за тяхното инвестиране не са предмет на преговори без участието на ЕС;</w:t>
      </w:r>
    </w:p>
    <w:p w14:paraId="635FE2CA" w14:textId="77777777" w:rsidR="0091413C" w:rsidRPr="007047EA" w:rsidRDefault="0091413C" w:rsidP="0091413C">
      <w:pPr>
        <w:pStyle w:val="NormalHanging12a"/>
      </w:pPr>
      <w:r w:rsidRPr="007047EA">
        <w:t>8.</w:t>
      </w:r>
      <w:r w:rsidRPr="007047EA">
        <w:tab/>
        <w:t xml:space="preserve">припомня своята позиция, че временно окупираната територия на Украйна няма да бъде призната от ЕС и неговите държави членки за руска територия; подчертава освен това, че като част от солидните международни гаранции за сигурност и с цел да се предотвратят бъдещи нарушения на суверенитета и териториалната цялост на Украйна, от двете страни на линията на контакт следва да бъде разположена силна международна мисия за опазване на мира и наблюдение с мандат на Съвета за сигурност на ООН; отново заявява, предвид настоящото нестабилно положение по отношение на сигурността в Европа, че е важно да се запази военното присъствие на НАТО и САЩ по източния фланг, което е от решаващо значение за гарантирането на стабилността в региона; подчертава, че ако бъде постигнат справедлив мир между Украйна и Русия, ролята, която ЕС, неговите държави членки, Съединените щати и </w:t>
      </w:r>
      <w:proofErr w:type="spellStart"/>
      <w:r w:rsidRPr="007047EA">
        <w:t>единомислещите</w:t>
      </w:r>
      <w:proofErr w:type="spellEnd"/>
      <w:r w:rsidRPr="007047EA">
        <w:t xml:space="preserve"> партньори ще изпълняват в процеса на гарантиране на неговото прилагане, ще бъде решаваща; </w:t>
      </w:r>
    </w:p>
    <w:p w14:paraId="708C58AE" w14:textId="77777777" w:rsidR="0091413C" w:rsidRPr="007047EA" w:rsidRDefault="0091413C" w:rsidP="0091413C">
      <w:pPr>
        <w:pStyle w:val="NormalHanging12a"/>
      </w:pPr>
      <w:r w:rsidRPr="007047EA">
        <w:t>9.</w:t>
      </w:r>
      <w:r w:rsidRPr="007047EA">
        <w:tab/>
        <w:t>подчертава, че споразумението с Русия следва да включва ангажимент от страна на Русия незабавно да прекрати хибридната си война срещу ЕС и неговите партньори, включително Украйна;</w:t>
      </w:r>
    </w:p>
    <w:p w14:paraId="5332FF0D" w14:textId="77777777" w:rsidR="0091413C" w:rsidRPr="007047EA" w:rsidRDefault="0091413C" w:rsidP="0091413C">
      <w:pPr>
        <w:pStyle w:val="NormalHanging12a"/>
      </w:pPr>
      <w:r w:rsidRPr="007047EA">
        <w:t>10.</w:t>
      </w:r>
      <w:r w:rsidRPr="007047EA">
        <w:tab/>
        <w:t>настоява, че няма да бъдат отменени никакви санкции преди да бъде договорено и изпълнено мирно споразумение; призовава ЕС, в случай че Русия откаже да се включи в сериозни преговори за мир, да наложи допълнителни съществени санкции;</w:t>
      </w:r>
    </w:p>
    <w:p w14:paraId="666F68AB" w14:textId="77777777" w:rsidR="0091413C" w:rsidRPr="007047EA" w:rsidRDefault="0091413C" w:rsidP="0091413C">
      <w:pPr>
        <w:pStyle w:val="NormalHanging12a"/>
      </w:pPr>
      <w:r w:rsidRPr="007047EA">
        <w:t>11.</w:t>
      </w:r>
      <w:r w:rsidRPr="007047EA">
        <w:tab/>
        <w:t>изразява убеждение, че истински преговори, подкрепени от пълната политическа, военна и икономическа тежест на трансатлантическата общност и нейните международни партньори, могат да доведат до установяване на всеобхватен, справедлив и траен мир за Украйна, като проправят пътя към справедливо и приобщаващо икономическо и социално възстановяване;</w:t>
      </w:r>
    </w:p>
    <w:p w14:paraId="05B48BF6" w14:textId="736E5DB3" w:rsidR="00E365E1" w:rsidRPr="007047EA" w:rsidRDefault="0091413C" w:rsidP="009F5C3E">
      <w:pPr>
        <w:ind w:left="567" w:hanging="567"/>
      </w:pPr>
      <w:r w:rsidRPr="007047EA">
        <w:t>12.</w:t>
      </w:r>
      <w:r w:rsidRPr="007047EA">
        <w:tab/>
        <w:t>възлага на своя председател да предаде настоящата резолюция съответно на Съвета, Комисията, заместник-председателя на Комисията / върховен представител на Съюза по въпросите на външните работи и политиката на сигурност, правителствата и парламентите на държавите членки, президента, правителството и Върховната рада на Украйна, генералния секретар на Организацията на обединените нации, Конгреса на Съединените щати и руските държавни органи.</w:t>
      </w:r>
    </w:p>
    <w:sectPr w:rsidR="00E365E1" w:rsidRPr="007047EA" w:rsidSect="007047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A809C" w14:textId="77777777" w:rsidR="00311C22" w:rsidRPr="007047EA" w:rsidRDefault="00311C22">
      <w:r w:rsidRPr="007047EA">
        <w:separator/>
      </w:r>
    </w:p>
  </w:endnote>
  <w:endnote w:type="continuationSeparator" w:id="0">
    <w:p w14:paraId="7B93A3D6" w14:textId="77777777" w:rsidR="00311C22" w:rsidRPr="007047EA" w:rsidRDefault="00311C22">
      <w:r w:rsidRPr="007047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E554E" w14:textId="77777777" w:rsidR="00064002" w:rsidRPr="007047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DF806" w14:textId="77777777" w:rsidR="00064002" w:rsidRPr="007047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E909B" w14:textId="77777777" w:rsidR="00064002" w:rsidRPr="007047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88BAD" w14:textId="77777777" w:rsidR="00311C22" w:rsidRPr="007047EA" w:rsidRDefault="00311C22">
      <w:r w:rsidRPr="007047EA">
        <w:separator/>
      </w:r>
    </w:p>
  </w:footnote>
  <w:footnote w:type="continuationSeparator" w:id="0">
    <w:p w14:paraId="17A73E88" w14:textId="77777777" w:rsidR="00311C22" w:rsidRPr="007047EA" w:rsidRDefault="00311C22">
      <w:r w:rsidRPr="007047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BAA64" w14:textId="77777777" w:rsidR="00064002" w:rsidRPr="007047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3B441" w14:textId="77777777" w:rsidR="00064002" w:rsidRPr="007047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1638E" w14:textId="77777777" w:rsidR="00064002" w:rsidRPr="007047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2823740">
    <w:abstractNumId w:val="9"/>
  </w:num>
  <w:num w:numId="2" w16cid:durableId="29693960">
    <w:abstractNumId w:val="9"/>
  </w:num>
  <w:num w:numId="3" w16cid:durableId="1768964045">
    <w:abstractNumId w:val="7"/>
  </w:num>
  <w:num w:numId="4" w16cid:durableId="1635451251">
    <w:abstractNumId w:val="7"/>
  </w:num>
  <w:num w:numId="5" w16cid:durableId="842890144">
    <w:abstractNumId w:val="6"/>
  </w:num>
  <w:num w:numId="6" w16cid:durableId="861286615">
    <w:abstractNumId w:val="6"/>
  </w:num>
  <w:num w:numId="7" w16cid:durableId="2081294631">
    <w:abstractNumId w:val="5"/>
  </w:num>
  <w:num w:numId="8" w16cid:durableId="470101756">
    <w:abstractNumId w:val="5"/>
  </w:num>
  <w:num w:numId="9" w16cid:durableId="1604419267">
    <w:abstractNumId w:val="4"/>
  </w:num>
  <w:num w:numId="10" w16cid:durableId="1852255018">
    <w:abstractNumId w:val="4"/>
  </w:num>
  <w:num w:numId="11" w16cid:durableId="591855869">
    <w:abstractNumId w:val="8"/>
  </w:num>
  <w:num w:numId="12" w16cid:durableId="1238591354">
    <w:abstractNumId w:val="8"/>
  </w:num>
  <w:num w:numId="13" w16cid:durableId="1146048029">
    <w:abstractNumId w:val="3"/>
  </w:num>
  <w:num w:numId="14" w16cid:durableId="1911035565">
    <w:abstractNumId w:val="3"/>
  </w:num>
  <w:num w:numId="15" w16cid:durableId="233704856">
    <w:abstractNumId w:val="2"/>
  </w:num>
  <w:num w:numId="16" w16cid:durableId="432483946">
    <w:abstractNumId w:val="2"/>
  </w:num>
  <w:num w:numId="17" w16cid:durableId="303892256">
    <w:abstractNumId w:val="1"/>
  </w:num>
  <w:num w:numId="18" w16cid:durableId="581767353">
    <w:abstractNumId w:val="1"/>
  </w:num>
  <w:num w:numId="19" w16cid:durableId="1400404025">
    <w:abstractNumId w:val="0"/>
  </w:num>
  <w:num w:numId="20" w16cid:durableId="1504122266">
    <w:abstractNumId w:val="0"/>
  </w:num>
  <w:num w:numId="21" w16cid:durableId="336620784">
    <w:abstractNumId w:val="9"/>
  </w:num>
  <w:num w:numId="22" w16cid:durableId="31854286">
    <w:abstractNumId w:val="7"/>
  </w:num>
  <w:num w:numId="23" w16cid:durableId="1722485363">
    <w:abstractNumId w:val="6"/>
  </w:num>
  <w:num w:numId="24" w16cid:durableId="2145851070">
    <w:abstractNumId w:val="5"/>
  </w:num>
  <w:num w:numId="25" w16cid:durableId="1997491830">
    <w:abstractNumId w:val="4"/>
  </w:num>
  <w:num w:numId="26" w16cid:durableId="1357583557">
    <w:abstractNumId w:val="8"/>
  </w:num>
  <w:num w:numId="27" w16cid:durableId="216742351">
    <w:abstractNumId w:val="3"/>
  </w:num>
  <w:num w:numId="28" w16cid:durableId="953755214">
    <w:abstractNumId w:val="2"/>
  </w:num>
  <w:num w:numId="29" w16cid:durableId="1708868994">
    <w:abstractNumId w:val="1"/>
  </w:num>
  <w:num w:numId="30" w16cid:durableId="2125807816">
    <w:abstractNumId w:val="0"/>
  </w:num>
  <w:num w:numId="31" w16cid:durableId="977028008">
    <w:abstractNumId w:val="9"/>
  </w:num>
  <w:num w:numId="32" w16cid:durableId="1542086295">
    <w:abstractNumId w:val="7"/>
  </w:num>
  <w:num w:numId="33" w16cid:durableId="2075010138">
    <w:abstractNumId w:val="6"/>
  </w:num>
  <w:num w:numId="34" w16cid:durableId="1285426158">
    <w:abstractNumId w:val="5"/>
  </w:num>
  <w:num w:numId="35" w16cid:durableId="822739967">
    <w:abstractNumId w:val="4"/>
  </w:num>
  <w:num w:numId="36" w16cid:durableId="1315179076">
    <w:abstractNumId w:val="8"/>
  </w:num>
  <w:num w:numId="37" w16cid:durableId="2118668924">
    <w:abstractNumId w:val="3"/>
  </w:num>
  <w:num w:numId="38" w16cid:durableId="1856655297">
    <w:abstractNumId w:val="2"/>
  </w:num>
  <w:num w:numId="39" w16cid:durableId="266930755">
    <w:abstractNumId w:val="1"/>
  </w:num>
  <w:num w:numId="40" w16cid:durableId="673075906">
    <w:abstractNumId w:val="0"/>
  </w:num>
  <w:num w:numId="41" w16cid:durableId="1522627125">
    <w:abstractNumId w:val="10"/>
  </w:num>
  <w:num w:numId="42" w16cid:durableId="1206143955">
    <w:abstractNumId w:val="10"/>
  </w:num>
  <w:num w:numId="43" w16cid:durableId="965545891">
    <w:abstractNumId w:val="10"/>
  </w:num>
  <w:num w:numId="44" w16cid:durableId="19975675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45, 0546, 0547, 0548 and 0549/2025"/>
    <w:docVar w:name="dvlangue" w:val="BG"/>
    <w:docVar w:name="dvnumam" w:val="0"/>
    <w:docVar w:name="dvpe" w:val="779.019"/>
    <w:docVar w:name="dvtitre" w:val="Резолюция на Европейския парламент от ... 2025 г. относно позицията на ЕС относно предложения план и ангажимента на ЕС за справедлив и траен мир за Украйна(2025/3001(RSP))"/>
  </w:docVars>
  <w:rsids>
    <w:rsidRoot w:val="00311C2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1C2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47E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13C"/>
    <w:rsid w:val="00930C23"/>
    <w:rsid w:val="0093193B"/>
    <w:rsid w:val="009509D8"/>
    <w:rsid w:val="00950B64"/>
    <w:rsid w:val="00981893"/>
    <w:rsid w:val="009F5C3E"/>
    <w:rsid w:val="00A1687D"/>
    <w:rsid w:val="00A43E52"/>
    <w:rsid w:val="00A4678D"/>
    <w:rsid w:val="00A778C7"/>
    <w:rsid w:val="00A8027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6D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FCF68"/>
  <w15:chartTrackingRefBased/>
  <w15:docId w15:val="{5C95B92E-8366-4551-885A-D817764CE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1413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1413C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1413C"/>
    <w:rPr>
      <w:sz w:val="24"/>
      <w:lang w:val="bg-BG"/>
    </w:rPr>
  </w:style>
  <w:style w:type="paragraph" w:styleId="Revision">
    <w:name w:val="Revision"/>
    <w:hidden/>
    <w:uiPriority w:val="99"/>
    <w:semiHidden/>
    <w:rsid w:val="009F5C3E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1181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2025-11-27T11:46:00Z</dcterms:created>
  <dcterms:modified xsi:type="dcterms:W3CDTF">2025-11-27T11:46:00Z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B10-0545, 0546, 0547, 0548 and 0549/2025</vt:lpwstr>
  </property>
  <property fmtid="{D5CDD505-2E9C-101B-9397-08002B2CF9AE}" pid="4" name="&lt;Type&gt;">
    <vt:lpwstr>RR</vt:lpwstr>
  </property>
</Properties>
</file>