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30D2" w14:paraId="10001C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44890C" w14:textId="77777777" w:rsidR="00751A4A" w:rsidRPr="001330D2" w:rsidRDefault="00457A42" w:rsidP="0010095E">
            <w:pPr>
              <w:pStyle w:val="EPName"/>
            </w:pPr>
            <w:r w:rsidRPr="001330D2">
              <w:t>Evropský parlament</w:t>
            </w:r>
          </w:p>
          <w:p w14:paraId="0D4A4237" w14:textId="77777777" w:rsidR="00751A4A" w:rsidRPr="001330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30D2">
              <w:t>2024</w:t>
            </w:r>
            <w:r w:rsidR="00817416" w:rsidRPr="001330D2">
              <w:t>-202</w:t>
            </w:r>
            <w:r w:rsidRPr="001330D2">
              <w:t>9</w:t>
            </w:r>
          </w:p>
        </w:tc>
        <w:tc>
          <w:tcPr>
            <w:tcW w:w="2268" w:type="dxa"/>
            <w:shd w:val="clear" w:color="auto" w:fill="auto"/>
          </w:tcPr>
          <w:p w14:paraId="74DAFBF0" w14:textId="77777777" w:rsidR="00751A4A" w:rsidRPr="001330D2" w:rsidRDefault="00187494" w:rsidP="0010095E">
            <w:pPr>
              <w:pStyle w:val="EPLogo"/>
            </w:pPr>
            <w:r w:rsidRPr="001330D2">
              <w:rPr>
                <w:noProof/>
                <w:lang w:eastAsia="ja-JP"/>
              </w:rPr>
              <w:drawing>
                <wp:inline distT="0" distB="0" distL="0" distR="0" wp14:anchorId="2751F50B" wp14:editId="0E325F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5ACCD5" w14:textId="77777777" w:rsidR="00D058B8" w:rsidRPr="001330D2" w:rsidRDefault="00D058B8" w:rsidP="004C5D52">
      <w:pPr>
        <w:pStyle w:val="LineTop"/>
      </w:pPr>
    </w:p>
    <w:p w14:paraId="0970E93D" w14:textId="77777777" w:rsidR="00680577" w:rsidRPr="001330D2" w:rsidRDefault="00457A42" w:rsidP="00680577">
      <w:pPr>
        <w:pStyle w:val="EPBodyTA1"/>
      </w:pPr>
      <w:r w:rsidRPr="001330D2">
        <w:t>PŘIJATÉ TEXTY</w:t>
      </w:r>
    </w:p>
    <w:p w14:paraId="4BB08554" w14:textId="77777777" w:rsidR="00D058B8" w:rsidRPr="001330D2" w:rsidRDefault="00D058B8" w:rsidP="00D058B8">
      <w:pPr>
        <w:pStyle w:val="LineBottom"/>
      </w:pPr>
    </w:p>
    <w:p w14:paraId="4DF7BBE2" w14:textId="5A8EB512" w:rsidR="00457A42" w:rsidRPr="001330D2" w:rsidRDefault="00457A42" w:rsidP="00457A42">
      <w:pPr>
        <w:pStyle w:val="ATHeading1"/>
      </w:pPr>
      <w:bookmarkStart w:id="0" w:name="TANumber"/>
      <w:r w:rsidRPr="001330D2">
        <w:t>P10_TA(2025)0</w:t>
      </w:r>
      <w:bookmarkEnd w:id="0"/>
      <w:r w:rsidR="003A1814">
        <w:t>312</w:t>
      </w:r>
    </w:p>
    <w:p w14:paraId="33EFBB2C" w14:textId="77777777" w:rsidR="00457A42" w:rsidRPr="001330D2" w:rsidRDefault="00457A42" w:rsidP="00457A42">
      <w:pPr>
        <w:pStyle w:val="ATHeading2"/>
      </w:pPr>
      <w:bookmarkStart w:id="1" w:name="title"/>
      <w:r w:rsidRPr="001330D2">
        <w:t>Postoj EU k navrženému plánu a úsilí EU o spravedlivý a trvalý mír na Ukrajině</w:t>
      </w:r>
      <w:bookmarkEnd w:id="1"/>
    </w:p>
    <w:p w14:paraId="0EEC5A4F" w14:textId="77777777" w:rsidR="00457A42" w:rsidRPr="001330D2" w:rsidRDefault="00457A42" w:rsidP="00457A42">
      <w:pPr>
        <w:rPr>
          <w:i/>
          <w:vanish/>
        </w:rPr>
      </w:pPr>
      <w:r w:rsidRPr="001330D2">
        <w:rPr>
          <w:i/>
        </w:rPr>
        <w:fldChar w:fldCharType="begin"/>
      </w:r>
      <w:r w:rsidRPr="001330D2">
        <w:rPr>
          <w:i/>
        </w:rPr>
        <w:instrText xml:space="preserve"> TC"(</w:instrText>
      </w:r>
      <w:bookmarkStart w:id="2" w:name="DocNumber"/>
      <w:r w:rsidRPr="001330D2">
        <w:rPr>
          <w:i/>
        </w:rPr>
        <w:instrText>B10-0545, 0546, 0547, 0548 a 0549/2025</w:instrText>
      </w:r>
      <w:bookmarkEnd w:id="2"/>
      <w:r w:rsidRPr="001330D2">
        <w:rPr>
          <w:i/>
        </w:rPr>
        <w:instrText xml:space="preserve">)"\l3 \n&gt; \* MERGEFORMAT </w:instrText>
      </w:r>
      <w:r w:rsidRPr="001330D2">
        <w:rPr>
          <w:i/>
        </w:rPr>
        <w:fldChar w:fldCharType="end"/>
      </w:r>
    </w:p>
    <w:p w14:paraId="1C513B94" w14:textId="77777777" w:rsidR="00457A42" w:rsidRPr="001330D2" w:rsidRDefault="00457A42" w:rsidP="00457A42">
      <w:pPr>
        <w:rPr>
          <w:vanish/>
        </w:rPr>
      </w:pPr>
      <w:bookmarkStart w:id="3" w:name="PE"/>
      <w:r w:rsidRPr="001330D2">
        <w:rPr>
          <w:vanish/>
        </w:rPr>
        <w:t>PE779.019</w:t>
      </w:r>
      <w:bookmarkEnd w:id="3"/>
    </w:p>
    <w:p w14:paraId="5F69B614" w14:textId="7862C2B5" w:rsidR="00457A42" w:rsidRPr="001330D2" w:rsidRDefault="00457A42" w:rsidP="00DE02CC">
      <w:pPr>
        <w:pStyle w:val="ATHeading3"/>
      </w:pPr>
      <w:bookmarkStart w:id="4" w:name="Sujet"/>
      <w:r w:rsidRPr="001330D2">
        <w:t>Usnesení Evropského parlamentu ze dne</w:t>
      </w:r>
      <w:r w:rsidR="00DE02CC">
        <w:t xml:space="preserve"> 27. listopadu</w:t>
      </w:r>
      <w:r w:rsidRPr="001330D2">
        <w:t xml:space="preserve"> 2025 o postoji EU k navrženému plánu a úsilí EU o spravedlivý a trvalý mír na Ukrajině</w:t>
      </w:r>
      <w:bookmarkEnd w:id="4"/>
      <w:r w:rsidRPr="001330D2">
        <w:t xml:space="preserve"> </w:t>
      </w:r>
      <w:bookmarkStart w:id="5" w:name="References"/>
      <w:r w:rsidRPr="001330D2">
        <w:t>(2025/3001(RSP))</w:t>
      </w:r>
      <w:bookmarkEnd w:id="5"/>
    </w:p>
    <w:p w14:paraId="06940B88" w14:textId="77777777" w:rsidR="00FA52CF" w:rsidRPr="001330D2" w:rsidRDefault="00FA52CF" w:rsidP="00FA52CF">
      <w:pPr>
        <w:pStyle w:val="EPComma"/>
      </w:pPr>
      <w:bookmarkStart w:id="6" w:name="TextBodyBegin"/>
      <w:bookmarkEnd w:id="6"/>
      <w:r w:rsidRPr="001330D2">
        <w:rPr>
          <w:i/>
        </w:rPr>
        <w:t>Evropský parlament</w:t>
      </w:r>
      <w:r w:rsidRPr="001330D2">
        <w:t>,</w:t>
      </w:r>
    </w:p>
    <w:p w14:paraId="788B1946" w14:textId="77777777" w:rsidR="00FA52CF" w:rsidRPr="001330D2" w:rsidRDefault="00FA52CF" w:rsidP="00FA52CF">
      <w:pPr>
        <w:pStyle w:val="NormalHanging12a"/>
      </w:pPr>
      <w:r w:rsidRPr="001330D2">
        <w:t>–</w:t>
      </w:r>
      <w:r w:rsidRPr="001330D2">
        <w:tab/>
        <w:t>s ohledem na svá předchozí usnesení o Ukrajině a Rusku,</w:t>
      </w:r>
    </w:p>
    <w:p w14:paraId="0B558D77" w14:textId="77777777" w:rsidR="00FA52CF" w:rsidRPr="001330D2" w:rsidRDefault="00FA52CF" w:rsidP="00FA52CF">
      <w:pPr>
        <w:pStyle w:val="NormalHanging12a"/>
      </w:pPr>
      <w:r w:rsidRPr="001330D2">
        <w:t>–</w:t>
      </w:r>
      <w:r w:rsidRPr="001330D2">
        <w:tab/>
        <w:t>s ohledem na společné prohlášení předsedů výborů pro zahraniční věci na podporu spravedlivého a trvalého míru v Evropě ze dne 24. listopadu 2025,</w:t>
      </w:r>
    </w:p>
    <w:p w14:paraId="6C20CB98" w14:textId="77777777" w:rsidR="00FA52CF" w:rsidRPr="001330D2" w:rsidRDefault="00FA52CF" w:rsidP="00FA52CF">
      <w:pPr>
        <w:pStyle w:val="NormalHanging12a"/>
      </w:pPr>
      <w:r w:rsidRPr="001330D2">
        <w:t>–</w:t>
      </w:r>
      <w:r w:rsidRPr="001330D2">
        <w:tab/>
        <w:t>s ohledem na čl. 136 odst. 2 a 4 jednacího řádu,</w:t>
      </w:r>
    </w:p>
    <w:p w14:paraId="412F7D5B" w14:textId="77777777" w:rsidR="00FA52CF" w:rsidRPr="001330D2" w:rsidRDefault="00FA52CF" w:rsidP="00FA52CF">
      <w:pPr>
        <w:pStyle w:val="NormalHanging12a"/>
      </w:pPr>
      <w:r w:rsidRPr="001330D2">
        <w:t>A.</w:t>
      </w:r>
      <w:r w:rsidRPr="001330D2">
        <w:tab/>
        <w:t>vzhledem k tomu, že cílem EU zůstává spravedlivý a trvalý mír založený na mezinárodním právu, který bude plně respektovat územní celistvost, nezávislost a svrchovanost Ukrajiny; vzhledem k tomu, že Rusko soustavně prokazuje, že nemá zájem o mír, a pokračuje v útocích na ukrajinské civilisty a infrastrukturu; vzhledem k tomu, že plán na ukončení války na Ukrajině, který nedávno schválila vláda USA, vyvolal legitimní obavy ohledně odhodlání Spojených států dodržovat mezinárodní právo a zajistit bezpečnost Evropy a Ukrajiny;</w:t>
      </w:r>
    </w:p>
    <w:p w14:paraId="55E8DEB4" w14:textId="77777777" w:rsidR="00FA52CF" w:rsidRPr="001330D2" w:rsidRDefault="00FA52CF" w:rsidP="00FA52CF">
      <w:pPr>
        <w:pStyle w:val="NormalHanging12a"/>
      </w:pPr>
      <w:r w:rsidRPr="001330D2">
        <w:t>1.</w:t>
      </w:r>
      <w:r w:rsidRPr="001330D2">
        <w:tab/>
        <w:t>apeluje na EU a její členské státy, aby převzaly větší odpovědnost za bezpečnost na evropském kontinentu, poskytly Ukrajině neochvějnou podporu a aktivně usilovaly o trvalý mír; zdůrazňuje, že jakákoli dohoda zaměřená na ukončení ruské útočné války proti Ukrajině se zdaleka netýká jen Ruska a Ukrajiny, neboť má zásadní důsledky pro evropský bezpečnostní řád; v této souvislosti trvá na tom, že o ničem, co se týká Ukrajiny, by se nemělo rozhodovat bez Ukrajiny a o ničem, co se týká Evropy, by se nemělo rozhodovat bez Evropy;</w:t>
      </w:r>
    </w:p>
    <w:p w14:paraId="61B486A4" w14:textId="77777777" w:rsidR="00FA52CF" w:rsidRPr="001330D2" w:rsidRDefault="00FA52CF" w:rsidP="00FA52CF">
      <w:pPr>
        <w:pStyle w:val="NormalHanging12a"/>
      </w:pPr>
      <w:r w:rsidRPr="001330D2">
        <w:t>2.</w:t>
      </w:r>
      <w:r w:rsidRPr="001330D2">
        <w:tab/>
        <w:t xml:space="preserve">bere na vědomí snahu americké vlády o ukončení ruské útočné války proti Ukrajině, domnívá se však, že nejednoznačná americká politika vůči Ukrajině má negativní vliv na dosažení cíle, kterým je trvalý mír v této zemi; naléhavě proto vyzývá EU a její členské státy, aby v tomto klíčovém geopolitickém okamžiku prokázaly vůdčí úlohu a společně se Spojenými státy a podobně smýšlejícími partnery pracovaly na jednáních o spravedlivém a trvalém míru pro Ukrajinu, která budou vycházet ze zásad </w:t>
      </w:r>
      <w:r w:rsidRPr="001330D2">
        <w:lastRenderedPageBreak/>
        <w:t>mezinárodního práva, budou vedena v dobré víře a budou směřovat k definitivnímu ukončení ruské útočné války proti Ukrajině;</w:t>
      </w:r>
    </w:p>
    <w:p w14:paraId="659E26F4" w14:textId="77777777" w:rsidR="00FA52CF" w:rsidRPr="001330D2" w:rsidRDefault="00FA52CF" w:rsidP="00FA52CF">
      <w:pPr>
        <w:pStyle w:val="NormalHanging12a"/>
      </w:pPr>
      <w:r w:rsidRPr="001330D2">
        <w:t>3.</w:t>
      </w:r>
      <w:r w:rsidRPr="001330D2">
        <w:tab/>
        <w:t>zdůrazňuje, že evropská mírová strategie pro Ukrajinu musí být založena na mezinárodním právu, musí posilovat evropskou bezpečnost, zachovat a obnovit svrchovanost a územní celistvost Ukrajiny, musí být přijatelná pro Ukrajinu a její lid a musí sloužit jako základ pro veškerá další diplomatická jednání; opakuje, že míru nelze dosáhnout ustupováním agresorovi, ale neochvějnou a trvalou podporou Ukrajiny a tím, že Rusko bude náležitým způsobem odrazeno od podobného agresivního jednání v budoucnosti;</w:t>
      </w:r>
    </w:p>
    <w:p w14:paraId="7F4955A0" w14:textId="77777777" w:rsidR="00FA52CF" w:rsidRPr="001330D2" w:rsidRDefault="00FA52CF" w:rsidP="00FA52CF">
      <w:pPr>
        <w:pStyle w:val="NormalHanging12a"/>
      </w:pPr>
      <w:r w:rsidRPr="001330D2">
        <w:t>4.</w:t>
      </w:r>
      <w:r w:rsidRPr="001330D2">
        <w:tab/>
        <w:t>domnívá se, že vzhledem k tomu, že Rusko v minulosti několikrát bezostyšně porušilo předchozí právně závazné dohody, závazky týkající se svrchovanosti jeho sousedních zemí a základní zásady mezinárodního práva, bude nutné, aby jakékoli dohodě o trvalém míru předcházelo příměří a aby tato dohoda byla podpořena účinnými opatřeními, která umožní kontrolovat dodržování závazků a odrazovat od průtahů při plnění stanovených povinností, a aby se zakládala na spolehlivých bezpečnostních zárukách pro Ukrajinu ze strany EU a Spojených států, které zamezí jakékoli nové agresi a okamžitě proti ní zakročí;</w:t>
      </w:r>
    </w:p>
    <w:p w14:paraId="3B66C60C" w14:textId="77777777" w:rsidR="00FA52CF" w:rsidRPr="001330D2" w:rsidRDefault="00FA52CF" w:rsidP="00FA52CF">
      <w:pPr>
        <w:pStyle w:val="NormalHanging12a"/>
      </w:pPr>
      <w:r w:rsidRPr="001330D2">
        <w:t>5.</w:t>
      </w:r>
      <w:r w:rsidRPr="001330D2">
        <w:tab/>
        <w:t>zdůrazňuje, že žádná mírová dohoda nesmí omezovat schopnost Ukrajiny bránit svou svrchovanost, nezávislost a územní celistvost, v důsledku čehož by se stala zranitelnou vůči budoucím útokům; podtrhuje, že taková dohoda musí Ukrajině poskytnout důvěryhodné bezpečnostní záruky v rozsahu uvedeném v článku 5 Washingtonské smlouvy a čl. 42 odst. 7 Smlouvy o Evropské unii, aby se neopakovalo Budapešťské memorandum z roku 1994, a opětovně prohlašuje, že Ukrajina si může svobodně zvolit své bezpečnostní a politické spojence bez jakéhokoli ruského veta;</w:t>
      </w:r>
    </w:p>
    <w:p w14:paraId="70C89BFD" w14:textId="77777777" w:rsidR="00FA52CF" w:rsidRPr="001330D2" w:rsidRDefault="00FA52CF" w:rsidP="00FA52CF">
      <w:pPr>
        <w:pStyle w:val="NormalHanging12a"/>
      </w:pPr>
      <w:r w:rsidRPr="001330D2">
        <w:t>6.</w:t>
      </w:r>
      <w:r w:rsidRPr="001330D2">
        <w:tab/>
        <w:t>zdůrazňuje, že jakákoli mírová dohoda musí Rusko zavazovat k tomu, aby Ukrajinu v plné míře odškodnilo za veškerou hmotnou i nehmotnou újmu a škody, které jí způsobilo; zdůrazňuje, že každá taková dohoda musí zaručit, že před Mezinárodní trestní soud a zvláštní tribunál pro zločin agrese budou postaveni ti, kteří podle mezinárodního práva nesou odpovědnost za zločin agrese a válečné zločiny spáchané Ruskem, jeho spojenci a zástupnými silami proti Ukrajině a ukrajinskému lidu; dále zdůrazňuje, že musí rovněž zaručit návrat všech válečných zajatců, zadržovaných civilistů a unesených ukrajinských dětí, jakož i stažení všech ruských sil z mezinárodně uznaného území Ukrajiny;</w:t>
      </w:r>
    </w:p>
    <w:p w14:paraId="5B152CBF" w14:textId="77777777" w:rsidR="00FA52CF" w:rsidRPr="001330D2" w:rsidRDefault="00FA52CF" w:rsidP="00FA52CF">
      <w:pPr>
        <w:pStyle w:val="NormalHanging12a"/>
      </w:pPr>
      <w:r w:rsidRPr="001330D2">
        <w:t>7.</w:t>
      </w:r>
      <w:r w:rsidRPr="001330D2">
        <w:tab/>
        <w:t>vyzývá členské státy, aby neprodleně schválily a poskytly Ukrajině „reparační půjčku“, jež bude spolehlivá z právního i finančního hlediska a krytá zmrazenými ruskými aktivy; zdůrazňuje, že o osudu těchto aktiv a podmínkách pro jejich investování není možné jednat bez EU;</w:t>
      </w:r>
    </w:p>
    <w:p w14:paraId="566294B2" w14:textId="77777777" w:rsidR="00FA52CF" w:rsidRPr="001330D2" w:rsidRDefault="00FA52CF" w:rsidP="00FA52CF">
      <w:pPr>
        <w:pStyle w:val="NormalHanging12a"/>
      </w:pPr>
      <w:r w:rsidRPr="001330D2">
        <w:t>8.</w:t>
      </w:r>
      <w:r w:rsidRPr="001330D2">
        <w:tab/>
        <w:t xml:space="preserve">připomíná svůj postoj, že dočasně okupované ukrajinské území nebude EU a jejími členskými státy právně uznáno za ruské území; dále zdůrazňuje, že v rámci spolehlivých mezinárodních bezpečnostních záruk a s cílem zabránit jakémukoli budoucímu porušování svrchovanosti a územní celistvosti Ukrajiny by měla být na obou stranách kontaktní linie rozmístěna silná mezinárodní mírová a pozorovatelská mise s mandátem Rady bezpečnosti OSN; vzhledem k současné nestabilní bezpečnostní situaci v Evropě znovu vyzdvihuje důležitost zachování vojenské přítomnosti NATO a USA podél východního křídla aliance, neboť má zásadní význam pro zajištění </w:t>
      </w:r>
      <w:r w:rsidRPr="001330D2">
        <w:lastRenderedPageBreak/>
        <w:t xml:space="preserve">stability regionu; podtrhuje, že v případě dosažení spravedlivého míru mezi Ukrajinou a Ruskem budou EU, její členské státy, Spojené státy a podobně smýšlející partneři hrát klíčovou úlohu při zajišťování jeho dodržování; </w:t>
      </w:r>
    </w:p>
    <w:p w14:paraId="1EEF4D6D" w14:textId="77777777" w:rsidR="00FA52CF" w:rsidRPr="001330D2" w:rsidRDefault="00FA52CF" w:rsidP="00FA52CF">
      <w:pPr>
        <w:pStyle w:val="NormalHanging12a"/>
      </w:pPr>
      <w:r w:rsidRPr="001330D2">
        <w:t>9.</w:t>
      </w:r>
      <w:r w:rsidRPr="001330D2">
        <w:tab/>
        <w:t xml:space="preserve">zdůrazňuje, že jakákoli dohoda s Ruskem by měla zahrnovat závazek Ruska, že okamžitě </w:t>
      </w:r>
      <w:proofErr w:type="gramStart"/>
      <w:r w:rsidRPr="001330D2">
        <w:t>ukončí</w:t>
      </w:r>
      <w:proofErr w:type="gramEnd"/>
      <w:r w:rsidRPr="001330D2">
        <w:t xml:space="preserve"> hybridní válku proti EU a jejím partnerům, včetně Ukrajiny;</w:t>
      </w:r>
    </w:p>
    <w:p w14:paraId="5D7A237D" w14:textId="77777777" w:rsidR="00FA52CF" w:rsidRPr="001330D2" w:rsidRDefault="00FA52CF" w:rsidP="00FA52CF">
      <w:pPr>
        <w:pStyle w:val="NormalHanging12a"/>
      </w:pPr>
      <w:r w:rsidRPr="001330D2">
        <w:t>10.</w:t>
      </w:r>
      <w:r w:rsidRPr="001330D2">
        <w:tab/>
        <w:t>trvá na tom, že dokud nebude vyjednána a provedena mírová dohoda, nebudou zrušeny žádné sankce; vyzývá EU, aby v případě, že se Rusko odmítne zapojit do seriózních mírových rozhovorů, uvalila další výrazné sankce;</w:t>
      </w:r>
    </w:p>
    <w:p w14:paraId="31B06AE5" w14:textId="77777777" w:rsidR="00FA52CF" w:rsidRPr="001330D2" w:rsidRDefault="00FA52CF" w:rsidP="00FA52CF">
      <w:pPr>
        <w:pStyle w:val="NormalHanging12a"/>
      </w:pPr>
      <w:r w:rsidRPr="001330D2">
        <w:t>11.</w:t>
      </w:r>
      <w:r w:rsidRPr="001330D2">
        <w:tab/>
        <w:t>je přesvědčen, že skutečná jednání, která by se opírala o plnou politickou, vojenskou a hospodářskou váhu transatlantického společenství a jeho mezinárodních partnerů, mohou nastolit komplexní, spravedlivý a trvalý mír pro Ukrajinu a připravit cestu ke spravedlivé a inkluzivní hospodářské a společenské obnově;</w:t>
      </w:r>
    </w:p>
    <w:p w14:paraId="5801B007" w14:textId="5137F83F" w:rsidR="001330D2" w:rsidRPr="001330D2" w:rsidRDefault="00FA52CF" w:rsidP="001330D2">
      <w:pPr>
        <w:pStyle w:val="NormalHanging12a"/>
      </w:pPr>
      <w:r w:rsidRPr="001330D2">
        <w:t>12.</w:t>
      </w:r>
      <w:r w:rsidRPr="001330D2">
        <w:tab/>
        <w:t>pověřuje svou předsedkyni, aby předala toto usnesení Radě, Komisi, místopředsedkyni Komise, vysoké představitelce Unie pro zahraniční věci a bezpečnostní politiku, vládám a parlamentům členských států, prezidentovi, vládě a Nejvyšší radě Ukrajiny, generálnímu tajemníkovi Organizace spojených národů, Kongresu Spojených států a ruským orgánům.</w:t>
      </w:r>
    </w:p>
    <w:p w14:paraId="0CF8AF5C" w14:textId="111050C2" w:rsidR="00E365E1" w:rsidRPr="001330D2" w:rsidRDefault="00E365E1" w:rsidP="00457A42"/>
    <w:sectPr w:rsidR="00E365E1" w:rsidRPr="001330D2" w:rsidSect="001330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E633A" w14:textId="77777777" w:rsidR="00457A42" w:rsidRPr="001330D2" w:rsidRDefault="00457A42">
      <w:r w:rsidRPr="001330D2">
        <w:separator/>
      </w:r>
    </w:p>
  </w:endnote>
  <w:endnote w:type="continuationSeparator" w:id="0">
    <w:p w14:paraId="6C3B2148" w14:textId="77777777" w:rsidR="00457A42" w:rsidRPr="001330D2" w:rsidRDefault="00457A42">
      <w:r w:rsidRPr="001330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3C31" w14:textId="77777777" w:rsidR="00064002" w:rsidRPr="001330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1C441" w14:textId="77777777" w:rsidR="00064002" w:rsidRPr="001330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E4A72" w14:textId="77777777" w:rsidR="00064002" w:rsidRPr="001330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41CE5" w14:textId="77777777" w:rsidR="00457A42" w:rsidRPr="001330D2" w:rsidRDefault="00457A42">
      <w:r w:rsidRPr="001330D2">
        <w:separator/>
      </w:r>
    </w:p>
  </w:footnote>
  <w:footnote w:type="continuationSeparator" w:id="0">
    <w:p w14:paraId="4154447F" w14:textId="77777777" w:rsidR="00457A42" w:rsidRPr="001330D2" w:rsidRDefault="00457A42">
      <w:r w:rsidRPr="001330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93700" w14:textId="77777777" w:rsidR="00064002" w:rsidRPr="001330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B7BC" w14:textId="77777777" w:rsidR="00064002" w:rsidRPr="001330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1548" w14:textId="77777777" w:rsidR="00064002" w:rsidRPr="001330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0803024">
    <w:abstractNumId w:val="9"/>
  </w:num>
  <w:num w:numId="2" w16cid:durableId="591815544">
    <w:abstractNumId w:val="9"/>
  </w:num>
  <w:num w:numId="3" w16cid:durableId="1586720895">
    <w:abstractNumId w:val="7"/>
  </w:num>
  <w:num w:numId="4" w16cid:durableId="681663853">
    <w:abstractNumId w:val="7"/>
  </w:num>
  <w:num w:numId="5" w16cid:durableId="355009896">
    <w:abstractNumId w:val="6"/>
  </w:num>
  <w:num w:numId="6" w16cid:durableId="970550902">
    <w:abstractNumId w:val="6"/>
  </w:num>
  <w:num w:numId="7" w16cid:durableId="973365625">
    <w:abstractNumId w:val="5"/>
  </w:num>
  <w:num w:numId="8" w16cid:durableId="179897273">
    <w:abstractNumId w:val="5"/>
  </w:num>
  <w:num w:numId="9" w16cid:durableId="1594899125">
    <w:abstractNumId w:val="4"/>
  </w:num>
  <w:num w:numId="10" w16cid:durableId="1072658329">
    <w:abstractNumId w:val="4"/>
  </w:num>
  <w:num w:numId="11" w16cid:durableId="239146665">
    <w:abstractNumId w:val="8"/>
  </w:num>
  <w:num w:numId="12" w16cid:durableId="1926768974">
    <w:abstractNumId w:val="8"/>
  </w:num>
  <w:num w:numId="13" w16cid:durableId="999885465">
    <w:abstractNumId w:val="3"/>
  </w:num>
  <w:num w:numId="14" w16cid:durableId="1861356714">
    <w:abstractNumId w:val="3"/>
  </w:num>
  <w:num w:numId="15" w16cid:durableId="107555715">
    <w:abstractNumId w:val="2"/>
  </w:num>
  <w:num w:numId="16" w16cid:durableId="301009004">
    <w:abstractNumId w:val="2"/>
  </w:num>
  <w:num w:numId="17" w16cid:durableId="132917965">
    <w:abstractNumId w:val="1"/>
  </w:num>
  <w:num w:numId="18" w16cid:durableId="152648684">
    <w:abstractNumId w:val="1"/>
  </w:num>
  <w:num w:numId="19" w16cid:durableId="1675960861">
    <w:abstractNumId w:val="0"/>
  </w:num>
  <w:num w:numId="20" w16cid:durableId="1903711648">
    <w:abstractNumId w:val="0"/>
  </w:num>
  <w:num w:numId="21" w16cid:durableId="1757284089">
    <w:abstractNumId w:val="9"/>
  </w:num>
  <w:num w:numId="22" w16cid:durableId="594365989">
    <w:abstractNumId w:val="7"/>
  </w:num>
  <w:num w:numId="23" w16cid:durableId="82799804">
    <w:abstractNumId w:val="6"/>
  </w:num>
  <w:num w:numId="24" w16cid:durableId="1146164096">
    <w:abstractNumId w:val="5"/>
  </w:num>
  <w:num w:numId="25" w16cid:durableId="2110619577">
    <w:abstractNumId w:val="4"/>
  </w:num>
  <w:num w:numId="26" w16cid:durableId="80834814">
    <w:abstractNumId w:val="8"/>
  </w:num>
  <w:num w:numId="27" w16cid:durableId="1533760196">
    <w:abstractNumId w:val="3"/>
  </w:num>
  <w:num w:numId="28" w16cid:durableId="846677543">
    <w:abstractNumId w:val="2"/>
  </w:num>
  <w:num w:numId="29" w16cid:durableId="1672836061">
    <w:abstractNumId w:val="1"/>
  </w:num>
  <w:num w:numId="30" w16cid:durableId="2024818142">
    <w:abstractNumId w:val="0"/>
  </w:num>
  <w:num w:numId="31" w16cid:durableId="143550307">
    <w:abstractNumId w:val="9"/>
  </w:num>
  <w:num w:numId="32" w16cid:durableId="743793762">
    <w:abstractNumId w:val="7"/>
  </w:num>
  <w:num w:numId="33" w16cid:durableId="1718552065">
    <w:abstractNumId w:val="6"/>
  </w:num>
  <w:num w:numId="34" w16cid:durableId="395052509">
    <w:abstractNumId w:val="5"/>
  </w:num>
  <w:num w:numId="35" w16cid:durableId="1964531320">
    <w:abstractNumId w:val="4"/>
  </w:num>
  <w:num w:numId="36" w16cid:durableId="768043528">
    <w:abstractNumId w:val="8"/>
  </w:num>
  <w:num w:numId="37" w16cid:durableId="1044644697">
    <w:abstractNumId w:val="3"/>
  </w:num>
  <w:num w:numId="38" w16cid:durableId="566107714">
    <w:abstractNumId w:val="2"/>
  </w:num>
  <w:num w:numId="39" w16cid:durableId="530341284">
    <w:abstractNumId w:val="1"/>
  </w:num>
  <w:num w:numId="40" w16cid:durableId="1595357650">
    <w:abstractNumId w:val="0"/>
  </w:num>
  <w:num w:numId="41" w16cid:durableId="1969238818">
    <w:abstractNumId w:val="10"/>
  </w:num>
  <w:num w:numId="42" w16cid:durableId="2050300431">
    <w:abstractNumId w:val="10"/>
  </w:num>
  <w:num w:numId="43" w16cid:durableId="300959570">
    <w:abstractNumId w:val="10"/>
  </w:num>
  <w:num w:numId="44" w16cid:durableId="21189406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, 0546, 0547, 0548 a 0549/2025"/>
    <w:docVar w:name="dvlangue" w:val="CS"/>
    <w:docVar w:name="dvnumam" w:val="0"/>
    <w:docVar w:name="dvpe" w:val="779.019"/>
    <w:docVar w:name="dvtitre" w:val="Usnesení Evropského parlamentu ze dne.... 2025 o postoji EU k navrženému plánu a úsilí EU o spravedlivý a trvalý mír na Ukrajině(2025/3001(RSP))"/>
  </w:docVars>
  <w:rsids>
    <w:rsidRoot w:val="00457A42"/>
    <w:rsid w:val="00002272"/>
    <w:rsid w:val="00064002"/>
    <w:rsid w:val="000677B9"/>
    <w:rsid w:val="000831BA"/>
    <w:rsid w:val="000A42CC"/>
    <w:rsid w:val="000E7DD9"/>
    <w:rsid w:val="0010095E"/>
    <w:rsid w:val="00125B37"/>
    <w:rsid w:val="001330D2"/>
    <w:rsid w:val="00187494"/>
    <w:rsid w:val="001F32AE"/>
    <w:rsid w:val="002767FF"/>
    <w:rsid w:val="002B18FE"/>
    <w:rsid w:val="002B5493"/>
    <w:rsid w:val="00343214"/>
    <w:rsid w:val="00361C00"/>
    <w:rsid w:val="00395FA1"/>
    <w:rsid w:val="003A1814"/>
    <w:rsid w:val="003E15D4"/>
    <w:rsid w:val="00411CCE"/>
    <w:rsid w:val="0041666E"/>
    <w:rsid w:val="00421060"/>
    <w:rsid w:val="00457A4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6A3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2C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2C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EE4A"/>
  <w15:chartTrackingRefBased/>
  <w15:docId w15:val="{D1D7CDE9-97C8-4016-B18D-51A484C1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A52C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A52CF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A52C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993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2025-11-27T11:47:00Z</dcterms:created>
  <dcterms:modified xsi:type="dcterms:W3CDTF">2025-11-27T11:47:00Z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B10-0545, 0546, 0547, 0548 a 0549/2025</vt:lpwstr>
  </property>
  <property fmtid="{D5CDD505-2E9C-101B-9397-08002B2CF9AE}" pid="4" name="&lt;Type&gt;">
    <vt:lpwstr>RR</vt:lpwstr>
  </property>
</Properties>
</file>