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492B" w14:paraId="406F4F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EBD7A2" w14:textId="77777777" w:rsidR="00751A4A" w:rsidRPr="00BA492B" w:rsidRDefault="002609A9" w:rsidP="0010095E">
            <w:pPr>
              <w:pStyle w:val="EPName"/>
            </w:pPr>
            <w:r w:rsidRPr="00BA492B">
              <w:t>Europski parlament</w:t>
            </w:r>
          </w:p>
          <w:p w14:paraId="61BC25CF" w14:textId="77777777" w:rsidR="00751A4A" w:rsidRPr="00BA49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492B">
              <w:t>2024</w:t>
            </w:r>
            <w:r w:rsidR="00817416" w:rsidRPr="00BA492B">
              <w:t>-202</w:t>
            </w:r>
            <w:r w:rsidRPr="00BA492B">
              <w:t>9</w:t>
            </w:r>
          </w:p>
        </w:tc>
        <w:tc>
          <w:tcPr>
            <w:tcW w:w="2268" w:type="dxa"/>
            <w:shd w:val="clear" w:color="auto" w:fill="auto"/>
          </w:tcPr>
          <w:p w14:paraId="0A036CBD" w14:textId="77777777" w:rsidR="00751A4A" w:rsidRPr="00BA492B" w:rsidRDefault="00187494" w:rsidP="0010095E">
            <w:pPr>
              <w:pStyle w:val="EPLogo"/>
            </w:pPr>
            <w:r w:rsidRPr="00BA492B">
              <w:rPr>
                <w:noProof/>
                <w:lang w:eastAsia="ja-JP"/>
              </w:rPr>
              <w:drawing>
                <wp:inline distT="0" distB="0" distL="0" distR="0" wp14:anchorId="6F98B9DF" wp14:editId="511F96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5432DA" w14:textId="77777777" w:rsidR="00D058B8" w:rsidRPr="00BA492B" w:rsidRDefault="00D058B8" w:rsidP="004C5D52">
      <w:pPr>
        <w:pStyle w:val="LineTop"/>
      </w:pPr>
    </w:p>
    <w:p w14:paraId="7E2F9974" w14:textId="77777777" w:rsidR="00680577" w:rsidRPr="00BA492B" w:rsidRDefault="002609A9" w:rsidP="00680577">
      <w:pPr>
        <w:pStyle w:val="EPBodyTA1"/>
      </w:pPr>
      <w:r w:rsidRPr="00BA492B">
        <w:t>USVOJENI TEKSTOVI</w:t>
      </w:r>
    </w:p>
    <w:p w14:paraId="031EE331" w14:textId="77777777" w:rsidR="00D058B8" w:rsidRPr="00BA492B" w:rsidRDefault="00D058B8" w:rsidP="00D058B8">
      <w:pPr>
        <w:pStyle w:val="LineBottom"/>
      </w:pPr>
    </w:p>
    <w:p w14:paraId="52FE7F94" w14:textId="2445A0FF" w:rsidR="002609A9" w:rsidRPr="00BA492B" w:rsidRDefault="002609A9" w:rsidP="002609A9">
      <w:pPr>
        <w:pStyle w:val="ATHeading1"/>
      </w:pPr>
      <w:bookmarkStart w:id="0" w:name="TANumber"/>
      <w:r w:rsidRPr="00BA492B">
        <w:t>P10_TA(2025)0</w:t>
      </w:r>
      <w:bookmarkEnd w:id="0"/>
      <w:r w:rsidR="00326709">
        <w:t>312</w:t>
      </w:r>
    </w:p>
    <w:p w14:paraId="08713420" w14:textId="77777777" w:rsidR="002609A9" w:rsidRPr="00BA492B" w:rsidRDefault="002609A9" w:rsidP="002609A9">
      <w:pPr>
        <w:pStyle w:val="ATHeading2"/>
      </w:pPr>
      <w:bookmarkStart w:id="1" w:name="title"/>
      <w:r w:rsidRPr="00BA492B">
        <w:t>Stajalište EU-a o predloženom planu i angažman EU-a s ciljem postizanja pravednog i trajnog mira za Ukrajinu</w:t>
      </w:r>
      <w:bookmarkEnd w:id="1"/>
    </w:p>
    <w:p w14:paraId="79E9748E" w14:textId="0776687F" w:rsidR="002609A9" w:rsidRPr="00BA492B" w:rsidRDefault="002609A9" w:rsidP="002609A9">
      <w:pPr>
        <w:rPr>
          <w:i/>
          <w:vanish/>
        </w:rPr>
      </w:pPr>
      <w:r w:rsidRPr="00BA492B">
        <w:rPr>
          <w:i/>
        </w:rPr>
        <w:fldChar w:fldCharType="begin"/>
      </w:r>
      <w:r w:rsidRPr="00BA492B">
        <w:rPr>
          <w:i/>
        </w:rPr>
        <w:instrText xml:space="preserve"> TC"(</w:instrText>
      </w:r>
      <w:bookmarkStart w:id="2" w:name="DocNumber"/>
      <w:r w:rsidRPr="00BA492B">
        <w:rPr>
          <w:i/>
        </w:rPr>
        <w:instrText>B10-0545</w:instrText>
      </w:r>
      <w:r w:rsidR="00C63012" w:rsidRPr="00326709">
        <w:rPr>
          <w:i/>
        </w:rPr>
        <w:instrText>, 0546, 0547, 0548 i 0549</w:instrText>
      </w:r>
      <w:r w:rsidRPr="00BA492B">
        <w:rPr>
          <w:i/>
        </w:rPr>
        <w:instrText>/2025</w:instrText>
      </w:r>
      <w:bookmarkEnd w:id="2"/>
      <w:r w:rsidRPr="00BA492B">
        <w:rPr>
          <w:i/>
        </w:rPr>
        <w:instrText xml:space="preserve">)"\l3 \n&gt; \* MERGEFORMAT </w:instrText>
      </w:r>
      <w:r w:rsidRPr="00BA492B">
        <w:rPr>
          <w:i/>
        </w:rPr>
        <w:fldChar w:fldCharType="end"/>
      </w:r>
    </w:p>
    <w:p w14:paraId="0C296FFD" w14:textId="77777777" w:rsidR="002609A9" w:rsidRPr="00BA492B" w:rsidRDefault="002609A9" w:rsidP="002609A9">
      <w:pPr>
        <w:rPr>
          <w:vanish/>
        </w:rPr>
      </w:pPr>
      <w:bookmarkStart w:id="3" w:name="PE"/>
      <w:r w:rsidRPr="00BA492B">
        <w:rPr>
          <w:vanish/>
        </w:rPr>
        <w:t>PE779.019</w:t>
      </w:r>
      <w:bookmarkEnd w:id="3"/>
    </w:p>
    <w:p w14:paraId="2CB9EEE4" w14:textId="42E61096" w:rsidR="002609A9" w:rsidRPr="00BA492B" w:rsidRDefault="002609A9" w:rsidP="002609A9">
      <w:pPr>
        <w:pStyle w:val="ATHeading3"/>
      </w:pPr>
      <w:bookmarkStart w:id="4" w:name="Sujet"/>
      <w:r w:rsidRPr="00BA492B">
        <w:t xml:space="preserve">Rezolucija Europskog parlamenta od </w:t>
      </w:r>
      <w:r w:rsidR="00C63012">
        <w:t>27. studenoga</w:t>
      </w:r>
      <w:r w:rsidRPr="00BA492B">
        <w:t xml:space="preserve"> 2025. o stajalištu EU-a o predloženom planu i angažmanu EU-a s ciljem postizanja pravednog i trajnog mira za Ukrajinu</w:t>
      </w:r>
      <w:bookmarkEnd w:id="4"/>
      <w:r w:rsidRPr="00BA492B">
        <w:t xml:space="preserve"> </w:t>
      </w:r>
      <w:bookmarkStart w:id="5" w:name="References"/>
      <w:r w:rsidRPr="00BA492B">
        <w:t>(2025/3001(RSP))</w:t>
      </w:r>
      <w:bookmarkEnd w:id="5"/>
    </w:p>
    <w:p w14:paraId="6059C826" w14:textId="77777777" w:rsidR="00904329" w:rsidRPr="00BA492B" w:rsidRDefault="00904329" w:rsidP="00904329">
      <w:pPr>
        <w:pStyle w:val="EPComma"/>
      </w:pPr>
      <w:bookmarkStart w:id="6" w:name="TextBodyBegin"/>
      <w:bookmarkEnd w:id="6"/>
      <w:r w:rsidRPr="00BA492B">
        <w:rPr>
          <w:i/>
          <w:iCs/>
        </w:rPr>
        <w:t>Europski parlament,</w:t>
      </w:r>
    </w:p>
    <w:p w14:paraId="6F60555C" w14:textId="77777777" w:rsidR="00904329" w:rsidRPr="00BA492B" w:rsidRDefault="00904329" w:rsidP="00904329">
      <w:pPr>
        <w:pStyle w:val="NormalHanging12a"/>
      </w:pPr>
      <w:r w:rsidRPr="00BA492B">
        <w:t>–</w:t>
      </w:r>
      <w:r w:rsidRPr="00BA492B">
        <w:tab/>
        <w:t>uzimajući u obzir svoje prethodne rezolucije o Ukrajini i Rusiji,</w:t>
      </w:r>
    </w:p>
    <w:p w14:paraId="5DB7986A" w14:textId="77777777" w:rsidR="00904329" w:rsidRPr="00BA492B" w:rsidRDefault="00904329" w:rsidP="00904329">
      <w:pPr>
        <w:pStyle w:val="NormalHanging12a"/>
      </w:pPr>
      <w:r w:rsidRPr="00BA492B">
        <w:t>–</w:t>
      </w:r>
      <w:r w:rsidRPr="00BA492B">
        <w:tab/>
        <w:t>uzimajući u obzir zajedničku izjavu predsjednika Odbora za vanjske poslove od 24. studenoga 2025. o potpori pravednom i trajnom miru u Europi,</w:t>
      </w:r>
    </w:p>
    <w:p w14:paraId="675F0D39" w14:textId="77777777" w:rsidR="00904329" w:rsidRPr="00BA492B" w:rsidRDefault="00904329" w:rsidP="00904329">
      <w:pPr>
        <w:pStyle w:val="NormalHanging12a"/>
      </w:pPr>
      <w:r w:rsidRPr="00BA492B">
        <w:t>–</w:t>
      </w:r>
      <w:r w:rsidRPr="00BA492B">
        <w:tab/>
        <w:t>uzimajući u obzir članak 136. stavke 2. i 4.,</w:t>
      </w:r>
    </w:p>
    <w:p w14:paraId="448B2111" w14:textId="77777777" w:rsidR="00904329" w:rsidRPr="00BA492B" w:rsidRDefault="00904329" w:rsidP="00904329">
      <w:pPr>
        <w:pStyle w:val="NormalHanging12a"/>
      </w:pPr>
      <w:r w:rsidRPr="00BA492B">
        <w:t>A.</w:t>
      </w:r>
      <w:r w:rsidRPr="00BA492B">
        <w:tab/>
        <w:t>budući da je cilj EU-a i dalje pravedan i trajan mir koji se temelji na međunarodnom pravu i kojim se u potpunosti poštuju teritorijalna cjelovitost, neovisnost i suverenitet Ukrajine; budući da Rusija dosljedno pokazuje da nije zainteresirana za mir te i dalje napada ukrajinske civile i infrastrukturu; budući da je inicijativa za okončanje rata u Ukrajini, koju je nedavno podržala vlada SAD-a, izazvao opravdanu zabrinutost u pogledu predanosti Sjedinjenih Američkih Država međunarodnom pravu te u pogledu sigurnosti Europe i Ukrajine;</w:t>
      </w:r>
    </w:p>
    <w:p w14:paraId="28806F74" w14:textId="77777777" w:rsidR="00904329" w:rsidRPr="00BA492B" w:rsidRDefault="00904329" w:rsidP="00904329">
      <w:pPr>
        <w:pStyle w:val="NormalHanging12a"/>
      </w:pPr>
      <w:r w:rsidRPr="00BA492B">
        <w:t>1.</w:t>
      </w:r>
      <w:r w:rsidRPr="00BA492B">
        <w:tab/>
        <w:t>potiče EU i njegove države članice da preuzmu veću odgovornost za sigurnost na europskom kontinentu, pruže odlučnu potporu Ukrajini i aktivno se zalažu za trajni mir; ističe da je bilo koji sporazum usmjeren na okončanje ruske ratne agresije na Ukrajinu pitanje koje je znatno šire od same Rusije i Ukrajine te ima dalekosežne posljedice za europski sigurnosni poredak; u tom kontekstu ustraje u tome da se o Ukrajini ne bi trebalo odlučivati bez sudjelovanja Ukrajine, kao ni o Europi bez sudjelovanja Europe;</w:t>
      </w:r>
    </w:p>
    <w:p w14:paraId="62408CA8" w14:textId="77777777" w:rsidR="00904329" w:rsidRPr="00BA492B" w:rsidRDefault="00904329" w:rsidP="00904329">
      <w:pPr>
        <w:pStyle w:val="NormalHanging12a"/>
      </w:pPr>
      <w:r w:rsidRPr="00BA492B">
        <w:t>2.</w:t>
      </w:r>
      <w:r w:rsidRPr="00BA492B">
        <w:tab/>
        <w:t xml:space="preserve">prima na znanje napore koje je vlada SAD-a uložila u okončanje ruske ratne agresije na Ukrajinu, ali smatra da je neodlučnost politike SAD-a prema Ukrajini štetna za cilj postizanja održivog mira; stoga ustraje u tome da EU i njegove države članice pokažu vodstvo u ovom ključnom geopolitičkom trenutku te da nastave surađivati sa Sjedinjenim Američkim Državama i partnerima sličnih stavova kako bi se osiguralo da se pregovori o pravednom i trajnom miru za Ukrajinu temelje na načelima </w:t>
      </w:r>
      <w:r w:rsidRPr="00BA492B">
        <w:lastRenderedPageBreak/>
        <w:t>međunarodnog prava te da se vode u dobroj vjeri i u cilju trajnog okončanja ruske agresije na Ukrajinu;</w:t>
      </w:r>
    </w:p>
    <w:p w14:paraId="6160E8DD" w14:textId="77777777" w:rsidR="00904329" w:rsidRPr="00BA492B" w:rsidRDefault="00904329" w:rsidP="00904329">
      <w:pPr>
        <w:pStyle w:val="NormalHanging12a"/>
      </w:pPr>
      <w:r w:rsidRPr="00BA492B">
        <w:t>3.</w:t>
      </w:r>
      <w:r w:rsidRPr="00BA492B">
        <w:tab/>
        <w:t>naglašava da se europska strategija za mir u Ukrajini mora temeljiti na međunarodnom pravu, jačati europsku sigurnost, očuvati i ponovno uspostaviti ukrajinski suverenitet i teritorijalnu cjelovitost te biti prihvatljiva Ukrajini i njezinu narodu, kao i služiti kao temelj za sve daljnje diplomatske pregovore; ponavlja da se mir ne može postići davanjem ustupaka agresoru, već zahtijeva odlučnu i trajnu potporu Ukrajini i adekvatne mjere odvraćanja Rusije od ponovne agresije u budućnosti;</w:t>
      </w:r>
    </w:p>
    <w:p w14:paraId="5DD24C56" w14:textId="77777777" w:rsidR="00904329" w:rsidRPr="00BA492B" w:rsidRDefault="00904329" w:rsidP="00904329">
      <w:pPr>
        <w:pStyle w:val="NormalHanging12a"/>
      </w:pPr>
      <w:r w:rsidRPr="00BA492B">
        <w:t>4.</w:t>
      </w:r>
      <w:r w:rsidRPr="00BA492B">
        <w:tab/>
        <w:t>smatra da će, s obzirom na to da je Rusija u prošlosti očito kršila prethodne pravno obvezujuće sporazume, obveze poštovanja suvereniteta svojih susjeda i temeljna načela međunarodnog prava, svakom sporazumu o održivom miru morati prethoditi prekid vatre i da će on morati biti popraćen učinkovitim mjerama za praćenje provedbe obveza i odvraćanje od kašnjenja u ispunjavanju obveza te da će se morati temeljiti na čvrstim sigurnosnim jamstvima EU-a i SAD-a Ukrajini u okviru kojih će se spriječiti svaki pokušaj ponavljanja agresije i poduzeti trenutačne protumjere;</w:t>
      </w:r>
    </w:p>
    <w:p w14:paraId="67C76837" w14:textId="77777777" w:rsidR="00904329" w:rsidRPr="00BA492B" w:rsidRDefault="00904329" w:rsidP="00904329">
      <w:pPr>
        <w:pStyle w:val="NormalHanging12a"/>
      </w:pPr>
      <w:r w:rsidRPr="00BA492B">
        <w:t>5.</w:t>
      </w:r>
      <w:r w:rsidRPr="00BA492B">
        <w:tab/>
        <w:t>naglašava da se mirovnim sporazumom ne smije ograničiti sposobnost Ukrajine da brani svoj suverenitet, neovisnost i teritorijalnu cjelovitost uslijed čega bi mogla postati osjetljiva na buduće napade; naglašava da se takvim sporazumom Ukrajini moraju pružiti vjerodostojna sigurnosna jamstva na razini onih iz članka 5. Sjevernoatlantskog sporazuma te članka 42. stavka 7. Ugovora o Europskoj uniji, izbjegavajući ponavljanje Memoranduma iz Budimpešte iz 1994., te ponovno potvrditi da Ukrajina ima slobodu odabrati svoje sigurnosne i političke saveze bez ruskog veta;</w:t>
      </w:r>
    </w:p>
    <w:p w14:paraId="67F5F22D" w14:textId="77777777" w:rsidR="00904329" w:rsidRPr="00BA492B" w:rsidRDefault="00904329" w:rsidP="00904329">
      <w:pPr>
        <w:pStyle w:val="NormalHanging12a"/>
      </w:pPr>
      <w:r w:rsidRPr="00BA492B">
        <w:t>6.</w:t>
      </w:r>
      <w:r w:rsidRPr="00BA492B">
        <w:tab/>
        <w:t>ističe da se svakim mirovnim sporazumom Rusiju mora obvezati da Ukrajini u potpunosti nadoknadi svu materijalnu i nematerijalnu štetu koju je prouzročila; naglašava da se svakim takvim sporazumom mora zajamčiti potpuna odgovornost u skladu s međunarodnim pravom za zločin agresije i ratne zločine koje su Rusija te njezini saveznici i pomagači počinili protiv Ukrajine i ukrajinskog naroda pred Međunarodnim kaznenim sudom i Posebnim sudom za zločin agresije; nadalje naglašava da se njime isto tako mora zajamčiti povratak svih ratnih zarobljenika, civilnih pritvorenika i otete ukrajinske djece, kao i povlačenje svih ruskih snaga s međunarodno priznatog teritorija Ukrajine;</w:t>
      </w:r>
    </w:p>
    <w:p w14:paraId="61588D46" w14:textId="77777777" w:rsidR="00904329" w:rsidRPr="00BA492B" w:rsidRDefault="00904329" w:rsidP="00904329">
      <w:pPr>
        <w:pStyle w:val="NormalHanging12a"/>
      </w:pPr>
      <w:r w:rsidRPr="00BA492B">
        <w:t>7.</w:t>
      </w:r>
      <w:r w:rsidRPr="00BA492B">
        <w:tab/>
        <w:t>poziva države članice da bez daljnje odgode donesu i provedu mjere za pravno i financijski stabilan odštetni zajam za Ukrajinu, poduprt zamrznutom ruskom imovinom; naglašava da se o sudbini i uvjetima ulaganja tih sredstava ne može pregovarati bez EU-a;</w:t>
      </w:r>
    </w:p>
    <w:p w14:paraId="1D30A9F9" w14:textId="77777777" w:rsidR="00904329" w:rsidRPr="00BA492B" w:rsidRDefault="00904329" w:rsidP="00904329">
      <w:pPr>
        <w:pStyle w:val="NormalHanging12a"/>
      </w:pPr>
      <w:r w:rsidRPr="00BA492B">
        <w:t>8.</w:t>
      </w:r>
      <w:r w:rsidRPr="00BA492B">
        <w:tab/>
        <w:t xml:space="preserve">podsjeća na svoje stajalište da EU i njegove države članice neće priznati ukrajinski teritorij pod privremenom okupacijom kao ruski teritorij; nadalje ističe da bi, kao dio čvrstih međunarodnih sigurnosnih jamstava te kako bi se spriječila bilo kakva buduća kršenja suvereniteta i teritorijalne cjelovitosti Ukrajine, trebalo uspostaviti čvrstu međunarodnu promatračku i mirovnu misiju s mandatom Vijeća sigurnosti UN-a na obje strane linije kontakta; ponavlja da je, s obzirom na trenutačnu nestabilnu sigurnosnu situaciju u Europi, važno da se održi vojna prisutnost NATO-a i SAD-a duž istočnog krila, što je ključno za osiguravanje stabilnosti regije; naglašava da će, ako se postigne pravedan mir između Ukrajine i Rusije, EU, njegove države članice, Sjedinjene Američke Države i partneri sličnih stavova imati ključnu ulogu u jamčenju </w:t>
      </w:r>
      <w:r w:rsidRPr="00BA492B">
        <w:lastRenderedPageBreak/>
        <w:t xml:space="preserve">njegove provedbe; </w:t>
      </w:r>
    </w:p>
    <w:p w14:paraId="6EF56C60" w14:textId="77777777" w:rsidR="00904329" w:rsidRPr="00BA492B" w:rsidRDefault="00904329" w:rsidP="00904329">
      <w:pPr>
        <w:pStyle w:val="NormalHanging12a"/>
      </w:pPr>
      <w:r w:rsidRPr="00BA492B">
        <w:t>9.</w:t>
      </w:r>
      <w:r w:rsidRPr="00BA492B">
        <w:tab/>
        <w:t>naglašava da bi svaki sporazum s Rusijom trebao uključivati obvezu Rusije da odmah prekine hibridno ratovanje protiv EU-a i njegovih partnera, uključujući Ukrajinu;</w:t>
      </w:r>
    </w:p>
    <w:p w14:paraId="584BA48C" w14:textId="77777777" w:rsidR="00904329" w:rsidRPr="00BA492B" w:rsidRDefault="00904329" w:rsidP="00904329">
      <w:pPr>
        <w:pStyle w:val="NormalHanging12a"/>
      </w:pPr>
      <w:r w:rsidRPr="00BA492B">
        <w:t>10.</w:t>
      </w:r>
      <w:r w:rsidRPr="00BA492B">
        <w:tab/>
        <w:t>odlučno poručuje da se sankcije neće ukinuti prije pregovora o mirovnom sporazumu i njegove provedbe; poziva EU da, u slučaju da se Rusija odbije pridružiti ozbiljnim mirovnim pregovorima, nametne dodatne opsežne sankcije;</w:t>
      </w:r>
    </w:p>
    <w:p w14:paraId="68F46A7F" w14:textId="77777777" w:rsidR="00904329" w:rsidRPr="00BA492B" w:rsidRDefault="00904329" w:rsidP="00904329">
      <w:pPr>
        <w:pStyle w:val="NormalHanging12a"/>
      </w:pPr>
      <w:r w:rsidRPr="00BA492B">
        <w:t>11.</w:t>
      </w:r>
      <w:r w:rsidRPr="00BA492B">
        <w:tab/>
        <w:t xml:space="preserve">uvjeren je da se istinskim pregovorima, uz puni politički, vojni i ekonomski utjecaj transatlantske zajednice i njezinih međunarodnih partnera, može uspostaviti sveobuhvatan, pravedan i trajan mir za Ukrajinu i otvoriti put pravednom i </w:t>
      </w:r>
      <w:proofErr w:type="spellStart"/>
      <w:r w:rsidRPr="00BA492B">
        <w:t>uključivom</w:t>
      </w:r>
      <w:proofErr w:type="spellEnd"/>
      <w:r w:rsidRPr="00BA492B">
        <w:t xml:space="preserve"> gospodarskom i socijalnom oporavku;</w:t>
      </w:r>
    </w:p>
    <w:p w14:paraId="7D3F018D" w14:textId="4C783C26" w:rsidR="00E365E1" w:rsidRPr="00BA492B" w:rsidRDefault="00904329" w:rsidP="00BA492B">
      <w:pPr>
        <w:pStyle w:val="NormalHanging12a"/>
      </w:pPr>
      <w:r w:rsidRPr="00BA492B">
        <w:t>12.</w:t>
      </w:r>
      <w:r w:rsidRPr="00BA492B">
        <w:tab/>
        <w:t xml:space="preserve">nalaže svojoj predsjednici da ovu Rezoluciju proslijedi Vijeću, Komisiji, potpredsjednici Komisije / visokoj predstavnici Unije za vanjske poslove i sigurnosnu politiku, vladama i parlamentima država članica, predsjedniku, vladi i </w:t>
      </w:r>
      <w:proofErr w:type="spellStart"/>
      <w:r w:rsidRPr="00BA492B">
        <w:t>Verhovnoj</w:t>
      </w:r>
      <w:proofErr w:type="spellEnd"/>
      <w:r w:rsidRPr="00BA492B">
        <w:t xml:space="preserve"> radi Ukrajine, glavnom tajniku Ujedinjenih naroda, Kongresu Sjedinjenih Američkih Država i ruskim vlastima.</w:t>
      </w:r>
    </w:p>
    <w:sectPr w:rsidR="00E365E1" w:rsidRPr="00BA492B" w:rsidSect="00BA4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F8CC1" w14:textId="77777777" w:rsidR="002609A9" w:rsidRPr="00BA492B" w:rsidRDefault="002609A9">
      <w:r w:rsidRPr="00BA492B">
        <w:separator/>
      </w:r>
    </w:p>
  </w:endnote>
  <w:endnote w:type="continuationSeparator" w:id="0">
    <w:p w14:paraId="1AD8B5D1" w14:textId="77777777" w:rsidR="002609A9" w:rsidRPr="00BA492B" w:rsidRDefault="002609A9">
      <w:r w:rsidRPr="00BA49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39CD" w14:textId="77777777" w:rsidR="00064002" w:rsidRPr="00BA49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84E19" w14:textId="77777777" w:rsidR="00064002" w:rsidRPr="00BA49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FF62" w14:textId="77777777" w:rsidR="00064002" w:rsidRPr="00BA49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8E0EC" w14:textId="77777777" w:rsidR="002609A9" w:rsidRPr="00BA492B" w:rsidRDefault="002609A9">
      <w:r w:rsidRPr="00BA492B">
        <w:separator/>
      </w:r>
    </w:p>
  </w:footnote>
  <w:footnote w:type="continuationSeparator" w:id="0">
    <w:p w14:paraId="11DCDD93" w14:textId="77777777" w:rsidR="002609A9" w:rsidRPr="00BA492B" w:rsidRDefault="002609A9">
      <w:r w:rsidRPr="00BA49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78216" w14:textId="77777777" w:rsidR="00064002" w:rsidRPr="00BA49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29A2D" w14:textId="77777777" w:rsidR="00064002" w:rsidRPr="00BA49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A526A" w14:textId="77777777" w:rsidR="00064002" w:rsidRPr="00BA49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5631285">
    <w:abstractNumId w:val="9"/>
  </w:num>
  <w:num w:numId="2" w16cid:durableId="1086456745">
    <w:abstractNumId w:val="9"/>
  </w:num>
  <w:num w:numId="3" w16cid:durableId="981696149">
    <w:abstractNumId w:val="7"/>
  </w:num>
  <w:num w:numId="4" w16cid:durableId="1952857935">
    <w:abstractNumId w:val="7"/>
  </w:num>
  <w:num w:numId="5" w16cid:durableId="1848521969">
    <w:abstractNumId w:val="6"/>
  </w:num>
  <w:num w:numId="6" w16cid:durableId="2123262842">
    <w:abstractNumId w:val="6"/>
  </w:num>
  <w:num w:numId="7" w16cid:durableId="1299263893">
    <w:abstractNumId w:val="5"/>
  </w:num>
  <w:num w:numId="8" w16cid:durableId="668479782">
    <w:abstractNumId w:val="5"/>
  </w:num>
  <w:num w:numId="9" w16cid:durableId="4598604">
    <w:abstractNumId w:val="4"/>
  </w:num>
  <w:num w:numId="10" w16cid:durableId="1265578444">
    <w:abstractNumId w:val="4"/>
  </w:num>
  <w:num w:numId="11" w16cid:durableId="1146044717">
    <w:abstractNumId w:val="8"/>
  </w:num>
  <w:num w:numId="12" w16cid:durableId="2028480648">
    <w:abstractNumId w:val="8"/>
  </w:num>
  <w:num w:numId="13" w16cid:durableId="215552655">
    <w:abstractNumId w:val="3"/>
  </w:num>
  <w:num w:numId="14" w16cid:durableId="962804947">
    <w:abstractNumId w:val="3"/>
  </w:num>
  <w:num w:numId="15" w16cid:durableId="763038649">
    <w:abstractNumId w:val="2"/>
  </w:num>
  <w:num w:numId="16" w16cid:durableId="367798167">
    <w:abstractNumId w:val="2"/>
  </w:num>
  <w:num w:numId="17" w16cid:durableId="2056586182">
    <w:abstractNumId w:val="1"/>
  </w:num>
  <w:num w:numId="18" w16cid:durableId="552433">
    <w:abstractNumId w:val="1"/>
  </w:num>
  <w:num w:numId="19" w16cid:durableId="383258065">
    <w:abstractNumId w:val="0"/>
  </w:num>
  <w:num w:numId="20" w16cid:durableId="1459059986">
    <w:abstractNumId w:val="0"/>
  </w:num>
  <w:num w:numId="21" w16cid:durableId="541291865">
    <w:abstractNumId w:val="9"/>
  </w:num>
  <w:num w:numId="22" w16cid:durableId="211382658">
    <w:abstractNumId w:val="7"/>
  </w:num>
  <w:num w:numId="23" w16cid:durableId="56632284">
    <w:abstractNumId w:val="6"/>
  </w:num>
  <w:num w:numId="24" w16cid:durableId="565074782">
    <w:abstractNumId w:val="5"/>
  </w:num>
  <w:num w:numId="25" w16cid:durableId="1057780543">
    <w:abstractNumId w:val="4"/>
  </w:num>
  <w:num w:numId="26" w16cid:durableId="1894655825">
    <w:abstractNumId w:val="8"/>
  </w:num>
  <w:num w:numId="27" w16cid:durableId="1758400282">
    <w:abstractNumId w:val="3"/>
  </w:num>
  <w:num w:numId="28" w16cid:durableId="1030495606">
    <w:abstractNumId w:val="2"/>
  </w:num>
  <w:num w:numId="29" w16cid:durableId="857155356">
    <w:abstractNumId w:val="1"/>
  </w:num>
  <w:num w:numId="30" w16cid:durableId="1204054100">
    <w:abstractNumId w:val="0"/>
  </w:num>
  <w:num w:numId="31" w16cid:durableId="884561333">
    <w:abstractNumId w:val="9"/>
  </w:num>
  <w:num w:numId="32" w16cid:durableId="1191382450">
    <w:abstractNumId w:val="7"/>
  </w:num>
  <w:num w:numId="33" w16cid:durableId="650408968">
    <w:abstractNumId w:val="6"/>
  </w:num>
  <w:num w:numId="34" w16cid:durableId="1375807670">
    <w:abstractNumId w:val="5"/>
  </w:num>
  <w:num w:numId="35" w16cid:durableId="919556305">
    <w:abstractNumId w:val="4"/>
  </w:num>
  <w:num w:numId="36" w16cid:durableId="582645437">
    <w:abstractNumId w:val="8"/>
  </w:num>
  <w:num w:numId="37" w16cid:durableId="1008099229">
    <w:abstractNumId w:val="3"/>
  </w:num>
  <w:num w:numId="38" w16cid:durableId="207881044">
    <w:abstractNumId w:val="2"/>
  </w:num>
  <w:num w:numId="39" w16cid:durableId="1311253494">
    <w:abstractNumId w:val="1"/>
  </w:num>
  <w:num w:numId="40" w16cid:durableId="1370956666">
    <w:abstractNumId w:val="0"/>
  </w:num>
  <w:num w:numId="41" w16cid:durableId="100878827">
    <w:abstractNumId w:val="10"/>
  </w:num>
  <w:num w:numId="42" w16cid:durableId="1921014189">
    <w:abstractNumId w:val="10"/>
  </w:num>
  <w:num w:numId="43" w16cid:durableId="510143654">
    <w:abstractNumId w:val="10"/>
  </w:num>
  <w:num w:numId="44" w16cid:durableId="2062899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/2025"/>
    <w:docVar w:name="dvlangue" w:val="HR"/>
    <w:docVar w:name="dvnumam" w:val="0"/>
    <w:docVar w:name="dvpe" w:val="779.019"/>
    <w:docVar w:name="dvtitre" w:val="Rezolucija Europskog parlamenta od .... 2025. o stajalištu EU-a o predloženom planu i angažmanu EU-a s ciljem postizanja pravednog i trajnog mira za Ukrajinu(2025/3001(RSP))"/>
  </w:docVars>
  <w:rsids>
    <w:rsidRoot w:val="002609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9A9"/>
    <w:rsid w:val="002767FF"/>
    <w:rsid w:val="002B18FE"/>
    <w:rsid w:val="002B5493"/>
    <w:rsid w:val="0032670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4C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32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92B"/>
    <w:rsid w:val="00BD48FE"/>
    <w:rsid w:val="00BD7BD8"/>
    <w:rsid w:val="00BE6ADC"/>
    <w:rsid w:val="00C05BFE"/>
    <w:rsid w:val="00C23CD4"/>
    <w:rsid w:val="00C61C0C"/>
    <w:rsid w:val="00C6301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995B7"/>
  <w15:chartTrackingRefBased/>
  <w15:docId w15:val="{82CFB606-1645-416F-9597-AD7F907C0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0432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0432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0432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990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2025-11-27T13:13:00Z</dcterms:created>
  <dcterms:modified xsi:type="dcterms:W3CDTF">2025-11-27T13:13:00Z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B10-0545/2025</vt:lpwstr>
  </property>
  <property fmtid="{D5CDD505-2E9C-101B-9397-08002B2CF9AE}" pid="4" name="&lt;Type&gt;">
    <vt:lpwstr>RR</vt:lpwstr>
  </property>
</Properties>
</file>