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2C93" w14:paraId="499C4D19" w14:textId="77777777" w:rsidTr="0010095E">
        <w:trPr>
          <w:trHeight w:hRule="exact" w:val="1418"/>
        </w:trPr>
        <w:tc>
          <w:tcPr>
            <w:tcW w:w="6804" w:type="dxa"/>
            <w:shd w:val="clear" w:color="auto" w:fill="auto"/>
            <w:vAlign w:val="center"/>
          </w:tcPr>
          <w:p w14:paraId="297D9334" w14:textId="77777777" w:rsidR="00751A4A" w:rsidRPr="00FD2C93" w:rsidRDefault="006B5877" w:rsidP="0010095E">
            <w:pPr>
              <w:pStyle w:val="EPName"/>
            </w:pPr>
            <w:r w:rsidRPr="00FD2C93">
              <w:t>Európai Parlament</w:t>
            </w:r>
          </w:p>
          <w:p w14:paraId="5184FBB2" w14:textId="77777777" w:rsidR="00751A4A" w:rsidRPr="00FD2C93" w:rsidRDefault="005F1B17" w:rsidP="005F1B17">
            <w:pPr>
              <w:pStyle w:val="EPTerm"/>
              <w:rPr>
                <w:rStyle w:val="HideTWBExt"/>
                <w:noProof w:val="0"/>
                <w:vanish w:val="0"/>
                <w:color w:val="auto"/>
              </w:rPr>
            </w:pPr>
            <w:r w:rsidRPr="00FD2C93">
              <w:t>2024</w:t>
            </w:r>
            <w:r w:rsidR="00817416" w:rsidRPr="00FD2C93">
              <w:t>-202</w:t>
            </w:r>
            <w:r w:rsidRPr="00FD2C93">
              <w:t>9</w:t>
            </w:r>
          </w:p>
        </w:tc>
        <w:tc>
          <w:tcPr>
            <w:tcW w:w="2268" w:type="dxa"/>
            <w:shd w:val="clear" w:color="auto" w:fill="auto"/>
          </w:tcPr>
          <w:p w14:paraId="75B8B247" w14:textId="77777777" w:rsidR="00751A4A" w:rsidRPr="00FD2C93" w:rsidRDefault="00187494" w:rsidP="0010095E">
            <w:pPr>
              <w:pStyle w:val="EPLogo"/>
            </w:pPr>
            <w:r w:rsidRPr="00FD2C93">
              <w:rPr>
                <w:noProof/>
                <w:lang w:eastAsia="ja-JP"/>
              </w:rPr>
              <w:drawing>
                <wp:inline distT="0" distB="0" distL="0" distR="0" wp14:anchorId="252EE6B6" wp14:editId="135588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4682F0" w14:textId="77777777" w:rsidR="00D058B8" w:rsidRPr="00FD2C93" w:rsidRDefault="00D058B8" w:rsidP="004C5D52">
      <w:pPr>
        <w:pStyle w:val="LineTop"/>
      </w:pPr>
    </w:p>
    <w:p w14:paraId="0819F646" w14:textId="77777777" w:rsidR="00680577" w:rsidRPr="00FD2C93" w:rsidRDefault="006B5877" w:rsidP="00680577">
      <w:pPr>
        <w:pStyle w:val="EPBodyTA1"/>
      </w:pPr>
      <w:r w:rsidRPr="00FD2C93">
        <w:t>ELFOGADOTT SZÖVEGEK</w:t>
      </w:r>
    </w:p>
    <w:p w14:paraId="6709A109" w14:textId="77777777" w:rsidR="00D058B8" w:rsidRPr="00FD2C93" w:rsidRDefault="00D058B8" w:rsidP="00D058B8">
      <w:pPr>
        <w:pStyle w:val="LineBottom"/>
      </w:pPr>
    </w:p>
    <w:p w14:paraId="7773CCA7" w14:textId="01AAEED1" w:rsidR="006B5877" w:rsidRPr="00FD2C93" w:rsidRDefault="006B5877" w:rsidP="006B5877">
      <w:pPr>
        <w:pStyle w:val="ATHeading1"/>
      </w:pPr>
      <w:bookmarkStart w:id="0" w:name="TANumber"/>
      <w:r w:rsidRPr="00FD2C93">
        <w:t>P10_</w:t>
      </w:r>
      <w:proofErr w:type="gramStart"/>
      <w:r w:rsidRPr="00FD2C93">
        <w:t>TA(</w:t>
      </w:r>
      <w:proofErr w:type="gramEnd"/>
      <w:r w:rsidRPr="00FD2C93">
        <w:t>2025)0</w:t>
      </w:r>
      <w:r w:rsidR="00FD2C93" w:rsidRPr="00FD2C93">
        <w:t>312</w:t>
      </w:r>
      <w:bookmarkEnd w:id="0"/>
    </w:p>
    <w:p w14:paraId="307F2292" w14:textId="67164795" w:rsidR="006B5877" w:rsidRPr="00FD2C93" w:rsidRDefault="00A6312C" w:rsidP="00A6312C">
      <w:pPr>
        <w:pStyle w:val="ATHeading2"/>
      </w:pPr>
      <w:bookmarkStart w:id="1" w:name="title"/>
      <w:r w:rsidRPr="00FD2C93">
        <w:t>Az EU álláspontja az Ukrajna igazságos és tartós békéje érdekében javasolt tervről és az EU szerepvállalása</w:t>
      </w:r>
      <w:bookmarkEnd w:id="1"/>
    </w:p>
    <w:p w14:paraId="185E1747" w14:textId="77777777" w:rsidR="006B5877" w:rsidRPr="00FD2C93" w:rsidRDefault="006B5877" w:rsidP="006B5877">
      <w:pPr>
        <w:rPr>
          <w:i/>
          <w:vanish/>
        </w:rPr>
      </w:pPr>
      <w:r w:rsidRPr="00FD2C93">
        <w:rPr>
          <w:i/>
        </w:rPr>
        <w:fldChar w:fldCharType="begin"/>
      </w:r>
      <w:r w:rsidRPr="00FD2C93">
        <w:rPr>
          <w:i/>
        </w:rPr>
        <w:instrText xml:space="preserve"> TC"(</w:instrText>
      </w:r>
      <w:bookmarkStart w:id="2" w:name="DocNumber"/>
      <w:r w:rsidRPr="00FD2C93">
        <w:rPr>
          <w:i/>
        </w:rPr>
        <w:instrText>B10-0545, 0546, 0547, 0548 és 0549/2025</w:instrText>
      </w:r>
      <w:bookmarkEnd w:id="2"/>
      <w:r w:rsidRPr="00FD2C93">
        <w:rPr>
          <w:i/>
        </w:rPr>
        <w:instrText xml:space="preserve">)"\l3 \n&gt; \* MERGEFORMAT </w:instrText>
      </w:r>
      <w:r w:rsidRPr="00FD2C93">
        <w:rPr>
          <w:i/>
        </w:rPr>
        <w:fldChar w:fldCharType="end"/>
      </w:r>
    </w:p>
    <w:p w14:paraId="6CAFC945" w14:textId="77777777" w:rsidR="006B5877" w:rsidRPr="00FD2C93" w:rsidRDefault="006B5877" w:rsidP="006B5877">
      <w:pPr>
        <w:rPr>
          <w:vanish/>
        </w:rPr>
      </w:pPr>
      <w:bookmarkStart w:id="3" w:name="PE"/>
      <w:r w:rsidRPr="00FD2C93">
        <w:rPr>
          <w:vanish/>
        </w:rPr>
        <w:t>PE779.018</w:t>
      </w:r>
      <w:bookmarkEnd w:id="3"/>
    </w:p>
    <w:p w14:paraId="2EC94B09" w14:textId="7D2D954F" w:rsidR="006B5877" w:rsidRPr="00FD2C93" w:rsidRDefault="006B5877" w:rsidP="006B5877">
      <w:pPr>
        <w:pStyle w:val="ATHeading3"/>
      </w:pPr>
      <w:bookmarkStart w:id="4" w:name="Sujet"/>
      <w:r w:rsidRPr="00FD2C93">
        <w:t xml:space="preserve">Az Európai Parlament 2025. </w:t>
      </w:r>
      <w:r w:rsidR="00A6312C" w:rsidRPr="00FD2C93">
        <w:t>november 27</w:t>
      </w:r>
      <w:r w:rsidRPr="00FD2C93">
        <w:t>-i állásfoglalása a javasolt tervre vonatkozó uniós álláspontról és az Ukrajna számára igazságos és tartós békét célzó uniós szerepvállalásról</w:t>
      </w:r>
      <w:bookmarkEnd w:id="4"/>
      <w:r w:rsidRPr="00FD2C93">
        <w:t xml:space="preserve"> </w:t>
      </w:r>
      <w:bookmarkStart w:id="5" w:name="References"/>
      <w:r w:rsidRPr="00FD2C93">
        <w:t>(2025/3001(RSP))</w:t>
      </w:r>
      <w:bookmarkEnd w:id="5"/>
    </w:p>
    <w:p w14:paraId="54E7CCD1" w14:textId="77777777" w:rsidR="007F6140" w:rsidRPr="00FD2C93" w:rsidRDefault="007F6140" w:rsidP="007F6140">
      <w:pPr>
        <w:pStyle w:val="EPComma"/>
      </w:pPr>
      <w:bookmarkStart w:id="6" w:name="TextBodyBegin"/>
      <w:bookmarkEnd w:id="6"/>
      <w:r w:rsidRPr="00FD2C93">
        <w:rPr>
          <w:i/>
        </w:rPr>
        <w:t>Az Európai Parlament,</w:t>
      </w:r>
    </w:p>
    <w:p w14:paraId="5BA9504E" w14:textId="77777777" w:rsidR="007F6140" w:rsidRPr="00FD2C93" w:rsidRDefault="007F6140" w:rsidP="00A6312C">
      <w:pPr>
        <w:pStyle w:val="NormalHanging12a"/>
        <w:widowControl/>
      </w:pPr>
      <w:r w:rsidRPr="00FD2C93">
        <w:t>–</w:t>
      </w:r>
      <w:r w:rsidRPr="00FD2C93">
        <w:tab/>
        <w:t>tekintettel az Ukrajnáról és Oroszországról szóló korábbi állásfoglalásaira,</w:t>
      </w:r>
    </w:p>
    <w:p w14:paraId="097AAD23" w14:textId="77777777" w:rsidR="007F6140" w:rsidRPr="00FD2C93" w:rsidRDefault="007F6140" w:rsidP="00A6312C">
      <w:pPr>
        <w:pStyle w:val="NormalHanging12a"/>
        <w:widowControl/>
      </w:pPr>
      <w:r w:rsidRPr="00FD2C93">
        <w:t>–</w:t>
      </w:r>
      <w:r w:rsidRPr="00FD2C93">
        <w:tab/>
        <w:t>tekintettel a külügyi bizottságok elnökeinek az igazságos és tartós európai béke támogatásáról szóló, 2025. november 24-i közös nyilatkozatára,</w:t>
      </w:r>
    </w:p>
    <w:p w14:paraId="4250C14D" w14:textId="77777777" w:rsidR="007F6140" w:rsidRPr="00FD2C93" w:rsidRDefault="007F6140" w:rsidP="00A6312C">
      <w:pPr>
        <w:pStyle w:val="NormalHanging12a"/>
        <w:widowControl/>
      </w:pPr>
      <w:r w:rsidRPr="00FD2C93">
        <w:t>–</w:t>
      </w:r>
      <w:r w:rsidRPr="00FD2C93">
        <w:tab/>
        <w:t>tekintettel eljárási szabályzata 136. cikkének (2) és (4) bekezdésére,</w:t>
      </w:r>
    </w:p>
    <w:p w14:paraId="2F14798C" w14:textId="77777777" w:rsidR="007F6140" w:rsidRPr="00FD2C93" w:rsidRDefault="007F6140" w:rsidP="00A6312C">
      <w:pPr>
        <w:pStyle w:val="NormalHanging12a"/>
        <w:widowControl/>
      </w:pPr>
      <w:r w:rsidRPr="00FD2C93">
        <w:t>A.</w:t>
      </w:r>
      <w:r w:rsidRPr="00FD2C93">
        <w:tab/>
        <w:t>mivel az EU célja továbbra is az igazságos és tartós béke, amely a nemzetközi jogon alapul, és teljes mértékben tiszteletben tartja Ukrajna területi integritását, függetlenségét és szuverenitását; mivel Oroszország következetesen azt mutatja, hogy nem áll szándékában békét kötni, és továbbra is támadja az ukrán polgári lakosságot és infrastruktúrát; mivel az Ukrajnában zajló háború befejezésére irányuló, az USA kormányzata által a közelmúltban jóváhagyott terv jogos aggályokat vet fel az Egyesült Államoknak a nemzetközi jog, valamint Európa és Ukrajna biztonsága iránti elkötelezettségével kapcsolatban;</w:t>
      </w:r>
    </w:p>
    <w:p w14:paraId="3F87A9C8" w14:textId="77777777" w:rsidR="007F6140" w:rsidRPr="00FD2C93" w:rsidRDefault="007F6140" w:rsidP="00A6312C">
      <w:pPr>
        <w:pStyle w:val="NormalHanging12a"/>
        <w:widowControl/>
      </w:pPr>
      <w:r w:rsidRPr="00FD2C93">
        <w:t>1.</w:t>
      </w:r>
      <w:r w:rsidRPr="00FD2C93">
        <w:tab/>
        <w:t>sürgeti az EU-t és tagállamait, hogy vállaljanak nagyobb felelősséget az európai kontinens biztonságáért, nyújtsanak kitartó támogatást Ukrajnának, egyúttal aktívan elkötelezve magukat a tartós béke mellett; kiemeli, hogy minden olyan megállapodás, amely Oroszország Ukrajna elleni agressziós háborújának befejezésére irányul, jóval túlmutat Oroszországon és Ukrajnán, és mélyreható következményekkel jár az európai biztonsági rendre nézve; ezzel összefüggésben kitart amellett, hogy Ukrajnáról nem szabad dönteni Ukrajna nélkül, és Európáról sem Európa nélkül;</w:t>
      </w:r>
    </w:p>
    <w:p w14:paraId="528920CB" w14:textId="77777777" w:rsidR="007F6140" w:rsidRPr="00FD2C93" w:rsidRDefault="007F6140" w:rsidP="00A6312C">
      <w:pPr>
        <w:pStyle w:val="NormalHanging12a"/>
        <w:widowControl/>
      </w:pPr>
      <w:r w:rsidRPr="00FD2C93">
        <w:t>2.</w:t>
      </w:r>
      <w:r w:rsidRPr="00FD2C93">
        <w:tab/>
        <w:t xml:space="preserve">tudomásul veszi azokat az erőfeszítéseket, amelyeket az Egyesült Államok kormányzata tesz Oroszország Ukrajna elleni agressziós háborújának befejezése érdekében, de úgy véli, hogy az USA Ukrajnával kapcsolatos politikájának ambivalenciája káros a fenntartható béke elérésére irányuló célkitűzés szempontjából; ezért sürgeti az EU-t és </w:t>
      </w:r>
      <w:r w:rsidRPr="00FD2C93">
        <w:lastRenderedPageBreak/>
        <w:t>tagállamait, hogy vállalják fel a vezető szerepet ebben a kulcsfontosságú geopolitikai pillanatban, és folytassák az együttműködést az Egyesült Államokkal és a hasonlóan gondolkodó partnerekkel annak biztosítása érdekében, hogy az Ukrajna számára igazságos és tartós békéről szóló tárgyalások a nemzetközi jogon alapuljanak, jóhiszeműen folyjanak, és törekedjenek arra, hogy véglegesen véget vessenek Oroszország Ukrajna elleni agressziójának;</w:t>
      </w:r>
    </w:p>
    <w:p w14:paraId="71BBDBFE" w14:textId="77777777" w:rsidR="007F6140" w:rsidRPr="00FD2C93" w:rsidRDefault="007F6140" w:rsidP="00A6312C">
      <w:pPr>
        <w:pStyle w:val="NormalHanging12a"/>
        <w:widowControl/>
      </w:pPr>
      <w:r w:rsidRPr="00FD2C93">
        <w:t>3.</w:t>
      </w:r>
      <w:r w:rsidRPr="00FD2C93">
        <w:tab/>
        <w:t>hangsúlyozza, hogy az Ukrajna békéjére irányuló európai stratégiának a nemzetközi jogon kell alapulnia, meg kell erősítenie az európai biztonságot, meg kell őriznie és helyre kell állítania Ukrajna szuverenitását és területi integritását, elfogadhatónak kell lennie Ukrajna és népe számára, és alapul kell szolgálnia minden további diplomáciai tárgyaláshoz; megismétli, hogy a béke nem érhető el az agresszor előtt való meghódolással, hanem megingathatatlan és tartós támogatást kell nyújtani Ukrajnának, és megfelelően el kell rettenteni Oroszországot attól, hogy a jövőben megismételje támadását;</w:t>
      </w:r>
    </w:p>
    <w:p w14:paraId="4EF38DB8" w14:textId="77777777" w:rsidR="007F6140" w:rsidRPr="00FD2C93" w:rsidRDefault="007F6140" w:rsidP="00A6312C">
      <w:pPr>
        <w:pStyle w:val="NormalHanging12a"/>
        <w:widowControl/>
      </w:pPr>
      <w:r w:rsidRPr="00FD2C93">
        <w:t>4.</w:t>
      </w:r>
      <w:r w:rsidRPr="00FD2C93">
        <w:tab/>
        <w:t xml:space="preserve">úgy véli, hogy tekintettel arra, hogy Oroszország már korábban is kirívó módon áthágott jogilag kötelező </w:t>
      </w:r>
      <w:proofErr w:type="spellStart"/>
      <w:r w:rsidRPr="00FD2C93">
        <w:t>erejű</w:t>
      </w:r>
      <w:proofErr w:type="spellEnd"/>
      <w:r w:rsidRPr="00FD2C93">
        <w:t xml:space="preserve"> megállapodásokat, megsértett a </w:t>
      </w:r>
      <w:proofErr w:type="spellStart"/>
      <w:r w:rsidRPr="00FD2C93">
        <w:t>szomszédai</w:t>
      </w:r>
      <w:proofErr w:type="spellEnd"/>
      <w:r w:rsidRPr="00FD2C93">
        <w:t xml:space="preserve"> szuverenitásának tiszteletben tartására tett kötelezettségvállalásokat, és megszegte a nemzetközi jog alapelveit, a fenntartható békére vonatkozó esetleges megállapodást tűzszünetnek kell megelőznie, valamint a kötelezettségvállalások végrehajtásának nyomon követésére irányuló és a kötelezettségek késedelmes teljesítésétől visszatartó hatékony intézkedéseknek kell kísérniük, továbbá az EU és az USA által Ukrajnának nyújtott szilárd biztonsági garanciáknak kell alátámasztaniuk, amelyek megelőznek minden újbóli agressziót, és azonnal fellépnek azzal szemben;</w:t>
      </w:r>
    </w:p>
    <w:p w14:paraId="70909BCA" w14:textId="77777777" w:rsidR="007F6140" w:rsidRPr="00FD2C93" w:rsidRDefault="007F6140" w:rsidP="00A6312C">
      <w:pPr>
        <w:pStyle w:val="NormalHanging12a"/>
        <w:widowControl/>
      </w:pPr>
      <w:r w:rsidRPr="00FD2C93">
        <w:t>5.</w:t>
      </w:r>
      <w:r w:rsidRPr="00FD2C93">
        <w:tab/>
        <w:t>hangsúlyozza, hogy semmilyen békemegállapodás nem korlátozhatja Ukrajna azon képességét, hogy megvédje szuverenitását, függetlenségét és területi integritását, és következésképpen nem teheti kiszolgáltatottá az országot a jövőbeli támadásokkal szemben; hangsúlyozza, hogy egy ilyen megállapodásnak a Washingtoni Szerződés 5. cikkével és az Európai Unióról szóló szerződés 42. cikkének (7) bekezdésével egyenértékű hiteles biztonsági garanciákat kell kínálnia Ukrajna számára, elkerülve a biztonsági garanciákról szóló 1994. évi budapesti megállapodás megismétlődését, és újra meg kell erősítenie, hogy Ukrajna szabadon, minden orosz vétótól mentesen megválaszthatja biztonsági és politikai szövetségeit;</w:t>
      </w:r>
    </w:p>
    <w:p w14:paraId="76B58D50" w14:textId="77777777" w:rsidR="007F6140" w:rsidRPr="00FD2C93" w:rsidRDefault="007F6140" w:rsidP="00A6312C">
      <w:pPr>
        <w:pStyle w:val="NormalHanging12a"/>
        <w:widowControl/>
      </w:pPr>
      <w:r w:rsidRPr="00FD2C93">
        <w:t>6.</w:t>
      </w:r>
      <w:r w:rsidRPr="00FD2C93">
        <w:tab/>
        <w:t>hangsúlyozza, hogy az esetleges békemegállapodásnak köteleznie kell Oroszországot arra, hogy az általa okozott valamennyi vagyoni és nem vagyoni kárért teljes mértékben kártalanítsa Ukrajnát; hangsúlyozza, hogy az említett esetleges megállapodásnak garantálnia kell Oroszország, szövetségesei és helyettesítő erői a nemzetközi jog szerinti teljes elszámoltathatóságát a Nemzetközi Büntetőbíróság és az agresszió bűntettével foglalkozó különleges törvényszék előtt az általuk Ukrajna és népe ellen elkövetett agresszió bűntettéért és háborús bűncselekményekért; hangsúlyozza továbbá, hogy a megállapodásnak garantálnia kell valamennyi hadifogoly, polgári fogvatartott és elrabolt ukrán gyermek hazatérését, valamint minden orosz erő kivonását Ukrajna nemzetközileg elismert területéről;</w:t>
      </w:r>
    </w:p>
    <w:p w14:paraId="2DFB3CDC" w14:textId="77777777" w:rsidR="007F6140" w:rsidRPr="00FD2C93" w:rsidRDefault="007F6140" w:rsidP="00A6312C">
      <w:pPr>
        <w:pStyle w:val="NormalHanging12a"/>
        <w:widowControl/>
      </w:pPr>
      <w:r w:rsidRPr="00FD2C93">
        <w:t>7.</w:t>
      </w:r>
      <w:r w:rsidRPr="00FD2C93">
        <w:tab/>
        <w:t>felhívja a tagállamokat, hogy további késedelem nélkül fogadjanak el és hajtsanak végre egy jogilag és pénzügyileg stabil „jóvátételi hitelt” Ukrajnának, amelyet a befagyasztott orosz vagyoni eszközök fedeznek; hangsúlyozza, hogy ezen eszközök sorsáról és befektetésük feltételeiről az EU nélkül nem folytathatók tárgyalások;</w:t>
      </w:r>
    </w:p>
    <w:p w14:paraId="1A5A9512" w14:textId="77777777" w:rsidR="007F6140" w:rsidRPr="00FD2C93" w:rsidRDefault="007F6140" w:rsidP="00A6312C">
      <w:pPr>
        <w:pStyle w:val="NormalHanging12a"/>
        <w:widowControl/>
      </w:pPr>
      <w:r w:rsidRPr="00FD2C93">
        <w:lastRenderedPageBreak/>
        <w:t>8.</w:t>
      </w:r>
      <w:r w:rsidRPr="00FD2C93">
        <w:tab/>
        <w:t>emlékeztet azon álláspontjára, hogy az ideiglenesen megszállt ukrán területet az EU és tagállamai nem ismerik el, és nem is fogják elismerni Oroszország területeként; kiemeli továbbá, hogy a szilárd nemzetközi biztonsági garanciák részeként, valamint Ukrajna szuverenitása és területi integritása jövőbeli megsértésének megelőzése érdekében szilárd nemzetközi békefenntartó és megfigyelő missziót kell telepíteni az ENSZ Biztonsági Tanácsának mandátumával a jelenlegi frontvonal mindkét oldalán; megismétli, hogy tekintettel a jelenlegi ingatag európai biztonsági helyzetre, fontos fenntartani a NATO és az USA katonai jelenlétét a keleti határ mentén, ami döntő fontosságú a régió stabilitásának biztosítása szempontjából; hangsúlyozza, hogy amennyiben Ukrajna és Oroszország között igazságos béke jön létre, az EU, tagállamai, az Egyesült Államok és a hasonlóan gondolkodó partnerek döntő szerepet fognak játszani a béke megvalósításának biztosításában;</w:t>
      </w:r>
    </w:p>
    <w:p w14:paraId="2015A284" w14:textId="77777777" w:rsidR="007F6140" w:rsidRPr="00FD2C93" w:rsidRDefault="007F6140" w:rsidP="00A6312C">
      <w:pPr>
        <w:pStyle w:val="NormalHanging12a"/>
        <w:widowControl/>
      </w:pPr>
      <w:r w:rsidRPr="00FD2C93">
        <w:t>9.</w:t>
      </w:r>
      <w:r w:rsidRPr="00FD2C93">
        <w:tab/>
        <w:t>hangsúlyozza, hogy bármely Oroszországgal kötött megállapodásnak tartalmaznia kell Oroszország arra vonatkozó kötelezettségvállalását, hogy haladéktalanul beszünteti hibrid hadviselését az EU és partnerei, köztük Ukrajna ellen;</w:t>
      </w:r>
    </w:p>
    <w:p w14:paraId="790866A9" w14:textId="77777777" w:rsidR="007F6140" w:rsidRPr="00FD2C93" w:rsidRDefault="007F6140" w:rsidP="00A6312C">
      <w:pPr>
        <w:pStyle w:val="NormalHanging12a"/>
        <w:widowControl/>
      </w:pPr>
      <w:r w:rsidRPr="00FD2C93">
        <w:t>10.</w:t>
      </w:r>
      <w:r w:rsidRPr="00FD2C93">
        <w:tab/>
        <w:t>ragaszkodik ahhoz, hogy a békemegállapodás megtárgyalása és végrehajtása előtt ne kerüljön sor egyetlen szankció feloldására sem; felhívja az EU-t, hogy amennyiben Oroszország elutasítja a komoly béketárgyalásokon való részvételt, szabjon ki további jelentős szankciókat;</w:t>
      </w:r>
    </w:p>
    <w:p w14:paraId="525750E3" w14:textId="77777777" w:rsidR="007F6140" w:rsidRPr="00FD2C93" w:rsidRDefault="007F6140" w:rsidP="00A6312C">
      <w:pPr>
        <w:pStyle w:val="NormalHanging12a"/>
        <w:widowControl/>
      </w:pPr>
      <w:r w:rsidRPr="00FD2C93">
        <w:t>11.</w:t>
      </w:r>
      <w:r w:rsidRPr="00FD2C93">
        <w:tab/>
        <w:t>meggyőződése, hogy az őszinte tárgyalások, amelyeket a transzatlanti közösség és nemzetközi partnerei teljes politikai, katonai és gazdasági súlyukkal támogatnak, átfogó, igazságos és tartós békét teremthetnek Ukrajna számára, és megnyithatják az utat az igazságos és inkluzív gazdasági és társadalmi helyreállítás előtt;</w:t>
      </w:r>
    </w:p>
    <w:p w14:paraId="50C74C34" w14:textId="5B41D0EF" w:rsidR="00E365E1" w:rsidRPr="006A7010" w:rsidRDefault="007F6140" w:rsidP="00FD2C93">
      <w:pPr>
        <w:pStyle w:val="NormalHanging12a"/>
        <w:widowControl/>
      </w:pPr>
      <w:r w:rsidRPr="00FD2C93">
        <w:t>12.</w:t>
      </w:r>
      <w:r w:rsidRPr="00FD2C93">
        <w:tab/>
        <w:t xml:space="preserve">utasítja elnökét, hogy továbbítsa ezt az állásfoglalást a Tanácsnak, a Bizottságnak, a Bizottság alelnökének/az Unió külügyi és biztonságpolitikai főképviselőjének, a tagállamok kormányainak és parlamentjeinek, Ukrajna elnökének, kormányának és az ukrán </w:t>
      </w:r>
      <w:proofErr w:type="spellStart"/>
      <w:r w:rsidRPr="00FD2C93">
        <w:t>Verhovna</w:t>
      </w:r>
      <w:proofErr w:type="spellEnd"/>
      <w:r w:rsidRPr="00FD2C93">
        <w:t xml:space="preserve"> </w:t>
      </w:r>
      <w:proofErr w:type="spellStart"/>
      <w:r w:rsidRPr="00FD2C93">
        <w:t>Radának</w:t>
      </w:r>
      <w:proofErr w:type="spellEnd"/>
      <w:r w:rsidRPr="00FD2C93">
        <w:t>, az ENSZ főtitkárának, az Egyesült Államok Kongresszusának és az orosz hatóságoknak.</w:t>
      </w:r>
    </w:p>
    <w:sectPr w:rsidR="00E365E1" w:rsidRPr="006A7010" w:rsidSect="006A701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734840" w14:textId="77777777" w:rsidR="006B5877" w:rsidRPr="006A7010" w:rsidRDefault="006B5877">
      <w:r w:rsidRPr="006A7010">
        <w:separator/>
      </w:r>
    </w:p>
  </w:endnote>
  <w:endnote w:type="continuationSeparator" w:id="0">
    <w:p w14:paraId="2229DC31" w14:textId="77777777" w:rsidR="006B5877" w:rsidRPr="006A7010" w:rsidRDefault="006B5877">
      <w:r w:rsidRPr="006A70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57725" w14:textId="77777777" w:rsidR="00064002" w:rsidRPr="006A701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DDAED" w14:textId="77777777" w:rsidR="00064002" w:rsidRPr="006A701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55C36" w14:textId="77777777" w:rsidR="00064002" w:rsidRPr="006A70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905B0" w14:textId="77777777" w:rsidR="006B5877" w:rsidRPr="006A7010" w:rsidRDefault="006B5877">
      <w:r w:rsidRPr="006A7010">
        <w:separator/>
      </w:r>
    </w:p>
  </w:footnote>
  <w:footnote w:type="continuationSeparator" w:id="0">
    <w:p w14:paraId="2E81F0F5" w14:textId="77777777" w:rsidR="006B5877" w:rsidRPr="006A7010" w:rsidRDefault="006B5877">
      <w:r w:rsidRPr="006A701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C0E44" w14:textId="77777777" w:rsidR="00064002" w:rsidRPr="006A701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7DB70" w14:textId="77777777" w:rsidR="00064002" w:rsidRPr="006A701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1AE4C" w14:textId="77777777" w:rsidR="00064002" w:rsidRPr="006A70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6723395">
    <w:abstractNumId w:val="9"/>
  </w:num>
  <w:num w:numId="2" w16cid:durableId="610086970">
    <w:abstractNumId w:val="9"/>
  </w:num>
  <w:num w:numId="3" w16cid:durableId="96409133">
    <w:abstractNumId w:val="7"/>
  </w:num>
  <w:num w:numId="4" w16cid:durableId="625895949">
    <w:abstractNumId w:val="7"/>
  </w:num>
  <w:num w:numId="5" w16cid:durableId="1809661759">
    <w:abstractNumId w:val="6"/>
  </w:num>
  <w:num w:numId="6" w16cid:durableId="949779309">
    <w:abstractNumId w:val="6"/>
  </w:num>
  <w:num w:numId="7" w16cid:durableId="1261403629">
    <w:abstractNumId w:val="5"/>
  </w:num>
  <w:num w:numId="8" w16cid:durableId="2123648682">
    <w:abstractNumId w:val="5"/>
  </w:num>
  <w:num w:numId="9" w16cid:durableId="696583517">
    <w:abstractNumId w:val="4"/>
  </w:num>
  <w:num w:numId="10" w16cid:durableId="1138690462">
    <w:abstractNumId w:val="4"/>
  </w:num>
  <w:num w:numId="11" w16cid:durableId="2050522123">
    <w:abstractNumId w:val="8"/>
  </w:num>
  <w:num w:numId="12" w16cid:durableId="575015818">
    <w:abstractNumId w:val="8"/>
  </w:num>
  <w:num w:numId="13" w16cid:durableId="1539926110">
    <w:abstractNumId w:val="3"/>
  </w:num>
  <w:num w:numId="14" w16cid:durableId="1232234588">
    <w:abstractNumId w:val="3"/>
  </w:num>
  <w:num w:numId="15" w16cid:durableId="981302701">
    <w:abstractNumId w:val="2"/>
  </w:num>
  <w:num w:numId="16" w16cid:durableId="262685054">
    <w:abstractNumId w:val="2"/>
  </w:num>
  <w:num w:numId="17" w16cid:durableId="198707026">
    <w:abstractNumId w:val="1"/>
  </w:num>
  <w:num w:numId="18" w16cid:durableId="760833192">
    <w:abstractNumId w:val="1"/>
  </w:num>
  <w:num w:numId="19" w16cid:durableId="1507357823">
    <w:abstractNumId w:val="0"/>
  </w:num>
  <w:num w:numId="20" w16cid:durableId="1847472380">
    <w:abstractNumId w:val="0"/>
  </w:num>
  <w:num w:numId="21" w16cid:durableId="1709334940">
    <w:abstractNumId w:val="9"/>
  </w:num>
  <w:num w:numId="22" w16cid:durableId="1279028416">
    <w:abstractNumId w:val="7"/>
  </w:num>
  <w:num w:numId="23" w16cid:durableId="1605457261">
    <w:abstractNumId w:val="6"/>
  </w:num>
  <w:num w:numId="24" w16cid:durableId="1187712737">
    <w:abstractNumId w:val="5"/>
  </w:num>
  <w:num w:numId="25" w16cid:durableId="1152991326">
    <w:abstractNumId w:val="4"/>
  </w:num>
  <w:num w:numId="26" w16cid:durableId="375351234">
    <w:abstractNumId w:val="8"/>
  </w:num>
  <w:num w:numId="27" w16cid:durableId="264312383">
    <w:abstractNumId w:val="3"/>
  </w:num>
  <w:num w:numId="28" w16cid:durableId="178199080">
    <w:abstractNumId w:val="2"/>
  </w:num>
  <w:num w:numId="29" w16cid:durableId="791048505">
    <w:abstractNumId w:val="1"/>
  </w:num>
  <w:num w:numId="30" w16cid:durableId="809060358">
    <w:abstractNumId w:val="0"/>
  </w:num>
  <w:num w:numId="31" w16cid:durableId="685983367">
    <w:abstractNumId w:val="9"/>
  </w:num>
  <w:num w:numId="32" w16cid:durableId="730425346">
    <w:abstractNumId w:val="7"/>
  </w:num>
  <w:num w:numId="33" w16cid:durableId="1005129522">
    <w:abstractNumId w:val="6"/>
  </w:num>
  <w:num w:numId="34" w16cid:durableId="1506019174">
    <w:abstractNumId w:val="5"/>
  </w:num>
  <w:num w:numId="35" w16cid:durableId="702438429">
    <w:abstractNumId w:val="4"/>
  </w:num>
  <w:num w:numId="36" w16cid:durableId="1439566615">
    <w:abstractNumId w:val="8"/>
  </w:num>
  <w:num w:numId="37" w16cid:durableId="1301157974">
    <w:abstractNumId w:val="3"/>
  </w:num>
  <w:num w:numId="38" w16cid:durableId="584875951">
    <w:abstractNumId w:val="2"/>
  </w:num>
  <w:num w:numId="39" w16cid:durableId="193470227">
    <w:abstractNumId w:val="1"/>
  </w:num>
  <w:num w:numId="40" w16cid:durableId="1842502657">
    <w:abstractNumId w:val="0"/>
  </w:num>
  <w:num w:numId="41" w16cid:durableId="256907866">
    <w:abstractNumId w:val="10"/>
  </w:num>
  <w:num w:numId="42" w16cid:durableId="1494830095">
    <w:abstractNumId w:val="10"/>
  </w:num>
  <w:num w:numId="43" w16cid:durableId="137192684">
    <w:abstractNumId w:val="10"/>
  </w:num>
  <w:num w:numId="44" w16cid:durableId="8156843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45, 0546, 0547, 0548 és 0549/2025"/>
    <w:docVar w:name="dvlangue" w:val="HU"/>
    <w:docVar w:name="dvnumam" w:val="0"/>
    <w:docVar w:name="dvpe" w:val="779.018"/>
    <w:docVar w:name="dvtitre" w:val="Az Európai Parlament 2025.  ...-i állásfoglalása a javasolt tervre vonatkozó uniós álláspontról és az Ukrajna számára igazságos és tartós békét célzó uniós szerepvállalásról(2025/3001(RSP))"/>
  </w:docVars>
  <w:rsids>
    <w:rsidRoot w:val="006B5877"/>
    <w:rsid w:val="00002272"/>
    <w:rsid w:val="000300C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7010"/>
    <w:rsid w:val="006B5877"/>
    <w:rsid w:val="006F74FA"/>
    <w:rsid w:val="00731ADD"/>
    <w:rsid w:val="00734777"/>
    <w:rsid w:val="00747932"/>
    <w:rsid w:val="00751A4A"/>
    <w:rsid w:val="00756632"/>
    <w:rsid w:val="00762C74"/>
    <w:rsid w:val="00786EC0"/>
    <w:rsid w:val="007D1690"/>
    <w:rsid w:val="007E22AD"/>
    <w:rsid w:val="007F6140"/>
    <w:rsid w:val="00817416"/>
    <w:rsid w:val="00842779"/>
    <w:rsid w:val="00865F67"/>
    <w:rsid w:val="00881A7B"/>
    <w:rsid w:val="008840E5"/>
    <w:rsid w:val="00887B3E"/>
    <w:rsid w:val="008C2AC6"/>
    <w:rsid w:val="008F617F"/>
    <w:rsid w:val="00930C23"/>
    <w:rsid w:val="0093193B"/>
    <w:rsid w:val="009509D8"/>
    <w:rsid w:val="00950B64"/>
    <w:rsid w:val="00981893"/>
    <w:rsid w:val="00A1687D"/>
    <w:rsid w:val="00A43E52"/>
    <w:rsid w:val="00A4678D"/>
    <w:rsid w:val="00A6312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C9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C82D82"/>
  <w15:chartTrackingRefBased/>
  <w15:docId w15:val="{0D5CD3E6-D5F6-4A7B-A869-B59886B1B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F6140"/>
    <w:pPr>
      <w:spacing w:after="240"/>
      <w:ind w:left="567" w:hanging="567"/>
    </w:pPr>
  </w:style>
  <w:style w:type="paragraph" w:customStyle="1" w:styleId="EPComma">
    <w:name w:val="EPComma"/>
    <w:basedOn w:val="Normal"/>
    <w:link w:val="EPCommaChar"/>
    <w:rsid w:val="007F6140"/>
    <w:pPr>
      <w:spacing w:before="480" w:after="240"/>
    </w:pPr>
  </w:style>
  <w:style w:type="character" w:customStyle="1" w:styleId="EPCommaChar">
    <w:name w:val="EPComma Char"/>
    <w:basedOn w:val="DefaultParagraphFont"/>
    <w:link w:val="EPComma"/>
    <w:rsid w:val="007F6140"/>
    <w:rPr>
      <w:sz w:val="24"/>
      <w:lang w:val="hu-HU"/>
    </w:rPr>
  </w:style>
  <w:style w:type="paragraph" w:styleId="Revision">
    <w:name w:val="Revision"/>
    <w:hidden/>
    <w:uiPriority w:val="99"/>
    <w:semiHidden/>
    <w:rsid w:val="00A6312C"/>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974</Words>
  <Characters>7062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2025-11-27T13:03:00Z</dcterms:created>
  <dcterms:modified xsi:type="dcterms:W3CDTF">2025-11-27T13:03:00Z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B10-0545, 0546, 0547, 0548 és 0549/2025</vt:lpwstr>
  </property>
  <property fmtid="{D5CDD505-2E9C-101B-9397-08002B2CF9AE}" pid="4" name="&lt;Type&gt;">
    <vt:lpwstr>RR</vt:lpwstr>
  </property>
</Properties>
</file>