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68DC" w14:paraId="64D74D8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1A505E" w14:textId="77777777" w:rsidR="00751A4A" w:rsidRPr="002F68DC" w:rsidRDefault="00646FFE" w:rsidP="0010095E">
            <w:pPr>
              <w:pStyle w:val="EPName"/>
            </w:pPr>
            <w:r w:rsidRPr="002F68DC">
              <w:t>Parlament Europejski</w:t>
            </w:r>
          </w:p>
          <w:p w14:paraId="3B8A2BD2" w14:textId="77777777" w:rsidR="00751A4A" w:rsidRPr="002F68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68DC">
              <w:t>2024</w:t>
            </w:r>
            <w:r w:rsidR="00817416" w:rsidRPr="002F68DC">
              <w:t>-202</w:t>
            </w:r>
            <w:r w:rsidRPr="002F68DC">
              <w:t>9</w:t>
            </w:r>
          </w:p>
        </w:tc>
        <w:tc>
          <w:tcPr>
            <w:tcW w:w="2268" w:type="dxa"/>
            <w:shd w:val="clear" w:color="auto" w:fill="auto"/>
          </w:tcPr>
          <w:p w14:paraId="3EBFF2ED" w14:textId="77777777" w:rsidR="00751A4A" w:rsidRPr="002F68DC" w:rsidRDefault="00187494" w:rsidP="0010095E">
            <w:pPr>
              <w:pStyle w:val="EPLogo"/>
            </w:pPr>
            <w:r w:rsidRPr="002F68DC">
              <w:rPr>
                <w:noProof/>
                <w:lang w:eastAsia="ja-JP"/>
              </w:rPr>
              <w:drawing>
                <wp:inline distT="0" distB="0" distL="0" distR="0" wp14:anchorId="292EE7C2" wp14:editId="077DC9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C72A29" w14:textId="77777777" w:rsidR="00D058B8" w:rsidRPr="002F68DC" w:rsidRDefault="00D058B8" w:rsidP="004C5D52">
      <w:pPr>
        <w:pStyle w:val="LineTop"/>
      </w:pPr>
    </w:p>
    <w:p w14:paraId="1DA93E1D" w14:textId="77777777" w:rsidR="00680577" w:rsidRPr="002F68DC" w:rsidRDefault="00646FFE" w:rsidP="00680577">
      <w:pPr>
        <w:pStyle w:val="EPBodyTA1"/>
      </w:pPr>
      <w:r w:rsidRPr="002F68DC">
        <w:t>TEKSTY PRZYJĘTE</w:t>
      </w:r>
    </w:p>
    <w:p w14:paraId="00C0A280" w14:textId="77777777" w:rsidR="00D058B8" w:rsidRPr="002F68DC" w:rsidRDefault="00D058B8" w:rsidP="00D058B8">
      <w:pPr>
        <w:pStyle w:val="LineBottom"/>
      </w:pPr>
    </w:p>
    <w:p w14:paraId="7926B24F" w14:textId="1019BC7B" w:rsidR="00646FFE" w:rsidRPr="002F68DC" w:rsidRDefault="00646FFE" w:rsidP="00646FFE">
      <w:pPr>
        <w:pStyle w:val="ATHeading1"/>
      </w:pPr>
      <w:bookmarkStart w:id="0" w:name="TANumber"/>
      <w:r w:rsidRPr="002F68DC">
        <w:t>P10_TA(2025)0</w:t>
      </w:r>
      <w:bookmarkEnd w:id="0"/>
      <w:r w:rsidR="00D46C5D">
        <w:t>312</w:t>
      </w:r>
    </w:p>
    <w:p w14:paraId="5C93682D" w14:textId="5776FE0C" w:rsidR="00646FFE" w:rsidRPr="002F68DC" w:rsidRDefault="0011744D" w:rsidP="0011744D">
      <w:pPr>
        <w:pStyle w:val="ATHeading2"/>
      </w:pPr>
      <w:r w:rsidRPr="0011744D">
        <w:rPr>
          <w:bCs/>
        </w:rPr>
        <w:t>Stanowisko UE w sprawie proponowanego planu i zaangażowanie UE na rzecz sprawiedliwego i</w:t>
      </w:r>
      <w:r>
        <w:rPr>
          <w:bCs/>
        </w:rPr>
        <w:t xml:space="preserve"> </w:t>
      </w:r>
      <w:r w:rsidRPr="0011744D">
        <w:rPr>
          <w:bCs/>
        </w:rPr>
        <w:t>trwałego pokoju dla Ukrainy</w:t>
      </w:r>
    </w:p>
    <w:p w14:paraId="1E1065E2" w14:textId="78ECF12A" w:rsidR="00646FFE" w:rsidRPr="002F68DC" w:rsidRDefault="00646FFE" w:rsidP="00646FFE">
      <w:pPr>
        <w:rPr>
          <w:i/>
          <w:vanish/>
        </w:rPr>
      </w:pPr>
      <w:r w:rsidRPr="002F68DC">
        <w:rPr>
          <w:i/>
        </w:rPr>
        <w:fldChar w:fldCharType="begin"/>
      </w:r>
      <w:r w:rsidRPr="002F68DC">
        <w:rPr>
          <w:i/>
        </w:rPr>
        <w:instrText xml:space="preserve"> TC"(</w:instrText>
      </w:r>
      <w:bookmarkStart w:id="1" w:name="DocNumber"/>
      <w:r w:rsidRPr="002F68DC">
        <w:rPr>
          <w:i/>
        </w:rPr>
        <w:instrText>B10-0545</w:instrText>
      </w:r>
      <w:r w:rsidR="0011744D">
        <w:rPr>
          <w:i/>
        </w:rPr>
        <w:instrText>, 0546, 0547, 0548 oraz 0549</w:instrText>
      </w:r>
      <w:r w:rsidRPr="002F68DC">
        <w:rPr>
          <w:i/>
        </w:rPr>
        <w:instrText>/2025</w:instrText>
      </w:r>
      <w:bookmarkEnd w:id="1"/>
      <w:r w:rsidRPr="002F68DC">
        <w:rPr>
          <w:i/>
        </w:rPr>
        <w:instrText xml:space="preserve">)"\l3 \n&gt; \* MERGEFORMAT </w:instrText>
      </w:r>
      <w:r w:rsidRPr="002F68DC">
        <w:rPr>
          <w:i/>
        </w:rPr>
        <w:fldChar w:fldCharType="end"/>
      </w:r>
    </w:p>
    <w:p w14:paraId="76215947" w14:textId="77777777" w:rsidR="00646FFE" w:rsidRPr="002F68DC" w:rsidRDefault="00646FFE" w:rsidP="00646FFE">
      <w:pPr>
        <w:rPr>
          <w:vanish/>
        </w:rPr>
      </w:pPr>
      <w:bookmarkStart w:id="2" w:name="PE"/>
      <w:r w:rsidRPr="002F68DC">
        <w:rPr>
          <w:vanish/>
        </w:rPr>
        <w:t>PE779.018</w:t>
      </w:r>
      <w:bookmarkEnd w:id="2"/>
    </w:p>
    <w:p w14:paraId="39DC6C06" w14:textId="4DFAE488" w:rsidR="00646FFE" w:rsidRPr="002F68DC" w:rsidRDefault="00646FFE" w:rsidP="0011744D">
      <w:pPr>
        <w:pStyle w:val="ATHeading3"/>
      </w:pPr>
      <w:bookmarkStart w:id="3" w:name="Sujet"/>
      <w:r w:rsidRPr="002F68DC">
        <w:t xml:space="preserve">Rezolucja Parlamentu Europejskiego z dnia </w:t>
      </w:r>
      <w:r w:rsidR="0011744D">
        <w:t>27 listopada</w:t>
      </w:r>
      <w:r w:rsidRPr="002F68DC">
        <w:t xml:space="preserve"> 2025 r. w sprawie stanowiska UE dotyczącego proponowanego planu i zaangażowania UE na rzecz sprawiedliwego i trwałego pokoju dla Ukrainy</w:t>
      </w:r>
      <w:bookmarkEnd w:id="3"/>
      <w:r w:rsidRPr="002F68DC">
        <w:t xml:space="preserve"> </w:t>
      </w:r>
      <w:bookmarkStart w:id="4" w:name="References"/>
      <w:r w:rsidRPr="002F68DC">
        <w:t>(2025/3001(RSP))</w:t>
      </w:r>
      <w:bookmarkEnd w:id="4"/>
    </w:p>
    <w:p w14:paraId="1449BBC0" w14:textId="77777777" w:rsidR="00E20F3E" w:rsidRPr="002F68DC" w:rsidRDefault="00E20F3E" w:rsidP="00E20F3E">
      <w:pPr>
        <w:pStyle w:val="EPComma"/>
      </w:pPr>
      <w:bookmarkStart w:id="5" w:name="TextBodyBegin"/>
      <w:bookmarkEnd w:id="5"/>
      <w:r w:rsidRPr="002F68DC">
        <w:rPr>
          <w:i/>
        </w:rPr>
        <w:t>Parlament Europejski</w:t>
      </w:r>
      <w:r w:rsidRPr="002F68DC">
        <w:t>,</w:t>
      </w:r>
    </w:p>
    <w:p w14:paraId="6BB47DCE" w14:textId="77777777" w:rsidR="00E20F3E" w:rsidRPr="002F68DC" w:rsidRDefault="00E20F3E" w:rsidP="00E20F3E">
      <w:pPr>
        <w:pStyle w:val="NormalHanging12a"/>
      </w:pPr>
      <w:r w:rsidRPr="002F68DC">
        <w:t>–</w:t>
      </w:r>
      <w:r w:rsidRPr="002F68DC">
        <w:tab/>
        <w:t>uwzględniając swoje poprzednie rezolucje w sprawie Ukrainy i Rosji,</w:t>
      </w:r>
    </w:p>
    <w:p w14:paraId="064B2580" w14:textId="77777777" w:rsidR="00E20F3E" w:rsidRPr="002F68DC" w:rsidRDefault="00E20F3E" w:rsidP="00E20F3E">
      <w:pPr>
        <w:pStyle w:val="NormalHanging12a"/>
      </w:pPr>
      <w:r w:rsidRPr="002F68DC">
        <w:t>–</w:t>
      </w:r>
      <w:r w:rsidRPr="002F68DC">
        <w:tab/>
        <w:t>uwzględniając wspólne oświadczenie przewodniczących komisji spraw zagranicznych z 24 listopada 2025 r., w którym opowiedziano się za sprawiedliwym i trwałym pokojem w Europie,</w:t>
      </w:r>
    </w:p>
    <w:p w14:paraId="0BEA5514" w14:textId="77777777" w:rsidR="00E20F3E" w:rsidRPr="002F68DC" w:rsidRDefault="00E20F3E" w:rsidP="00E20F3E">
      <w:pPr>
        <w:pStyle w:val="NormalHanging12a"/>
      </w:pPr>
      <w:r w:rsidRPr="002F68DC">
        <w:t>–</w:t>
      </w:r>
      <w:r w:rsidRPr="002F68DC">
        <w:tab/>
        <w:t>uwzględniając art. 136 ust. 2 i 4 Regulaminu,</w:t>
      </w:r>
    </w:p>
    <w:p w14:paraId="37CE8EDF" w14:textId="77777777" w:rsidR="00E20F3E" w:rsidRPr="002F68DC" w:rsidRDefault="00E20F3E" w:rsidP="00E20F3E">
      <w:pPr>
        <w:pStyle w:val="NormalHanging12a"/>
      </w:pPr>
      <w:r w:rsidRPr="002F68DC">
        <w:t>A.</w:t>
      </w:r>
      <w:r w:rsidRPr="002F68DC">
        <w:tab/>
        <w:t>mając na uwadze, że UE nadal dąży do sprawiedliwego i trwałego pokoju opartego na prawie międzynarodowym, w ramach którego integralność terytorialna, niezależność i suwerenność Ukrainy będą w pełni uszanowane; mając na uwadze, że Rosja wciąż nie wykazuje zainteresowania pokojem i bezustannie atakuje ukraińską ludność cywilną i infrastrukturę; mając na uwadze, że inicjatywa na rzecz zakończenia wojny w Ukrainie, zatwierdzona niedawno przez administrację USA, budzi uzasadnione obawy co do zobowiązania Stanów Zjednoczonych do przestrzegania prawa międzynarodowego i zapewnienia bezpieczeństwa Europie i Ukrainie;</w:t>
      </w:r>
    </w:p>
    <w:p w14:paraId="0A4BDA1B" w14:textId="77777777" w:rsidR="00E20F3E" w:rsidRPr="002F68DC" w:rsidRDefault="00E20F3E" w:rsidP="00E20F3E">
      <w:pPr>
        <w:pStyle w:val="NormalHanging12a"/>
      </w:pPr>
      <w:r w:rsidRPr="002F68DC">
        <w:t>1.</w:t>
      </w:r>
      <w:r w:rsidRPr="002F68DC">
        <w:tab/>
        <w:t>wzywa UE i jej państwa członkowskie do przyjęcia większej odpowiedzialności za bezpieczeństwo na kontynencie europejskim, do udzielenia niezachwianego wsparcia Ukrainie i jednocześnie do aktywnego zaangażowania się na rzecz trwałego pokoju; podkreśla, że każde porozumienie mające na celu zakończenie rosyjskiej wojny napastniczej przeciwko Ukrainie dotyczy kwestii o wiele szerszych niż Rosja i Ukraina oraz ma daleko idące konsekwencje dla europejskiego porządku bezpieczeństwa; domaga się w związku z tym, aby decyzja w sprawie Ukrainy nie była podejmowana bez Ukrainy ani bez Europy;</w:t>
      </w:r>
    </w:p>
    <w:p w14:paraId="1AFAF02A" w14:textId="77777777" w:rsidR="00E20F3E" w:rsidRPr="002F68DC" w:rsidRDefault="00E20F3E" w:rsidP="00E20F3E">
      <w:pPr>
        <w:pStyle w:val="NormalHanging12a"/>
      </w:pPr>
      <w:r w:rsidRPr="002F68DC">
        <w:t>2.</w:t>
      </w:r>
      <w:r w:rsidRPr="002F68DC">
        <w:tab/>
        <w:t xml:space="preserve">odnotowuje wysiłki administracji USA, by zakończyć rosyjską wojnę napastniczą przeciwko Ukrainie, ale uważa, że niejednoznaczność polityki USA wobec Ukrainy nie </w:t>
      </w:r>
      <w:r w:rsidRPr="002F68DC">
        <w:lastRenderedPageBreak/>
        <w:t>sprzyja osiągnięciu celu, jakim jest trwały pokój; w związku z tym nalega, aby w tym decydującym momencie geopolitycznym UE i jej państwa członkowskie wykazały się zdolnościami przywódczymi oraz kontynuowały współpracę ze Stanami Zjednoczonymi i partnerami o podobnych poglądach w celu dopilnowania, aby negocjacje w sprawie sprawiedliwego i trwałego pokoju dla Ukrainy opierały się na zasadach prawa międzynarodowego, były prowadzone w dobrej wierze i miały na celu ostateczne zakończenie rosyjskiej wojny napastniczej przeciwko Ukrainie;</w:t>
      </w:r>
    </w:p>
    <w:p w14:paraId="27DC3122" w14:textId="77777777" w:rsidR="00E20F3E" w:rsidRPr="002F68DC" w:rsidRDefault="00E20F3E" w:rsidP="00E20F3E">
      <w:pPr>
        <w:pStyle w:val="NormalHanging12a"/>
      </w:pPr>
      <w:r w:rsidRPr="002F68DC">
        <w:t>3.</w:t>
      </w:r>
      <w:r w:rsidRPr="002F68DC">
        <w:tab/>
        <w:t>podkreśla, że europejska strategia na rzecz pokoju w Ukrainie musi opierać się na prawie międzynarodowym, wzmacniać bezpieczeństwo europejskie, chronić i przywracać suwerenność i integralność terytorialną Ukrainy, być możliwa do zaakceptowania dla Ukrainy i jej obywateli oraz służyć jako podstawa do dalszych negocjacji dyplomatycznych; przypomina, że pokoju nie można osiągnąć, ustępując agresorowi, gdyż pokój wymaga niezachwianego i trwałego wsparcia dla Ukrainy oraz odpowiedniego odstraszenia Rosji od powtórzenia agresji w przyszłości;</w:t>
      </w:r>
    </w:p>
    <w:p w14:paraId="4555AFD5" w14:textId="77777777" w:rsidR="00E20F3E" w:rsidRPr="002F68DC" w:rsidRDefault="00E20F3E" w:rsidP="00E20F3E">
      <w:pPr>
        <w:pStyle w:val="NormalHanging12a"/>
      </w:pPr>
      <w:r w:rsidRPr="002F68DC">
        <w:t>4.</w:t>
      </w:r>
      <w:r w:rsidRPr="002F68DC">
        <w:tab/>
        <w:t>uważa, że z uwagi na historię rażącego naruszania przez Rosję wcześniejszych prawnie wiążących umów, zobowiązań dotyczących poszanowania suwerenności jej sąsiadów i podstawowych zasad prawa międzynarodowego, każde porozumienie w sprawie trwałego pokoju będzie wymagało uprzedniego zawieszenia broni i musi być poparte skutecznymi środkami monitorowania realizacji zobowiązań i zniechęcania do opóźnień w wypełnianiu zobowiązań, a jego podstawą muszą być solidne amerykańskie i unijne gwarancje bezpieczeństwa dla Ukrainy, które zapobiegną ponownej agresji, umożliwiając natychmiastowe przeciwdziałanie;</w:t>
      </w:r>
    </w:p>
    <w:p w14:paraId="034746FD" w14:textId="77777777" w:rsidR="00E20F3E" w:rsidRPr="002F68DC" w:rsidRDefault="00E20F3E" w:rsidP="00E20F3E">
      <w:pPr>
        <w:pStyle w:val="NormalHanging12a"/>
      </w:pPr>
      <w:r w:rsidRPr="002F68DC">
        <w:t>5.</w:t>
      </w:r>
      <w:r w:rsidRPr="002F68DC">
        <w:tab/>
        <w:t>podkreśla, że porozumienie pokojowe nie może ograniczać zdolności Ukrainy do obrony swojej suwerenności, niezależności i integralności terytorialnej, gdyż w konsekwencji naraziłoby ten kraj na atak w przyszłości; podkreśla, że taka umowa musi oferować Ukrainie wiarygodne gwarancje bezpieczeństwa podobne do art. 5 traktatu waszyngtońskiego i art. 42 ust. 7 Traktatu o Unii Europejskiej, nie może być powtórzeniem memorandum budapeszteńskiego z 1994 r. oraz musi potwierdzać, że Ukraina ma swobodę wyboru sojuszy z myślą o bezpieczeństwie i sojuszy politycznych bez możliwości weta ze strony Rosji;</w:t>
      </w:r>
    </w:p>
    <w:p w14:paraId="607B0BC2" w14:textId="77777777" w:rsidR="00E20F3E" w:rsidRPr="002F68DC" w:rsidRDefault="00E20F3E" w:rsidP="00E20F3E">
      <w:pPr>
        <w:pStyle w:val="NormalHanging12a"/>
      </w:pPr>
      <w:r w:rsidRPr="002F68DC">
        <w:t>6.</w:t>
      </w:r>
      <w:r w:rsidRPr="002F68DC">
        <w:tab/>
        <w:t>podkreśla, że każde porozumienie pokojowe musi zobowiązywać Rosję do pełnego zrekompensowania Ukrainie wszystkich szkód materialnych i niematerialnych, które Rosja wyrządziła; podkreśla, że takie porozumienie musi gwarantować pełną odpowiedzialność na mocy prawa międzynarodowego za zbrodnię agresji i zbrodnie wojenne popełnione przez Rosję, jej sojuszników i jej popleczników przeciwko Ukrainie i narodowi ukraińskiemu przed Międzynarodowym Trybunałem Karnym i specjalnym trybunałem do spraw zbrodniczej agresji; podkreśla ponadto, że porozumienie musi również zagwarantować powrót wszystkich jeńców wojennych, zatrzymanych cywilów i uprowadzonych ukraińskich dzieci, a także wycofanie wszystkich sił rosyjskich z terytorium Ukrainy uznanego przez społeczność międzynarodową;</w:t>
      </w:r>
    </w:p>
    <w:p w14:paraId="6B7F05FD" w14:textId="77777777" w:rsidR="00E20F3E" w:rsidRPr="002F68DC" w:rsidRDefault="00E20F3E" w:rsidP="00E20F3E">
      <w:pPr>
        <w:pStyle w:val="NormalHanging12a"/>
      </w:pPr>
      <w:r w:rsidRPr="002F68DC">
        <w:t>7.</w:t>
      </w:r>
      <w:r w:rsidRPr="002F68DC">
        <w:tab/>
        <w:t>apeluje do państw członkowskich o niezwłoczne przyjęcie i wdrożenie prawnie i ekonomicznie uzasadnionej pożyczki na odbudowę dla Ukrainy, zabezpieczonej zamrożonymi rosyjskimi aktywami; podkreśla, że bez udziału UE nie jest możliwe negocjowanie, co stanie się z tymi aktywami ani jakie warunki inwestowania będą miały do nich zastosowanie;</w:t>
      </w:r>
    </w:p>
    <w:p w14:paraId="0315BD11" w14:textId="77777777" w:rsidR="00E20F3E" w:rsidRPr="002F68DC" w:rsidRDefault="00E20F3E" w:rsidP="00E20F3E">
      <w:pPr>
        <w:pStyle w:val="NormalHanging12a"/>
      </w:pPr>
      <w:r w:rsidRPr="002F68DC">
        <w:lastRenderedPageBreak/>
        <w:t>8.</w:t>
      </w:r>
      <w:r w:rsidRPr="002F68DC">
        <w:tab/>
        <w:t xml:space="preserve">przypomina swoje stanowisko, zgodnie z którym tymczasowo okupowane terytorium Ukrainy nie będzie uznawane przez UE ani jej państwa członkowskie jako terytorium rosyjskie; podkreśla ponadto, że w ramach solidnych międzynarodowych gwarancji bezpieczeństwa oraz aby zapobiec naruszeniu suwerenności i integralności terytorialnej Ukrainy w przyszłości, po obu stronach linii kontaktu należy rozmieścić silną międzynarodową misję pokojową i obserwacyjną z mandatem Rady Bezpieczeństwa ONZ; biorąc pod uwagę obecną niestabilną sytuację w zakresie bezpieczeństwa w Europie, ponownie podkreśla, jak ważna jest ciągła obecność wojskowa NATO i USA wzdłuż wschodniej flanki, ponieważ ma ona zasadnicze znaczenie dla stabilności w regionie; podkreśla, że jeśli uda się osiągnąć sprawiedliwy pokój między Ukrainą a Rosją, kluczowym zadaniem UE, jej państw członkowskich i Stanów Zjednoczonych będzie dopilnowanie, by go wdrożono; </w:t>
      </w:r>
    </w:p>
    <w:p w14:paraId="7402D5EB" w14:textId="77777777" w:rsidR="00E20F3E" w:rsidRPr="002F68DC" w:rsidRDefault="00E20F3E" w:rsidP="00E20F3E">
      <w:pPr>
        <w:pStyle w:val="NormalHanging12a"/>
      </w:pPr>
      <w:r w:rsidRPr="002F68DC">
        <w:t>9.</w:t>
      </w:r>
      <w:r w:rsidRPr="002F68DC">
        <w:tab/>
        <w:t>podkreśla, że porozumienie z Rosją powinno obejmować zobowiązanie Rosji do natychmiastowego zaprzestania wojny hybrydowej przeciwko UE i jej partnerom, w tym Ukrainie;</w:t>
      </w:r>
    </w:p>
    <w:p w14:paraId="2BD580AD" w14:textId="77777777" w:rsidR="00E20F3E" w:rsidRPr="002F68DC" w:rsidRDefault="00E20F3E" w:rsidP="00E20F3E">
      <w:pPr>
        <w:pStyle w:val="NormalHanging12a"/>
      </w:pPr>
      <w:r w:rsidRPr="002F68DC">
        <w:t>10.</w:t>
      </w:r>
      <w:r w:rsidRPr="002F68DC">
        <w:tab/>
        <w:t>domaga się utrzymania sankcji do czasu wynegocjowania i wdrożenia porozumienia pokojowego; gdyby Rosja odmówiła przystąpienia do poważnych rozmów pokojowych, apeluje do UE o nałożenie dodatkowych i dotkliwych sankcji;</w:t>
      </w:r>
    </w:p>
    <w:p w14:paraId="38B63168" w14:textId="77777777" w:rsidR="00E20F3E" w:rsidRPr="002F68DC" w:rsidRDefault="00E20F3E" w:rsidP="00E20F3E">
      <w:pPr>
        <w:pStyle w:val="NormalHanging12a"/>
      </w:pPr>
      <w:r w:rsidRPr="002F68DC">
        <w:t>11.</w:t>
      </w:r>
      <w:r w:rsidRPr="002F68DC">
        <w:tab/>
        <w:t xml:space="preserve">wyraża przekonanie, że dzięki politycznemu, wojskowemu i gospodarczemu potencjałowi całej wspólnoty transatlantyckiej i jej partnerów międzynarodowych prawdziwe negocjacje mogą doprowadzić do kompleksowego, sprawiedliwego i trwałego pokoju dla Ukrainy oraz utorować drogę do sprawiedliwej i </w:t>
      </w:r>
      <w:proofErr w:type="spellStart"/>
      <w:r w:rsidRPr="002F68DC">
        <w:t>inkluzywnej</w:t>
      </w:r>
      <w:proofErr w:type="spellEnd"/>
      <w:r w:rsidRPr="002F68DC">
        <w:t xml:space="preserve"> odnowy gospodarczej i społecznej;</w:t>
      </w:r>
    </w:p>
    <w:p w14:paraId="40924457" w14:textId="42C13665" w:rsidR="002F68DC" w:rsidRPr="002F68DC" w:rsidRDefault="00E20F3E" w:rsidP="002F68DC">
      <w:pPr>
        <w:pStyle w:val="NormalHanging12a"/>
      </w:pPr>
      <w:r w:rsidRPr="002F68DC">
        <w:t>12.</w:t>
      </w:r>
      <w:r w:rsidRPr="002F68DC">
        <w:tab/>
        <w:t>zobowiązuje swoją przewodniczącą do przekazania niniejszej rezolucji Radzie, Komisji, wiceprzewodniczącej Komisji / wysokiej przedstawiciel Unii do spraw zagranicznych i polityki bezpieczeństwa, rządom i parlamentom państw członkowskich, prezydentowi, rządowi i Radzie Najwyższej Ukrainy, sekretarzowi generalnemu ONZ, Kongresowi Stanów Zjednoczonych i władzom rosyjskim.</w:t>
      </w:r>
    </w:p>
    <w:p w14:paraId="366D6818" w14:textId="2A412E67" w:rsidR="00E365E1" w:rsidRPr="002F68DC" w:rsidRDefault="00E365E1" w:rsidP="00646FFE"/>
    <w:sectPr w:rsidR="00E365E1" w:rsidRPr="002F68DC" w:rsidSect="002F68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A23EB" w14:textId="77777777" w:rsidR="00646FFE" w:rsidRPr="002F68DC" w:rsidRDefault="00646FFE">
      <w:r w:rsidRPr="002F68DC">
        <w:separator/>
      </w:r>
    </w:p>
  </w:endnote>
  <w:endnote w:type="continuationSeparator" w:id="0">
    <w:p w14:paraId="03DC5E5F" w14:textId="77777777" w:rsidR="00646FFE" w:rsidRPr="002F68DC" w:rsidRDefault="00646FFE">
      <w:r w:rsidRPr="002F68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7337B" w14:textId="77777777" w:rsidR="00064002" w:rsidRPr="002F68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9758B" w14:textId="77777777" w:rsidR="00064002" w:rsidRPr="002F68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78274" w14:textId="77777777" w:rsidR="00064002" w:rsidRPr="002F68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C5E0B" w14:textId="77777777" w:rsidR="00646FFE" w:rsidRPr="002F68DC" w:rsidRDefault="00646FFE">
      <w:r w:rsidRPr="002F68DC">
        <w:separator/>
      </w:r>
    </w:p>
  </w:footnote>
  <w:footnote w:type="continuationSeparator" w:id="0">
    <w:p w14:paraId="67E1D784" w14:textId="77777777" w:rsidR="00646FFE" w:rsidRPr="002F68DC" w:rsidRDefault="00646FFE">
      <w:r w:rsidRPr="002F68D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85B8C" w14:textId="77777777" w:rsidR="00064002" w:rsidRPr="002F68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5D32A" w14:textId="77777777" w:rsidR="00064002" w:rsidRPr="002F68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DAD04" w14:textId="77777777" w:rsidR="00064002" w:rsidRPr="002F68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53472439">
    <w:abstractNumId w:val="9"/>
  </w:num>
  <w:num w:numId="2" w16cid:durableId="1180658547">
    <w:abstractNumId w:val="9"/>
  </w:num>
  <w:num w:numId="3" w16cid:durableId="742605545">
    <w:abstractNumId w:val="7"/>
  </w:num>
  <w:num w:numId="4" w16cid:durableId="708531446">
    <w:abstractNumId w:val="7"/>
  </w:num>
  <w:num w:numId="5" w16cid:durableId="912085649">
    <w:abstractNumId w:val="6"/>
  </w:num>
  <w:num w:numId="6" w16cid:durableId="2139494832">
    <w:abstractNumId w:val="6"/>
  </w:num>
  <w:num w:numId="7" w16cid:durableId="1356930057">
    <w:abstractNumId w:val="5"/>
  </w:num>
  <w:num w:numId="8" w16cid:durableId="414133668">
    <w:abstractNumId w:val="5"/>
  </w:num>
  <w:num w:numId="9" w16cid:durableId="1976253202">
    <w:abstractNumId w:val="4"/>
  </w:num>
  <w:num w:numId="10" w16cid:durableId="2064862534">
    <w:abstractNumId w:val="4"/>
  </w:num>
  <w:num w:numId="11" w16cid:durableId="2037727535">
    <w:abstractNumId w:val="8"/>
  </w:num>
  <w:num w:numId="12" w16cid:durableId="1777405429">
    <w:abstractNumId w:val="8"/>
  </w:num>
  <w:num w:numId="13" w16cid:durableId="1100223996">
    <w:abstractNumId w:val="3"/>
  </w:num>
  <w:num w:numId="14" w16cid:durableId="1900287737">
    <w:abstractNumId w:val="3"/>
  </w:num>
  <w:num w:numId="15" w16cid:durableId="1691838163">
    <w:abstractNumId w:val="2"/>
  </w:num>
  <w:num w:numId="16" w16cid:durableId="1311516590">
    <w:abstractNumId w:val="2"/>
  </w:num>
  <w:num w:numId="17" w16cid:durableId="679622215">
    <w:abstractNumId w:val="1"/>
  </w:num>
  <w:num w:numId="18" w16cid:durableId="1151403285">
    <w:abstractNumId w:val="1"/>
  </w:num>
  <w:num w:numId="19" w16cid:durableId="2136947678">
    <w:abstractNumId w:val="0"/>
  </w:num>
  <w:num w:numId="20" w16cid:durableId="1376125495">
    <w:abstractNumId w:val="0"/>
  </w:num>
  <w:num w:numId="21" w16cid:durableId="1213082023">
    <w:abstractNumId w:val="9"/>
  </w:num>
  <w:num w:numId="22" w16cid:durableId="252014305">
    <w:abstractNumId w:val="7"/>
  </w:num>
  <w:num w:numId="23" w16cid:durableId="642975873">
    <w:abstractNumId w:val="6"/>
  </w:num>
  <w:num w:numId="24" w16cid:durableId="1000230077">
    <w:abstractNumId w:val="5"/>
  </w:num>
  <w:num w:numId="25" w16cid:durableId="1658994604">
    <w:abstractNumId w:val="4"/>
  </w:num>
  <w:num w:numId="26" w16cid:durableId="811823197">
    <w:abstractNumId w:val="8"/>
  </w:num>
  <w:num w:numId="27" w16cid:durableId="115104985">
    <w:abstractNumId w:val="3"/>
  </w:num>
  <w:num w:numId="28" w16cid:durableId="1130519587">
    <w:abstractNumId w:val="2"/>
  </w:num>
  <w:num w:numId="29" w16cid:durableId="2074155832">
    <w:abstractNumId w:val="1"/>
  </w:num>
  <w:num w:numId="30" w16cid:durableId="719090039">
    <w:abstractNumId w:val="0"/>
  </w:num>
  <w:num w:numId="31" w16cid:durableId="202257453">
    <w:abstractNumId w:val="9"/>
  </w:num>
  <w:num w:numId="32" w16cid:durableId="637489463">
    <w:abstractNumId w:val="7"/>
  </w:num>
  <w:num w:numId="33" w16cid:durableId="1282760731">
    <w:abstractNumId w:val="6"/>
  </w:num>
  <w:num w:numId="34" w16cid:durableId="532616406">
    <w:abstractNumId w:val="5"/>
  </w:num>
  <w:num w:numId="35" w16cid:durableId="135418044">
    <w:abstractNumId w:val="4"/>
  </w:num>
  <w:num w:numId="36" w16cid:durableId="961955516">
    <w:abstractNumId w:val="8"/>
  </w:num>
  <w:num w:numId="37" w16cid:durableId="1702245525">
    <w:abstractNumId w:val="3"/>
  </w:num>
  <w:num w:numId="38" w16cid:durableId="2065785923">
    <w:abstractNumId w:val="2"/>
  </w:num>
  <w:num w:numId="39" w16cid:durableId="28335042">
    <w:abstractNumId w:val="1"/>
  </w:num>
  <w:num w:numId="40" w16cid:durableId="1889032120">
    <w:abstractNumId w:val="0"/>
  </w:num>
  <w:num w:numId="41" w16cid:durableId="1076436366">
    <w:abstractNumId w:val="10"/>
  </w:num>
  <w:num w:numId="42" w16cid:durableId="556404293">
    <w:abstractNumId w:val="10"/>
  </w:num>
  <w:num w:numId="43" w16cid:durableId="590965012">
    <w:abstractNumId w:val="10"/>
  </w:num>
  <w:num w:numId="44" w16cid:durableId="272667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45/2025"/>
    <w:docVar w:name="dvlangue" w:val="PL"/>
    <w:docVar w:name="dvnumam" w:val="0"/>
    <w:docVar w:name="dvpe" w:val="779.018"/>
    <w:docVar w:name="dvtitre" w:val="Rezolucja Parlamentu Europejskiego z dnia  2025 r. w sprawie stanowiska UE dotyczącego proponowanego planu i zaangażowania UE na rzecz sprawiedliwego i trwałego pokoju dla Ukrainy(2025/3001(RSP))"/>
  </w:docVars>
  <w:rsids>
    <w:rsidRoot w:val="00646FFE"/>
    <w:rsid w:val="00002272"/>
    <w:rsid w:val="00064002"/>
    <w:rsid w:val="000677B9"/>
    <w:rsid w:val="000831BA"/>
    <w:rsid w:val="000A42CC"/>
    <w:rsid w:val="000E7DD9"/>
    <w:rsid w:val="0010095E"/>
    <w:rsid w:val="0011744D"/>
    <w:rsid w:val="00125B37"/>
    <w:rsid w:val="00187494"/>
    <w:rsid w:val="001F32AE"/>
    <w:rsid w:val="002767FF"/>
    <w:rsid w:val="002B18FE"/>
    <w:rsid w:val="002B5493"/>
    <w:rsid w:val="002F68D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6FFE"/>
    <w:rsid w:val="006631B6"/>
    <w:rsid w:val="00680577"/>
    <w:rsid w:val="006F74FA"/>
    <w:rsid w:val="0072481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6C5D"/>
    <w:rsid w:val="00D56C11"/>
    <w:rsid w:val="00D834A0"/>
    <w:rsid w:val="00D872DF"/>
    <w:rsid w:val="00D91E21"/>
    <w:rsid w:val="00DA7FCD"/>
    <w:rsid w:val="00E20F3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E51FA9"/>
  <w15:chartTrackingRefBased/>
  <w15:docId w15:val="{7576850E-F409-4FC4-BF82-FEF27A5AD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20F3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20F3E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E20F3E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972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2025-11-27T11:44:00Z</dcterms:created>
  <dcterms:modified xsi:type="dcterms:W3CDTF">2025-11-27T11:44:00Z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B10-0545/2025</vt:lpwstr>
  </property>
  <property fmtid="{D5CDD505-2E9C-101B-9397-08002B2CF9AE}" pid="4" name="&lt;Type&gt;">
    <vt:lpwstr>RR</vt:lpwstr>
  </property>
</Properties>
</file>