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419AF" w14:paraId="5CDACBF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B0C4F56" w14:textId="77777777" w:rsidR="00751A4A" w:rsidRPr="004419AF" w:rsidRDefault="00B33E03" w:rsidP="0010095E">
            <w:pPr>
              <w:pStyle w:val="EPName"/>
            </w:pPr>
            <w:r w:rsidRPr="004419AF">
              <w:t>Európsky parlament</w:t>
            </w:r>
          </w:p>
          <w:p w14:paraId="524C8908" w14:textId="77777777" w:rsidR="00751A4A" w:rsidRPr="004419A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419AF">
              <w:t>2024</w:t>
            </w:r>
            <w:r w:rsidR="00817416" w:rsidRPr="004419AF">
              <w:t>-202</w:t>
            </w:r>
            <w:r w:rsidRPr="004419AF">
              <w:t>9</w:t>
            </w:r>
          </w:p>
        </w:tc>
        <w:tc>
          <w:tcPr>
            <w:tcW w:w="2268" w:type="dxa"/>
            <w:shd w:val="clear" w:color="auto" w:fill="auto"/>
          </w:tcPr>
          <w:p w14:paraId="5D31DC3C" w14:textId="77777777" w:rsidR="00751A4A" w:rsidRPr="004419AF" w:rsidRDefault="00187494" w:rsidP="0010095E">
            <w:pPr>
              <w:pStyle w:val="EPLogo"/>
            </w:pPr>
            <w:r w:rsidRPr="004419AF">
              <w:rPr>
                <w:noProof/>
                <w:lang w:eastAsia="ja-JP"/>
              </w:rPr>
              <w:drawing>
                <wp:inline distT="0" distB="0" distL="0" distR="0" wp14:anchorId="1188A137" wp14:editId="419D697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0CF2788" w14:textId="77777777" w:rsidR="00D058B8" w:rsidRPr="004419AF" w:rsidRDefault="00D058B8" w:rsidP="004C5D52">
      <w:pPr>
        <w:pStyle w:val="LineTop"/>
      </w:pPr>
    </w:p>
    <w:p w14:paraId="362C68B8" w14:textId="77777777" w:rsidR="00680577" w:rsidRPr="004419AF" w:rsidRDefault="00B33E03" w:rsidP="00680577">
      <w:pPr>
        <w:pStyle w:val="EPBodyTA1"/>
      </w:pPr>
      <w:r w:rsidRPr="004419AF">
        <w:t>PRIJATÉ TEXTY</w:t>
      </w:r>
    </w:p>
    <w:p w14:paraId="60BA2C4A" w14:textId="77777777" w:rsidR="00D058B8" w:rsidRPr="004419AF" w:rsidRDefault="00D058B8" w:rsidP="00D058B8">
      <w:pPr>
        <w:pStyle w:val="LineBottom"/>
      </w:pPr>
    </w:p>
    <w:p w14:paraId="6141FDBB" w14:textId="2426B194" w:rsidR="00B33E03" w:rsidRPr="004419AF" w:rsidRDefault="00B33E03" w:rsidP="00B33E03">
      <w:pPr>
        <w:pStyle w:val="ATHeading1"/>
      </w:pPr>
      <w:bookmarkStart w:id="0" w:name="TANumber"/>
      <w:r w:rsidRPr="004419AF">
        <w:t>P10_TA(2025)0</w:t>
      </w:r>
      <w:r w:rsidR="004419AF" w:rsidRPr="004419AF">
        <w:t>312</w:t>
      </w:r>
      <w:bookmarkEnd w:id="0"/>
    </w:p>
    <w:p w14:paraId="3BAFC986" w14:textId="77777777" w:rsidR="00B33E03" w:rsidRPr="004419AF" w:rsidRDefault="00B33E03" w:rsidP="00B33E03">
      <w:pPr>
        <w:pStyle w:val="ATHeading2"/>
      </w:pPr>
      <w:bookmarkStart w:id="1" w:name="title"/>
      <w:r w:rsidRPr="004419AF">
        <w:t>Postoj EÚ k navrhovanému plánu a angažovanosť EÚ smerom k spravodlivému a trvalému mieru pre Ukrajinu</w:t>
      </w:r>
      <w:bookmarkEnd w:id="1"/>
    </w:p>
    <w:p w14:paraId="61D2E44E" w14:textId="77777777" w:rsidR="00B33E03" w:rsidRPr="004419AF" w:rsidRDefault="00B33E03" w:rsidP="00B33E03">
      <w:pPr>
        <w:rPr>
          <w:i/>
          <w:vanish/>
        </w:rPr>
      </w:pPr>
      <w:r w:rsidRPr="004419AF">
        <w:rPr>
          <w:i/>
        </w:rPr>
        <w:fldChar w:fldCharType="begin"/>
      </w:r>
      <w:r w:rsidRPr="004419AF">
        <w:rPr>
          <w:i/>
        </w:rPr>
        <w:instrText xml:space="preserve"> TC"(</w:instrText>
      </w:r>
      <w:bookmarkStart w:id="2" w:name="DocNumber"/>
      <w:r w:rsidRPr="004419AF">
        <w:rPr>
          <w:i/>
        </w:rPr>
        <w:instrText>B10-0545, 0546, 0547, 0548 a 0549/2025</w:instrText>
      </w:r>
      <w:bookmarkEnd w:id="2"/>
      <w:r w:rsidRPr="004419AF">
        <w:rPr>
          <w:i/>
        </w:rPr>
        <w:instrText xml:space="preserve">)"\l3 \n&gt; \* MERGEFORMAT </w:instrText>
      </w:r>
      <w:r w:rsidRPr="004419AF">
        <w:rPr>
          <w:i/>
        </w:rPr>
        <w:fldChar w:fldCharType="end"/>
      </w:r>
    </w:p>
    <w:p w14:paraId="728D813D" w14:textId="5610F15F" w:rsidR="00B33E03" w:rsidRPr="004419AF" w:rsidRDefault="00B33E03" w:rsidP="00B33E03">
      <w:pPr>
        <w:rPr>
          <w:vanish/>
        </w:rPr>
      </w:pPr>
      <w:bookmarkStart w:id="3" w:name="PE"/>
      <w:r w:rsidRPr="004419AF">
        <w:rPr>
          <w:vanish/>
        </w:rPr>
        <w:t>PE779.01</w:t>
      </w:r>
      <w:r w:rsidR="00980510" w:rsidRPr="004419AF">
        <w:rPr>
          <w:vanish/>
        </w:rPr>
        <w:t>8</w:t>
      </w:r>
      <w:bookmarkEnd w:id="3"/>
    </w:p>
    <w:p w14:paraId="39A3F97F" w14:textId="3324C9BC" w:rsidR="00B33E03" w:rsidRPr="004419AF" w:rsidRDefault="00B33E03" w:rsidP="00B33E03">
      <w:pPr>
        <w:pStyle w:val="ATHeading3"/>
      </w:pPr>
      <w:bookmarkStart w:id="4" w:name="Sujet"/>
      <w:r w:rsidRPr="004419AF">
        <w:t>Uznesenie Európskeho parlamentu z</w:t>
      </w:r>
      <w:r w:rsidR="00980510" w:rsidRPr="004419AF">
        <w:t> 27</w:t>
      </w:r>
      <w:r w:rsidRPr="004419AF">
        <w:t>. novembra 2025 o pozícii EÚ k navrhovanému plánu a angažovanosti EÚ za spravodlivý a trvalý mier pre Ukrajinu</w:t>
      </w:r>
      <w:bookmarkEnd w:id="4"/>
      <w:r w:rsidRPr="004419AF">
        <w:t xml:space="preserve"> </w:t>
      </w:r>
      <w:bookmarkStart w:id="5" w:name="References"/>
      <w:r w:rsidRPr="004419AF">
        <w:t>(2025/3001(RSP))</w:t>
      </w:r>
      <w:bookmarkEnd w:id="5"/>
    </w:p>
    <w:p w14:paraId="5673188C" w14:textId="77777777" w:rsidR="00A26439" w:rsidRPr="004419AF" w:rsidRDefault="00A26439" w:rsidP="00A26439">
      <w:pPr>
        <w:pStyle w:val="EPComma"/>
      </w:pPr>
      <w:bookmarkStart w:id="6" w:name="TextBodyBegin"/>
      <w:bookmarkEnd w:id="6"/>
      <w:r w:rsidRPr="004419AF">
        <w:rPr>
          <w:i/>
        </w:rPr>
        <w:t>Európsky parlament</w:t>
      </w:r>
      <w:r w:rsidRPr="004419AF">
        <w:t>,</w:t>
      </w:r>
    </w:p>
    <w:p w14:paraId="1881A5F4" w14:textId="77777777" w:rsidR="00A26439" w:rsidRPr="004419AF" w:rsidRDefault="00A26439" w:rsidP="00A26439">
      <w:pPr>
        <w:pStyle w:val="NormalHanging12a"/>
      </w:pPr>
      <w:r w:rsidRPr="004419AF">
        <w:t>–</w:t>
      </w:r>
      <w:r w:rsidRPr="004419AF">
        <w:tab/>
        <w:t>so zreteľom na svoje predchádzajúce uznesenia o Ukrajine a Rusku,</w:t>
      </w:r>
    </w:p>
    <w:p w14:paraId="40C8351E" w14:textId="77777777" w:rsidR="00A26439" w:rsidRPr="004419AF" w:rsidRDefault="00A26439" w:rsidP="00A26439">
      <w:pPr>
        <w:pStyle w:val="NormalHanging12a"/>
      </w:pPr>
      <w:r w:rsidRPr="004419AF">
        <w:t>–</w:t>
      </w:r>
      <w:r w:rsidRPr="004419AF">
        <w:tab/>
        <w:t>so zreteľom na spoločné vyhlásenie predsedov výborov pre zahraničné veci na podporu spravodlivého a trvalého mieru v Európe z 24. novembra 2025,</w:t>
      </w:r>
    </w:p>
    <w:p w14:paraId="5BAA9192" w14:textId="77777777" w:rsidR="00A26439" w:rsidRPr="004419AF" w:rsidRDefault="00A26439" w:rsidP="00A26439">
      <w:pPr>
        <w:pStyle w:val="NormalHanging12a"/>
      </w:pPr>
      <w:r w:rsidRPr="004419AF">
        <w:t>–</w:t>
      </w:r>
      <w:r w:rsidRPr="004419AF">
        <w:tab/>
        <w:t>so zreteľom na článok 136 ods. 2 a 4 rokovacieho poriadku,</w:t>
      </w:r>
    </w:p>
    <w:p w14:paraId="399F676E" w14:textId="77777777" w:rsidR="00A26439" w:rsidRPr="004419AF" w:rsidRDefault="00A26439" w:rsidP="00A26439">
      <w:pPr>
        <w:pStyle w:val="NormalHanging12a"/>
      </w:pPr>
      <w:r w:rsidRPr="004419AF">
        <w:t>A.</w:t>
      </w:r>
      <w:r w:rsidRPr="004419AF">
        <w:tab/>
        <w:t>keďže cieľom EÚ zostáva spravodlivý a trvalý mier, ktorý je založený na medzinárodnom práve a plne rešpektuje územnú celistvosť, nezávislosť a zvrchovanosť Ukrajiny; keďže Rusko stále neprejavuje záujem o mier a naďalej útočí na ukrajinských civilistov a infraštruktúru; keďže iniciatíva na ukončenie vojny na Ukrajine, ktorú nedávno schválila vláda USA, vyvolala oprávnené obavy, pokiaľ ide o záväzok Spojených štátov dodržiavať medzinárodné právo a o bezpečnosť Európy a Ukrajiny;</w:t>
      </w:r>
    </w:p>
    <w:p w14:paraId="334FB530" w14:textId="77777777" w:rsidR="00A26439" w:rsidRPr="004419AF" w:rsidRDefault="00A26439" w:rsidP="00A26439">
      <w:pPr>
        <w:pStyle w:val="NormalHanging12a"/>
      </w:pPr>
      <w:r w:rsidRPr="004419AF">
        <w:t>1.</w:t>
      </w:r>
      <w:r w:rsidRPr="004419AF">
        <w:tab/>
        <w:t>naliehavo vyzýva EÚ a jej členské štáty, aby prevzali väčšiu zodpovednosť za bezpečnosť na európskom kontinente, poskytovali Ukrajine neochvejnú podporu a zároveň sa aktívne usilovali o trvalý mier; zdôrazňuje, že akákoľvek dohoda, ktorej cieľom je ukončenie ruskej útočnej vojny proti Ukrajine, sa ani zďaleka netýka len Ruska a Ukrajiny a má zásadné dôsledky pre európsky bezpečnostný poriadok; v tejto súvislosti trvá na tom, že o žiadnej záležitosti týkajúcej sa Ukrajiny by sa nemalo rozhodovať bez Ukrajiny a o žiadnej záležitosti týkajúcej sa Európy by sa nemalo rozhodovať bez Európy;</w:t>
      </w:r>
    </w:p>
    <w:p w14:paraId="13E6BE31" w14:textId="77777777" w:rsidR="00A26439" w:rsidRPr="004419AF" w:rsidRDefault="00A26439" w:rsidP="00A26439">
      <w:pPr>
        <w:pStyle w:val="NormalHanging12a"/>
      </w:pPr>
      <w:r w:rsidRPr="004419AF">
        <w:t>2.</w:t>
      </w:r>
      <w:r w:rsidRPr="004419AF">
        <w:tab/>
        <w:t xml:space="preserve">berie na vedomie úsilie vlády USA o ukončenie útočnej vojny Ruska proti Ukrajine, ale zároveň sa domnieva, že nejednoznačná politika USA voči Ukrajine negatívne ovplyvňuje cieľ dosiahnuť udržateľný mier; nalieha preto na EÚ a jej členské štáty, aby v tejto kľúčovej geopolitickej chvíli prevzali vedenie a pokračovali v spolupráci so Spojenými štátmi a s podobne zmýšľajúcimi partnermi v snahe zabezpečiť, aby rokovania o spravodlivom a trvalom mieri pre Ukrajinu vychádzali zo zásad </w:t>
      </w:r>
      <w:r w:rsidRPr="004419AF">
        <w:lastRenderedPageBreak/>
        <w:t>medzinárodného práva, prebiehali v dobrej viere a smerovali k definitívnemu ukončeniu útočnej vojny Ruska proti Ukrajine;</w:t>
      </w:r>
    </w:p>
    <w:p w14:paraId="161B29C8" w14:textId="77777777" w:rsidR="00A26439" w:rsidRPr="004419AF" w:rsidRDefault="00A26439" w:rsidP="00A26439">
      <w:pPr>
        <w:pStyle w:val="NormalHanging12a"/>
      </w:pPr>
      <w:r w:rsidRPr="004419AF">
        <w:t>3.</w:t>
      </w:r>
      <w:r w:rsidRPr="004419AF">
        <w:tab/>
        <w:t>zdôrazňuje, že európska stratégia na dosiahnutie mieru pre Ukrajinu musí vychádzať z medzinárodného práva, posilňovať európsku bezpečnosť, zachovať a obnoviť zvrchovanosť a územnú celistvosť Ukrajiny a zároveň musí byť prijateľná pre Ukrajinu a jej ľud a slúžiť ako základ pre akékoľvek ďalšie diplomatické rokovania; opätovne zdôrazňuje, že mier nemožno dosiahnuť ustúpením agresorovi, ale že si vyžaduje neochvejnú a trvalú podporu Ukrajiny a primerané odradenie Ruska od toho, aby svoju agresiu v budúcnosti zopakovalo;</w:t>
      </w:r>
    </w:p>
    <w:p w14:paraId="2B1E982D" w14:textId="77777777" w:rsidR="00A26439" w:rsidRPr="004419AF" w:rsidRDefault="00A26439" w:rsidP="00A26439">
      <w:pPr>
        <w:pStyle w:val="NormalHanging12a"/>
      </w:pPr>
      <w:r w:rsidRPr="004419AF">
        <w:t>4.</w:t>
      </w:r>
      <w:r w:rsidRPr="004419AF">
        <w:tab/>
        <w:t>domnieva sa, že keďže Rusko v minulosti niekoľkokrát hrubo porušilo predchádzajúce právne záväzné dohody, záväzky rešpektovať zvrchovanosť svojich susedov a základné zásady medzinárodného práva, bude musieť každej dohode o udržateľnom mieri predchádzať prímerie, pričom takáto dohoda sa bude musieť opierať o účinné opatrenia na monitorovanie plnenia záväzkov a odrádzanie od prieťahov pri plnení stanovených povinností a bude musieť byť založená na spoľahlivých bezpečnostných zárukách pre Ukrajinu zo strany EÚ a USA, ktoré zabránia akejkoľvek novej agresii a okamžite proti nej zakročia;</w:t>
      </w:r>
    </w:p>
    <w:p w14:paraId="4FC0CADE" w14:textId="77777777" w:rsidR="00A26439" w:rsidRPr="004419AF" w:rsidRDefault="00A26439" w:rsidP="00A26439">
      <w:pPr>
        <w:pStyle w:val="NormalHanging12a"/>
      </w:pPr>
      <w:r w:rsidRPr="004419AF">
        <w:t>5.</w:t>
      </w:r>
      <w:r w:rsidRPr="004419AF">
        <w:tab/>
        <w:t>zdôrazňuje, že žiadna mierová dohoda nesmie obmedzovať schopnosť Ukrajiny brániť svoju zvrchovanosť, nezávislosť a územnú celistvosť, v dôsledku čoho by bola zraniteľná voči budúcim útokom; zdôrazňuje, že takáto dohoda musí Ukrajine ponúknuť dôveryhodné bezpečnostné záruky na úrovni článku 5 Washingtonskej zmluvy a článku 42 ods. 7 Zmluvy o Európskej únii, čím sa predíde opakovaniu Budapeštianskeho memoranda z roku 1994, a opätovne potvrdzuje, že Ukrajina si môže slobodne vybrať svoje bezpečnostné a politické spojenectvá bez akéhokoľvek veta zo strany Ruska;</w:t>
      </w:r>
    </w:p>
    <w:p w14:paraId="32337C4B" w14:textId="77777777" w:rsidR="00A26439" w:rsidRPr="004419AF" w:rsidRDefault="00A26439" w:rsidP="00A26439">
      <w:pPr>
        <w:pStyle w:val="NormalHanging12a"/>
      </w:pPr>
      <w:r w:rsidRPr="004419AF">
        <w:t>6.</w:t>
      </w:r>
      <w:r w:rsidRPr="004419AF">
        <w:tab/>
        <w:t>zdôrazňuje, že akákoľvek mierová dohoda musí Rusko zaväzovať, že Ukrajine v plnej miere nahradí všetku materiálnu a nemateriálnu ujmu a škody, ktoré spôsobilo; zdôrazňuje, že každá takáto dohoda musí zaručiť vyvodenie plnej zodpovednosti podľa medzinárodného práva za zločin agresie a vojnové zločiny, ktorých sa voči Ukrajine a ukrajinskému ľudu dopustilo Rusko, jeho spojenci a jeho zástupné sily, a to pred Medzinárodným trestným súdom a osobitným tribunálom pre zločin agresie; okrem toho zdôrazňuje, že takáto dohoda musí takisto zaručiť návrat všetkých vojnových zajatcov, zadržiavaných civilistov a unesených ukrajinských detí, ako aj stiahnutie všetkých ruských síl z medzinárodne uznaného územia Ukrajiny;</w:t>
      </w:r>
    </w:p>
    <w:p w14:paraId="7C341452" w14:textId="77777777" w:rsidR="00A26439" w:rsidRPr="004419AF" w:rsidRDefault="00A26439" w:rsidP="00A26439">
      <w:pPr>
        <w:pStyle w:val="NormalHanging12a"/>
      </w:pPr>
      <w:r w:rsidRPr="004419AF">
        <w:t>7.</w:t>
      </w:r>
      <w:r w:rsidRPr="004419AF">
        <w:tab/>
        <w:t>vyzýva členské štáty, aby Ukrajine bezodkladne schválili a poskytli právne a finančne náležitý „reparačný úver“, ktorý sa bude opierať o zmrazené ruské aktíva; zdôrazňuje, že o osude a podmienkach investovania týchto aktív nemožno rokovať bez EÚ;</w:t>
      </w:r>
    </w:p>
    <w:p w14:paraId="74FC8E23" w14:textId="77777777" w:rsidR="00A26439" w:rsidRPr="004419AF" w:rsidRDefault="00A26439" w:rsidP="00A26439">
      <w:pPr>
        <w:pStyle w:val="NormalHanging12a"/>
      </w:pPr>
      <w:r w:rsidRPr="004419AF">
        <w:t>8.</w:t>
      </w:r>
      <w:r w:rsidRPr="004419AF">
        <w:tab/>
        <w:t xml:space="preserve">pripomína svoju pozíciu, že EÚ a jej členské štáty právne neuznajú dočasne okupované ukrajinské územie za ruské územie; okrem toho zdôrazňuje, že v rámci spoľahlivých medzinárodných bezpečnostných záruk a s cieľom zabrániť akémukoľvek budúcemu porušovaniu zvrchovanosti a územnej celistvosti Ukrajiny by sa mala na oboch stranách kontaktnej línie nasadiť silná medzinárodná mierová a pozorovateľská misia s mandátom Bezpečnostnej rady OSN; vzhľadom na súčasnú nestabilnú bezpečnostnú situáciu v Európe opakuje, že zachovanie vojenskej prítomnosti NATO a USA pozdĺž východného krídla má zásadný význam pre zabezpečenie stability regiónu; zdôrazňuje, že v prípade dosiahnutia spravodlivého mieru medzi Ukrajinou a Ruskom budú EÚ, jej </w:t>
      </w:r>
      <w:r w:rsidRPr="004419AF">
        <w:lastRenderedPageBreak/>
        <w:t xml:space="preserve">členské štáty, Spojené štáty a podobne zmýšľajúci partneri zohrávať kľúčovú úlohu pri zaručení jeho vykonávania; </w:t>
      </w:r>
    </w:p>
    <w:p w14:paraId="17E5DAC4" w14:textId="77777777" w:rsidR="00A26439" w:rsidRPr="004419AF" w:rsidRDefault="00A26439" w:rsidP="00A26439">
      <w:pPr>
        <w:pStyle w:val="NormalHanging12a"/>
      </w:pPr>
      <w:r w:rsidRPr="004419AF">
        <w:t>9.</w:t>
      </w:r>
      <w:r w:rsidRPr="004419AF">
        <w:tab/>
        <w:t>zdôrazňuje, že akákoľvek dohoda s Ruskom by mala zahŕňať jeho záväzok okamžite ukončiť hybridnú vojnu proti EÚ a jej partnerom vrátane Ukrajiny;</w:t>
      </w:r>
    </w:p>
    <w:p w14:paraId="68064307" w14:textId="77777777" w:rsidR="00A26439" w:rsidRPr="004419AF" w:rsidRDefault="00A26439" w:rsidP="00A26439">
      <w:pPr>
        <w:pStyle w:val="NormalHanging12a"/>
      </w:pPr>
      <w:r w:rsidRPr="004419AF">
        <w:t>10.</w:t>
      </w:r>
      <w:r w:rsidRPr="004419AF">
        <w:tab/>
        <w:t>trvá na tom, že pred prerokovaním a vykonaním mierovej dohody sa nezrušia žiadne sankcie; vyzýva EÚ, aby v prípade, že sa Rusko odmietne zapojiť do serióznych mierových rozhovorov, uvalila ďalšie výrazné sankcie;</w:t>
      </w:r>
    </w:p>
    <w:p w14:paraId="53465BBA" w14:textId="77777777" w:rsidR="00A26439" w:rsidRPr="004419AF" w:rsidRDefault="00A26439" w:rsidP="00A26439">
      <w:pPr>
        <w:pStyle w:val="NormalHanging12a"/>
      </w:pPr>
      <w:r w:rsidRPr="004419AF">
        <w:t>11.</w:t>
      </w:r>
      <w:r w:rsidRPr="004419AF">
        <w:tab/>
        <w:t>je presvedčený, že skutočné rokovania, ktoré by sa opierali o plnú politickú, vojenskú a hospodársku váhu transatlantického spoločenstva a jeho medzinárodných partnerov, môžu nastoliť komplexný, spravodlivý a trvalý mier pre Ukrajinu a vydláždiť cestu k spravodlivej a inkluzívnej hospodárskej a sociálnej obnove;</w:t>
      </w:r>
    </w:p>
    <w:p w14:paraId="1558D8E9" w14:textId="6B17C376" w:rsidR="00E365E1" w:rsidRPr="004419AF" w:rsidRDefault="00A26439" w:rsidP="00980510">
      <w:pPr>
        <w:pStyle w:val="NormalHanging12a"/>
      </w:pPr>
      <w:r w:rsidRPr="004419AF">
        <w:t>12.</w:t>
      </w:r>
      <w:r w:rsidRPr="004419AF">
        <w:tab/>
        <w:t xml:space="preserve">poveruje svoju predsedníčku, aby postúpila toto uznesenie Rade, Komisii, podpredsedníčke Komisie/vysokej predstaviteľke Únie pre zahraničné veci a bezpečnostnú politiku, vládam a parlamentom členských štátov, prezidentovi, vláde a </w:t>
      </w:r>
      <w:proofErr w:type="spellStart"/>
      <w:r w:rsidRPr="004419AF">
        <w:t>Verchovnej</w:t>
      </w:r>
      <w:proofErr w:type="spellEnd"/>
      <w:r w:rsidRPr="004419AF">
        <w:t xml:space="preserve"> rade Ukrajiny, generálnemu tajomníkovi Organizácie Spojených národov, Kongresu Spojených štátov a ruským orgánom.</w:t>
      </w:r>
    </w:p>
    <w:sectPr w:rsidR="00E365E1" w:rsidRPr="004419AF" w:rsidSect="00F02C5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930136" w14:textId="77777777" w:rsidR="00B33E03" w:rsidRPr="00F02C52" w:rsidRDefault="00B33E03">
      <w:r w:rsidRPr="00F02C52">
        <w:separator/>
      </w:r>
    </w:p>
  </w:endnote>
  <w:endnote w:type="continuationSeparator" w:id="0">
    <w:p w14:paraId="3F3DA6EC" w14:textId="77777777" w:rsidR="00B33E03" w:rsidRPr="00F02C52" w:rsidRDefault="00B33E03">
      <w:r w:rsidRPr="00F02C5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7F327A" w14:textId="77777777" w:rsidR="00064002" w:rsidRPr="00F02C5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9EE776" w14:textId="77777777" w:rsidR="00064002" w:rsidRPr="00F02C5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19FE6E" w14:textId="77777777" w:rsidR="00064002" w:rsidRPr="00F02C5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D9F10F" w14:textId="77777777" w:rsidR="00B33E03" w:rsidRPr="00F02C52" w:rsidRDefault="00B33E03">
      <w:r w:rsidRPr="00F02C52">
        <w:separator/>
      </w:r>
    </w:p>
  </w:footnote>
  <w:footnote w:type="continuationSeparator" w:id="0">
    <w:p w14:paraId="4E543192" w14:textId="77777777" w:rsidR="00B33E03" w:rsidRPr="00F02C52" w:rsidRDefault="00B33E03">
      <w:r w:rsidRPr="00F02C5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2B1C92" w14:textId="77777777" w:rsidR="00064002" w:rsidRPr="00F02C5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2FE27B" w14:textId="77777777" w:rsidR="00064002" w:rsidRPr="00F02C5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507D57" w14:textId="77777777" w:rsidR="00064002" w:rsidRPr="00F02C5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260794077">
    <w:abstractNumId w:val="9"/>
  </w:num>
  <w:num w:numId="2" w16cid:durableId="1165170711">
    <w:abstractNumId w:val="9"/>
  </w:num>
  <w:num w:numId="3" w16cid:durableId="1346133245">
    <w:abstractNumId w:val="7"/>
  </w:num>
  <w:num w:numId="4" w16cid:durableId="1268006877">
    <w:abstractNumId w:val="7"/>
  </w:num>
  <w:num w:numId="5" w16cid:durableId="1665081966">
    <w:abstractNumId w:val="6"/>
  </w:num>
  <w:num w:numId="6" w16cid:durableId="1215115615">
    <w:abstractNumId w:val="6"/>
  </w:num>
  <w:num w:numId="7" w16cid:durableId="2075158291">
    <w:abstractNumId w:val="5"/>
  </w:num>
  <w:num w:numId="8" w16cid:durableId="1415591132">
    <w:abstractNumId w:val="5"/>
  </w:num>
  <w:num w:numId="9" w16cid:durableId="1016035614">
    <w:abstractNumId w:val="4"/>
  </w:num>
  <w:num w:numId="10" w16cid:durableId="571307034">
    <w:abstractNumId w:val="4"/>
  </w:num>
  <w:num w:numId="11" w16cid:durableId="568733751">
    <w:abstractNumId w:val="8"/>
  </w:num>
  <w:num w:numId="12" w16cid:durableId="919753569">
    <w:abstractNumId w:val="8"/>
  </w:num>
  <w:num w:numId="13" w16cid:durableId="2040930532">
    <w:abstractNumId w:val="3"/>
  </w:num>
  <w:num w:numId="14" w16cid:durableId="1696806384">
    <w:abstractNumId w:val="3"/>
  </w:num>
  <w:num w:numId="15" w16cid:durableId="339086265">
    <w:abstractNumId w:val="2"/>
  </w:num>
  <w:num w:numId="16" w16cid:durableId="717511954">
    <w:abstractNumId w:val="2"/>
  </w:num>
  <w:num w:numId="17" w16cid:durableId="602222195">
    <w:abstractNumId w:val="1"/>
  </w:num>
  <w:num w:numId="18" w16cid:durableId="1516921441">
    <w:abstractNumId w:val="1"/>
  </w:num>
  <w:num w:numId="19" w16cid:durableId="138033291">
    <w:abstractNumId w:val="0"/>
  </w:num>
  <w:num w:numId="20" w16cid:durableId="665791153">
    <w:abstractNumId w:val="0"/>
  </w:num>
  <w:num w:numId="21" w16cid:durableId="125128292">
    <w:abstractNumId w:val="9"/>
  </w:num>
  <w:num w:numId="22" w16cid:durableId="1662543869">
    <w:abstractNumId w:val="7"/>
  </w:num>
  <w:num w:numId="23" w16cid:durableId="1862357753">
    <w:abstractNumId w:val="6"/>
  </w:num>
  <w:num w:numId="24" w16cid:durableId="2029024291">
    <w:abstractNumId w:val="5"/>
  </w:num>
  <w:num w:numId="25" w16cid:durableId="2979084">
    <w:abstractNumId w:val="4"/>
  </w:num>
  <w:num w:numId="26" w16cid:durableId="1502352714">
    <w:abstractNumId w:val="8"/>
  </w:num>
  <w:num w:numId="27" w16cid:durableId="1722435973">
    <w:abstractNumId w:val="3"/>
  </w:num>
  <w:num w:numId="28" w16cid:durableId="969016462">
    <w:abstractNumId w:val="2"/>
  </w:num>
  <w:num w:numId="29" w16cid:durableId="1105923372">
    <w:abstractNumId w:val="1"/>
  </w:num>
  <w:num w:numId="30" w16cid:durableId="602031424">
    <w:abstractNumId w:val="0"/>
  </w:num>
  <w:num w:numId="31" w16cid:durableId="1896895595">
    <w:abstractNumId w:val="9"/>
  </w:num>
  <w:num w:numId="32" w16cid:durableId="1606691069">
    <w:abstractNumId w:val="7"/>
  </w:num>
  <w:num w:numId="33" w16cid:durableId="35275985">
    <w:abstractNumId w:val="6"/>
  </w:num>
  <w:num w:numId="34" w16cid:durableId="961764493">
    <w:abstractNumId w:val="5"/>
  </w:num>
  <w:num w:numId="35" w16cid:durableId="394595474">
    <w:abstractNumId w:val="4"/>
  </w:num>
  <w:num w:numId="36" w16cid:durableId="175727198">
    <w:abstractNumId w:val="8"/>
  </w:num>
  <w:num w:numId="37" w16cid:durableId="1942713126">
    <w:abstractNumId w:val="3"/>
  </w:num>
  <w:num w:numId="38" w16cid:durableId="527960413">
    <w:abstractNumId w:val="2"/>
  </w:num>
  <w:num w:numId="39" w16cid:durableId="980305263">
    <w:abstractNumId w:val="1"/>
  </w:num>
  <w:num w:numId="40" w16cid:durableId="1578056617">
    <w:abstractNumId w:val="0"/>
  </w:num>
  <w:num w:numId="41" w16cid:durableId="833685339">
    <w:abstractNumId w:val="10"/>
  </w:num>
  <w:num w:numId="42" w16cid:durableId="2057662243">
    <w:abstractNumId w:val="10"/>
  </w:num>
  <w:num w:numId="43" w16cid:durableId="607395508">
    <w:abstractNumId w:val="10"/>
  </w:num>
  <w:num w:numId="44" w16cid:durableId="14240350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545, 0546, 0547, 0548 a 0549/2025"/>
    <w:docVar w:name="dvlangue" w:val="SK"/>
    <w:docVar w:name="dvnumam" w:val="0"/>
    <w:docVar w:name="dvpe" w:val="779.019"/>
    <w:docVar w:name="dvtitre" w:val="Uznesenie Európskeho parlamentu z xx. novembra 2025 o pozícii EÚ k navrhovanému plánu a angažovanosti EÚ za spravodlivý a trvalý mier pre Ukrajinu(2025/3001(RSP))"/>
  </w:docVars>
  <w:rsids>
    <w:rsidRoot w:val="00B33E03"/>
    <w:rsid w:val="00002272"/>
    <w:rsid w:val="00004B39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419AF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0510"/>
    <w:rsid w:val="00981893"/>
    <w:rsid w:val="00A1687D"/>
    <w:rsid w:val="00A26439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33E03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2C52"/>
    <w:rsid w:val="00F04346"/>
    <w:rsid w:val="00F075DC"/>
    <w:rsid w:val="00F149E9"/>
    <w:rsid w:val="00F5134D"/>
    <w:rsid w:val="00F74202"/>
    <w:rsid w:val="00F87713"/>
    <w:rsid w:val="00FA0A98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37924F0"/>
  <w15:chartTrackingRefBased/>
  <w15:docId w15:val="{7F85B087-C2A6-410E-813D-E642BCCA80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A26439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A26439"/>
    <w:pPr>
      <w:spacing w:before="480" w:after="240"/>
    </w:pPr>
  </w:style>
  <w:style w:type="character" w:customStyle="1" w:styleId="EPCommaChar">
    <w:name w:val="EPComma Char"/>
    <w:basedOn w:val="DefaultParagraphFont"/>
    <w:link w:val="EPComma"/>
    <w:rsid w:val="00A26439"/>
    <w:rPr>
      <w:sz w:val="24"/>
      <w:lang w:val="sk-SK"/>
    </w:rPr>
  </w:style>
  <w:style w:type="paragraph" w:styleId="Revision">
    <w:name w:val="Revision"/>
    <w:hidden/>
    <w:uiPriority w:val="99"/>
    <w:semiHidden/>
    <w:rsid w:val="00980510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969</Words>
  <Characters>5978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6934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SOLTYSOVA Zuzana</cp:lastModifiedBy>
  <cp:revision>2</cp:revision>
  <cp:lastPrinted>2004-11-19T15:42:00Z</cp:lastPrinted>
  <dcterms:created xsi:type="dcterms:W3CDTF">2025-11-27T10:11:00Z</dcterms:created>
  <dcterms:modified xsi:type="dcterms:W3CDTF">2025-11-27T10:11:00Z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B10-0545, 0546, 0547, 0548 a 0549/2025</vt:lpwstr>
  </property>
  <property fmtid="{D5CDD505-2E9C-101B-9397-08002B2CF9AE}" pid="4" name="&lt;Type&gt;">
    <vt:lpwstr>RR</vt:lpwstr>
  </property>
</Properties>
</file>