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12EF" w14:paraId="7743CD7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AC4A309" w14:textId="77777777" w:rsidR="00751A4A" w:rsidRPr="005512EF" w:rsidRDefault="00011AA7" w:rsidP="0010095E">
            <w:pPr>
              <w:pStyle w:val="EPName"/>
            </w:pPr>
            <w:r w:rsidRPr="005512EF">
              <w:t>Evropský parlament</w:t>
            </w:r>
          </w:p>
          <w:p w14:paraId="24AF6DC8" w14:textId="77777777" w:rsidR="00751A4A" w:rsidRPr="005512E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512EF">
              <w:t>2024</w:t>
            </w:r>
            <w:r w:rsidR="00817416" w:rsidRPr="005512EF">
              <w:t>-202</w:t>
            </w:r>
            <w:r w:rsidRPr="005512EF">
              <w:t>9</w:t>
            </w:r>
          </w:p>
        </w:tc>
        <w:tc>
          <w:tcPr>
            <w:tcW w:w="2268" w:type="dxa"/>
            <w:shd w:val="clear" w:color="auto" w:fill="auto"/>
          </w:tcPr>
          <w:p w14:paraId="79135F81" w14:textId="77777777" w:rsidR="00751A4A" w:rsidRPr="005512EF" w:rsidRDefault="00187494" w:rsidP="0010095E">
            <w:pPr>
              <w:pStyle w:val="EPLogo"/>
            </w:pPr>
            <w:r w:rsidRPr="005512EF">
              <w:rPr>
                <w:noProof/>
                <w:lang w:eastAsia="ja-JP"/>
              </w:rPr>
              <w:drawing>
                <wp:inline distT="0" distB="0" distL="0" distR="0" wp14:anchorId="5C742402" wp14:editId="6E96401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2F883B" w14:textId="77777777" w:rsidR="00D058B8" w:rsidRPr="005512EF" w:rsidRDefault="00D058B8" w:rsidP="004C5D52">
      <w:pPr>
        <w:pStyle w:val="LineTop"/>
      </w:pPr>
    </w:p>
    <w:p w14:paraId="5D8A2C74" w14:textId="77777777" w:rsidR="00680577" w:rsidRPr="005512EF" w:rsidRDefault="00011AA7" w:rsidP="00680577">
      <w:pPr>
        <w:pStyle w:val="EPBodyTA1"/>
      </w:pPr>
      <w:r w:rsidRPr="005512EF">
        <w:t>PŘIJATÉ TEXTY</w:t>
      </w:r>
    </w:p>
    <w:p w14:paraId="18D84312" w14:textId="77777777" w:rsidR="00D058B8" w:rsidRPr="005512EF" w:rsidRDefault="00D058B8" w:rsidP="00D058B8">
      <w:pPr>
        <w:pStyle w:val="LineBottom"/>
      </w:pPr>
    </w:p>
    <w:p w14:paraId="3B91D6B7" w14:textId="4BE26D51" w:rsidR="00011AA7" w:rsidRPr="005512EF" w:rsidRDefault="00011AA7" w:rsidP="00011AA7">
      <w:pPr>
        <w:pStyle w:val="ATHeading1"/>
      </w:pPr>
      <w:bookmarkStart w:id="0" w:name="TANumber"/>
      <w:r w:rsidRPr="005512EF">
        <w:t>P10_</w:t>
      </w:r>
      <w:proofErr w:type="gramStart"/>
      <w:r w:rsidRPr="005512EF">
        <w:t>TA(</w:t>
      </w:r>
      <w:proofErr w:type="gramEnd"/>
      <w:r w:rsidRPr="005512EF">
        <w:t>2025)0</w:t>
      </w:r>
      <w:r w:rsidR="00FB22E0">
        <w:t>314</w:t>
      </w:r>
      <w:bookmarkEnd w:id="0"/>
    </w:p>
    <w:p w14:paraId="64E707C4" w14:textId="7F08DB1C" w:rsidR="00011AA7" w:rsidRPr="005512EF" w:rsidRDefault="00FA4CE5" w:rsidP="00011AA7">
      <w:pPr>
        <w:pStyle w:val="ATHeading2"/>
      </w:pPr>
      <w:bookmarkStart w:id="1" w:name="title"/>
      <w:r>
        <w:t>F</w:t>
      </w:r>
      <w:r w:rsidR="00011AA7" w:rsidRPr="005512EF">
        <w:t>inancování akčního plánu pro Tanzanii na rok 2025</w:t>
      </w:r>
      <w:bookmarkEnd w:id="1"/>
    </w:p>
    <w:p w14:paraId="0E21C984" w14:textId="77777777" w:rsidR="00011AA7" w:rsidRPr="005512EF" w:rsidRDefault="00011AA7" w:rsidP="00011AA7">
      <w:pPr>
        <w:rPr>
          <w:i/>
          <w:vanish/>
        </w:rPr>
      </w:pPr>
      <w:r w:rsidRPr="005512EF">
        <w:rPr>
          <w:i/>
        </w:rPr>
        <w:fldChar w:fldCharType="begin"/>
      </w:r>
      <w:r w:rsidRPr="005512EF">
        <w:rPr>
          <w:i/>
        </w:rPr>
        <w:instrText xml:space="preserve"> TC"(</w:instrText>
      </w:r>
      <w:bookmarkStart w:id="2" w:name="DocNumber"/>
      <w:r w:rsidRPr="005512EF">
        <w:rPr>
          <w:i/>
        </w:rPr>
        <w:instrText>B10-0505/2025</w:instrText>
      </w:r>
      <w:bookmarkEnd w:id="2"/>
      <w:r w:rsidRPr="005512EF">
        <w:rPr>
          <w:i/>
        </w:rPr>
        <w:instrText xml:space="preserve">)"\l3 \n&gt; \* MERGEFORMAT </w:instrText>
      </w:r>
      <w:r w:rsidRPr="005512EF">
        <w:rPr>
          <w:i/>
        </w:rPr>
        <w:fldChar w:fldCharType="end"/>
      </w:r>
    </w:p>
    <w:p w14:paraId="413C823A" w14:textId="77777777" w:rsidR="00011AA7" w:rsidRPr="005512EF" w:rsidRDefault="00011AA7" w:rsidP="00011AA7">
      <w:pPr>
        <w:rPr>
          <w:vanish/>
        </w:rPr>
      </w:pPr>
      <w:bookmarkStart w:id="3" w:name="PE"/>
      <w:r w:rsidRPr="005512EF">
        <w:rPr>
          <w:vanish/>
        </w:rPr>
        <w:t>PE779.716</w:t>
      </w:r>
      <w:bookmarkEnd w:id="3"/>
    </w:p>
    <w:p w14:paraId="495CCA87" w14:textId="77777777" w:rsidR="00011AA7" w:rsidRPr="005512EF" w:rsidRDefault="00011AA7" w:rsidP="00011AA7">
      <w:pPr>
        <w:pStyle w:val="ATHeading3"/>
      </w:pPr>
      <w:bookmarkStart w:id="4" w:name="Sujet"/>
      <w:r w:rsidRPr="005512EF">
        <w:t>Usnesení Evropského parlamentu ze dne 27. listopadu 2025 o návrhu prováděcího rozhodnutí Komise o financování ročního akčního plánu ve prospěch Sjednocené republiky Tanzanie na rok 2025</w:t>
      </w:r>
      <w:bookmarkEnd w:id="4"/>
      <w:r w:rsidRPr="005512EF">
        <w:t xml:space="preserve"> </w:t>
      </w:r>
      <w:bookmarkStart w:id="5" w:name="References"/>
      <w:r w:rsidRPr="005512EF">
        <w:t>(D110180/</w:t>
      </w:r>
      <w:proofErr w:type="gramStart"/>
      <w:r w:rsidRPr="005512EF">
        <w:t>02 – 2025</w:t>
      </w:r>
      <w:proofErr w:type="gramEnd"/>
      <w:r w:rsidRPr="005512EF">
        <w:t>/2979(RSP))</w:t>
      </w:r>
      <w:bookmarkEnd w:id="5"/>
    </w:p>
    <w:p w14:paraId="1F1D009C" w14:textId="77777777" w:rsidR="00084182" w:rsidRPr="005512EF" w:rsidRDefault="00084182" w:rsidP="00084182">
      <w:pPr>
        <w:pStyle w:val="EPComma"/>
      </w:pPr>
      <w:bookmarkStart w:id="6" w:name="TextBodyBegin"/>
      <w:bookmarkEnd w:id="6"/>
      <w:r w:rsidRPr="005512EF">
        <w:rPr>
          <w:i/>
          <w:iCs/>
        </w:rPr>
        <w:t>Evropský parlament</w:t>
      </w:r>
      <w:r w:rsidRPr="005512EF">
        <w:t>,</w:t>
      </w:r>
    </w:p>
    <w:p w14:paraId="36AD1426" w14:textId="77777777" w:rsidR="00084182" w:rsidRPr="005512EF" w:rsidRDefault="00084182" w:rsidP="005512EF">
      <w:pPr>
        <w:pStyle w:val="NormalHanging12a"/>
      </w:pPr>
      <w:r w:rsidRPr="005512EF">
        <w:t>–</w:t>
      </w:r>
      <w:r w:rsidRPr="005512EF">
        <w:tab/>
        <w:t>s ohledem na návrh prováděcího rozhodnutí Komise o financování ročního akčního plánu ve prospěch Sjednocené republiky Tanzanie na rok 2025 (D110180/02),</w:t>
      </w:r>
    </w:p>
    <w:p w14:paraId="28EAC77A" w14:textId="516E4580" w:rsidR="00084182" w:rsidRDefault="00084182" w:rsidP="005512EF">
      <w:pPr>
        <w:pStyle w:val="NormalHanging12a"/>
      </w:pPr>
      <w:r w:rsidRPr="005512EF">
        <w:t>–</w:t>
      </w:r>
      <w:r w:rsidRPr="005512EF">
        <w:tab/>
        <w:t xml:space="preserve">s ohledem na nařízení Evropského parlamentu a Rady </w:t>
      </w:r>
      <w:r w:rsidR="00FA4CE5">
        <w:t xml:space="preserve">(EU) </w:t>
      </w:r>
      <w:r w:rsidRPr="005512EF">
        <w:t>2021/947 ze dne 9. června 2021, kterým se zřizuje Nástroj pro sousedství a rozvojovou a mezinárodní spolupráci – Globální Evropa, mění a zrušuje rozhodnutí Evropského parlamentu a Rady č. 466/2014/EU a zrušují nařízení Evropského parlamentu a Rady (EU) 2017/1601 a nařízení Rady (ES, Euratom) č. 480/2009</w:t>
      </w:r>
      <w:r w:rsidR="00AF0F4F">
        <w:rPr>
          <w:rStyle w:val="FootnoteReference"/>
        </w:rPr>
        <w:footnoteReference w:id="1"/>
      </w:r>
      <w:r w:rsidRPr="005512EF">
        <w:t xml:space="preserve"> (nařízení o nástroji NDICI – Globální Evropa),</w:t>
      </w:r>
      <w:r w:rsidR="007C0EE0">
        <w:t xml:space="preserve"> a zejména na článek 25 </w:t>
      </w:r>
      <w:r w:rsidR="00D76D67">
        <w:t>tohoto</w:t>
      </w:r>
      <w:r w:rsidR="007C0EE0">
        <w:t xml:space="preserve"> nařízení,</w:t>
      </w:r>
    </w:p>
    <w:p w14:paraId="44E79D5D" w14:textId="4EF330C9" w:rsidR="00D76D67" w:rsidRDefault="00D76D67" w:rsidP="005512EF">
      <w:pPr>
        <w:pStyle w:val="NormalHanging12a"/>
      </w:pPr>
      <w:r>
        <w:t>–</w:t>
      </w:r>
      <w:r>
        <w:tab/>
      </w:r>
      <w:r w:rsidRPr="00D44214">
        <w:t xml:space="preserve">s ohledem na stanovisko výboru uvedeného v článku </w:t>
      </w:r>
      <w:r w:rsidR="00277FFD">
        <w:t>45</w:t>
      </w:r>
      <w:r w:rsidRPr="00D44214">
        <w:t xml:space="preserve"> </w:t>
      </w:r>
      <w:r w:rsidR="00277FFD">
        <w:t xml:space="preserve">nařízení </w:t>
      </w:r>
      <w:r w:rsidR="00277FFD" w:rsidRPr="00D475F0">
        <w:t>(EU) 2021/947</w:t>
      </w:r>
      <w:r w:rsidRPr="00D44214">
        <w:t xml:space="preserve"> ze dne </w:t>
      </w:r>
      <w:r w:rsidR="008E29F9">
        <w:t>22</w:t>
      </w:r>
      <w:r w:rsidRPr="00D44214">
        <w:t xml:space="preserve">. </w:t>
      </w:r>
      <w:r w:rsidR="008E29F9">
        <w:t>října</w:t>
      </w:r>
      <w:r w:rsidRPr="00D44214">
        <w:t xml:space="preserve"> 202</w:t>
      </w:r>
      <w:r w:rsidR="008E29F9">
        <w:t>5,</w:t>
      </w:r>
    </w:p>
    <w:p w14:paraId="76991E46" w14:textId="60DA993F" w:rsidR="008E29F9" w:rsidRPr="006D0DE1" w:rsidRDefault="008E29F9" w:rsidP="006D0DE1">
      <w:pPr>
        <w:pStyle w:val="Visa"/>
        <w:tabs>
          <w:tab w:val="clear" w:pos="357"/>
        </w:tabs>
        <w:spacing w:before="120" w:after="120"/>
        <w:ind w:left="567" w:hanging="567"/>
        <w:rPr>
          <w:lang w:val="cs-CZ"/>
        </w:rPr>
      </w:pPr>
      <w:r w:rsidRPr="006D0DE1">
        <w:rPr>
          <w:lang w:val="cs-CZ"/>
        </w:rPr>
        <w:t>–</w:t>
      </w:r>
      <w:r w:rsidRPr="006D0DE1">
        <w:rPr>
          <w:lang w:val="cs-CZ"/>
        </w:rPr>
        <w:tab/>
        <w:t>s ohledem na článek 11 nařízení Evropského parlamentu a Rady (EU) č. 182/2011 ze dne 16. února 2011, kterým se stanoví pravidla a obecné zásady způsobu, jakým členské státy kontrolují Komisi při výkonu prováděcích pravomocí</w:t>
      </w:r>
      <w:r w:rsidR="00AF0F4F">
        <w:rPr>
          <w:rStyle w:val="FootnoteReference"/>
          <w:lang w:val="cs-CZ"/>
        </w:rPr>
        <w:footnoteReference w:id="2"/>
      </w:r>
      <w:r w:rsidRPr="006D0DE1">
        <w:rPr>
          <w:lang w:val="cs-CZ"/>
        </w:rPr>
        <w:t>,</w:t>
      </w:r>
    </w:p>
    <w:p w14:paraId="029E5059" w14:textId="77777777" w:rsidR="00084182" w:rsidRPr="005512EF" w:rsidRDefault="00084182" w:rsidP="005512EF">
      <w:pPr>
        <w:pStyle w:val="NormalHanging12a"/>
      </w:pPr>
      <w:r w:rsidRPr="005512EF">
        <w:t>–</w:t>
      </w:r>
      <w:r w:rsidRPr="005512EF">
        <w:tab/>
        <w:t xml:space="preserve">s ohledem na usnesení Evropského parlamentu ze dne 8. května 2025 o zatčení a riziku popravy </w:t>
      </w:r>
      <w:proofErr w:type="spellStart"/>
      <w:r w:rsidRPr="005512EF">
        <w:t>Tundua</w:t>
      </w:r>
      <w:proofErr w:type="spellEnd"/>
      <w:r w:rsidRPr="005512EF">
        <w:t xml:space="preserve"> </w:t>
      </w:r>
      <w:proofErr w:type="spellStart"/>
      <w:r w:rsidRPr="005512EF">
        <w:t>Lissua</w:t>
      </w:r>
      <w:proofErr w:type="spellEnd"/>
      <w:r w:rsidRPr="005512EF">
        <w:t xml:space="preserve">, předsedy strany </w:t>
      </w:r>
      <w:proofErr w:type="spellStart"/>
      <w:r w:rsidRPr="005512EF">
        <w:t>Chadema</w:t>
      </w:r>
      <w:proofErr w:type="spellEnd"/>
      <w:r w:rsidRPr="005512EF">
        <w:t>, hlavní opoziční strany v Tanzanii,</w:t>
      </w:r>
    </w:p>
    <w:p w14:paraId="0E7D0BB9" w14:textId="77777777" w:rsidR="00084182" w:rsidRDefault="00084182" w:rsidP="005512EF">
      <w:pPr>
        <w:pStyle w:val="NormalHanging12a"/>
      </w:pPr>
      <w:r w:rsidRPr="005512EF">
        <w:lastRenderedPageBreak/>
        <w:t>–</w:t>
      </w:r>
      <w:r w:rsidRPr="005512EF">
        <w:tab/>
        <w:t>s ohledem na čl. 115 odst. 2 a 3 jednacího řádu,</w:t>
      </w:r>
    </w:p>
    <w:p w14:paraId="60C73AF7" w14:textId="37E909DC" w:rsidR="00FB5891" w:rsidRPr="005512EF" w:rsidRDefault="00FB5891" w:rsidP="005512EF">
      <w:pPr>
        <w:pStyle w:val="NormalHanging12a"/>
      </w:pPr>
      <w:r>
        <w:t>–</w:t>
      </w:r>
      <w:r>
        <w:tab/>
      </w:r>
      <w:r w:rsidRPr="00730236">
        <w:t xml:space="preserve">s ohledem na společné schůze Výboru </w:t>
      </w:r>
      <w:r w:rsidR="008478A4" w:rsidRPr="008478A4">
        <w:t>pro zahraniční věci</w:t>
      </w:r>
      <w:r w:rsidRPr="00730236">
        <w:t xml:space="preserve"> a </w:t>
      </w:r>
      <w:r w:rsidR="008478A4" w:rsidRPr="008478A4">
        <w:t>Výbor pro rozvoj</w:t>
      </w:r>
      <w:r w:rsidR="008478A4">
        <w:t xml:space="preserve"> </w:t>
      </w:r>
      <w:r w:rsidRPr="00730236">
        <w:t>v souladu s článkem 59 jednacího řádu,</w:t>
      </w:r>
    </w:p>
    <w:p w14:paraId="6E37842F" w14:textId="77777777" w:rsidR="00084182" w:rsidRPr="005512EF" w:rsidRDefault="00084182" w:rsidP="005512EF">
      <w:pPr>
        <w:pStyle w:val="NormalHanging12a"/>
      </w:pPr>
      <w:r w:rsidRPr="005512EF">
        <w:t>–</w:t>
      </w:r>
      <w:r w:rsidRPr="005512EF">
        <w:tab/>
        <w:t>s ohledem na návrh usnesení Výboru pro zahraniční věci a Výboru pro rozvoj,</w:t>
      </w:r>
    </w:p>
    <w:p w14:paraId="62D6F6F5" w14:textId="37396EA4" w:rsidR="00084182" w:rsidRPr="005512EF" w:rsidRDefault="00084182" w:rsidP="005512EF">
      <w:pPr>
        <w:pStyle w:val="NormalHanging12a"/>
      </w:pPr>
      <w:r w:rsidRPr="005512EF">
        <w:t>A.</w:t>
      </w:r>
      <w:r w:rsidRPr="005512EF">
        <w:tab/>
        <w:t xml:space="preserve">vzhledem k tomu, že dne 22. října </w:t>
      </w:r>
      <w:r w:rsidR="00AB0AC1">
        <w:t xml:space="preserve">2025 </w:t>
      </w:r>
      <w:r w:rsidRPr="005512EF">
        <w:t xml:space="preserve">byl </w:t>
      </w:r>
      <w:r w:rsidR="008A793F">
        <w:t>návrh prováděcího rozhodnutí Komise</w:t>
      </w:r>
      <w:r w:rsidRPr="005512EF">
        <w:t xml:space="preserve"> předložen výboru pro nástroj NDICI;</w:t>
      </w:r>
    </w:p>
    <w:p w14:paraId="6BCD06D1" w14:textId="315647EB" w:rsidR="00084182" w:rsidRPr="005512EF" w:rsidRDefault="00084182" w:rsidP="005512EF">
      <w:pPr>
        <w:pStyle w:val="NormalHanging12a"/>
      </w:pPr>
      <w:r w:rsidRPr="005512EF">
        <w:t>B.</w:t>
      </w:r>
      <w:r w:rsidRPr="005512EF">
        <w:tab/>
        <w:t xml:space="preserve">vzhledem k tomu, že </w:t>
      </w:r>
      <w:r w:rsidR="008A793F">
        <w:t>návrh prováděcího rozhodnutí Komise</w:t>
      </w:r>
      <w:r w:rsidRPr="005512EF">
        <w:t xml:space="preserve"> </w:t>
      </w:r>
      <w:proofErr w:type="gramStart"/>
      <w:r w:rsidRPr="005512EF">
        <w:t>svědčí</w:t>
      </w:r>
      <w:proofErr w:type="gramEnd"/>
      <w:r w:rsidRPr="005512EF">
        <w:t xml:space="preserve"> o chybném přístupu Komise, který plně neodráží nedostatky v oblasti demokracie a lidských práv v Tanzanii v posledních letech, zejména od zfalšovaných voleb v říjnu 2025, po nichž vláda potlačila demonstrace, což vedlo k úmrtí více než 400 lidí, a stovky lidí byly obviněny z vlastizrady;</w:t>
      </w:r>
    </w:p>
    <w:p w14:paraId="338B7CC2" w14:textId="77777777" w:rsidR="00084182" w:rsidRPr="005512EF" w:rsidRDefault="00084182" w:rsidP="005512EF">
      <w:pPr>
        <w:pStyle w:val="NormalHanging12a"/>
      </w:pPr>
      <w:r w:rsidRPr="005512EF">
        <w:t>C.</w:t>
      </w:r>
      <w:r w:rsidRPr="005512EF">
        <w:tab/>
        <w:t>vzhledem k tomu, že volební pozorovatelská mise Africké unie důrazně kritizovala průběh prezidentských voleb v Tanzanii, v nichž byl obhajující prezident zvolen zřejmě 98 % hlasů; vzhledem k tomu, že tanzanská vláda na rozdíl od voleb v roce 2015 nepozvala evropskou volební pozorovatelskou misi;</w:t>
      </w:r>
    </w:p>
    <w:p w14:paraId="093DE9A2" w14:textId="77777777" w:rsidR="00084182" w:rsidRPr="005512EF" w:rsidRDefault="00084182" w:rsidP="005512EF">
      <w:pPr>
        <w:pStyle w:val="NormalHanging12a"/>
      </w:pPr>
      <w:r w:rsidRPr="005512EF">
        <w:t>D.</w:t>
      </w:r>
      <w:r w:rsidRPr="005512EF">
        <w:tab/>
        <w:t xml:space="preserve">vzhledem k tomu, že vysoká představitelka Unie pro zahraniční věci a bezpečnostní politiku, místopředsedkyně Komise Kaja </w:t>
      </w:r>
      <w:proofErr w:type="spellStart"/>
      <w:r w:rsidRPr="005512EF">
        <w:t>Kallasová</w:t>
      </w:r>
      <w:proofErr w:type="spellEnd"/>
      <w:r w:rsidRPr="005512EF">
        <w:t xml:space="preserve"> vyjádřila jménem Evropské unie vážné znepokojení nad povolebním násilím v Tanzanii a konstatovala, že „nerovné podmínky v předvolebním období dokládají zprávy o únosech a zmizeních a násilí omezujícím občanský a demokratický prostor“;</w:t>
      </w:r>
    </w:p>
    <w:p w14:paraId="2738A673" w14:textId="77777777" w:rsidR="00084182" w:rsidRPr="005512EF" w:rsidRDefault="00084182" w:rsidP="005512EF">
      <w:pPr>
        <w:pStyle w:val="NormalHanging12a"/>
      </w:pPr>
      <w:r w:rsidRPr="005512EF">
        <w:t>E.</w:t>
      </w:r>
      <w:r w:rsidRPr="005512EF">
        <w:tab/>
        <w:t xml:space="preserve">vzhledem k tomu, že </w:t>
      </w:r>
      <w:proofErr w:type="spellStart"/>
      <w:r w:rsidRPr="005512EF">
        <w:t>Tundu</w:t>
      </w:r>
      <w:proofErr w:type="spellEnd"/>
      <w:r w:rsidRPr="005512EF">
        <w:t xml:space="preserve"> </w:t>
      </w:r>
      <w:proofErr w:type="spellStart"/>
      <w:r w:rsidRPr="005512EF">
        <w:t>Lissu</w:t>
      </w:r>
      <w:proofErr w:type="spellEnd"/>
      <w:r w:rsidRPr="005512EF">
        <w:t xml:space="preserve">, vůdce hlavní tanzanské opoziční strany </w:t>
      </w:r>
      <w:proofErr w:type="spellStart"/>
      <w:r w:rsidRPr="005512EF">
        <w:t>Chadema</w:t>
      </w:r>
      <w:proofErr w:type="spellEnd"/>
      <w:r w:rsidRPr="005512EF">
        <w:t xml:space="preserve">, byl dne 9. dubna 2025 zatčen a později obviněn z velezrady a tří trestných činů zveřejňování nepravdivých informací podle zákonů o počítačové kriminalitě; vzhledem k tomu, že za velezradu hrozí v Tanzanii trest smrti; vzhledem k tomu, že EU je za všech okolností jednoznačně proti trestu smrti; vzhledem k tomu, že krátce po </w:t>
      </w:r>
      <w:proofErr w:type="spellStart"/>
      <w:r w:rsidRPr="005512EF">
        <w:t>Lissuově</w:t>
      </w:r>
      <w:proofErr w:type="spellEnd"/>
      <w:r w:rsidRPr="005512EF">
        <w:t xml:space="preserve"> zatčení byla strana </w:t>
      </w:r>
      <w:proofErr w:type="spellStart"/>
      <w:r w:rsidRPr="005512EF">
        <w:t>Chadema</w:t>
      </w:r>
      <w:proofErr w:type="spellEnd"/>
      <w:r w:rsidRPr="005512EF">
        <w:t xml:space="preserve"> vyloučena z prezidentských a parlamentních voleb v říjnu 2025, a to na základě odmítnutí strany podepsat kodex chování při volbách, a byla znemožněna i kandidatura kandidáta druhé největší opoziční strany Aliance pro změnu a transparentnost (ACT-</w:t>
      </w:r>
      <w:proofErr w:type="spellStart"/>
      <w:r w:rsidRPr="005512EF">
        <w:t>Wazalendo</w:t>
      </w:r>
      <w:proofErr w:type="spellEnd"/>
      <w:r w:rsidRPr="005512EF">
        <w:t xml:space="preserve">) </w:t>
      </w:r>
      <w:proofErr w:type="spellStart"/>
      <w:r w:rsidRPr="005512EF">
        <w:t>Luhagy</w:t>
      </w:r>
      <w:proofErr w:type="spellEnd"/>
      <w:r w:rsidRPr="005512EF">
        <w:t xml:space="preserve"> </w:t>
      </w:r>
      <w:proofErr w:type="spellStart"/>
      <w:r w:rsidRPr="005512EF">
        <w:t>Mpiny</w:t>
      </w:r>
      <w:proofErr w:type="spellEnd"/>
      <w:r w:rsidRPr="005512EF">
        <w:t>;</w:t>
      </w:r>
    </w:p>
    <w:p w14:paraId="43563EE7" w14:textId="65BCEBF6" w:rsidR="00084182" w:rsidRPr="005512EF" w:rsidRDefault="00084182" w:rsidP="005512EF">
      <w:pPr>
        <w:pStyle w:val="NormalHanging12a"/>
      </w:pPr>
      <w:r w:rsidRPr="005512EF">
        <w:t>F.</w:t>
      </w:r>
      <w:r w:rsidRPr="005512EF">
        <w:tab/>
        <w:t>vzhledem k tomu, že tanzanská vláda nesplnila žádný z požadavků, které Evropský parlament předložil ve svém usnesení ze dne 8. května</w:t>
      </w:r>
      <w:r w:rsidR="008A793F">
        <w:t xml:space="preserve"> 2025</w:t>
      </w:r>
      <w:r w:rsidRPr="005512EF">
        <w:t xml:space="preserve">, mimo jiné výzvu k okamžitému a bezpodmínečnému propuštění pana </w:t>
      </w:r>
      <w:proofErr w:type="spellStart"/>
      <w:r w:rsidRPr="005512EF">
        <w:t>Lissua</w:t>
      </w:r>
      <w:proofErr w:type="spellEnd"/>
      <w:r w:rsidRPr="005512EF">
        <w:t>, k provedení reformy soudnictví, ke zlepšení situace v oblasti lidských práv a k předložení volební reformy;</w:t>
      </w:r>
    </w:p>
    <w:p w14:paraId="5EB7F570" w14:textId="77777777" w:rsidR="00084182" w:rsidRPr="005512EF" w:rsidRDefault="00084182" w:rsidP="005512EF">
      <w:pPr>
        <w:pStyle w:val="NormalHanging12a"/>
      </w:pPr>
      <w:r w:rsidRPr="005512EF">
        <w:t>G.</w:t>
      </w:r>
      <w:r w:rsidRPr="005512EF">
        <w:tab/>
        <w:t xml:space="preserve">vzhledem k tomu, že Tanzanie ustupuje od svého závazku prosazovat společné hodnoty, zásady a zájmy, zejména pokud jde o lidská práva, základní svobody, demokracii, právní stát, řádnou správu věcí veřejných a otevřený občanský prostor, a že její stupňující se represe, svévolné zatýkání, násilí, útoky a obtěžování členů opozice, obránců lidských práv, původních obyvatel, aktivistů LGBTIQ+, novinářů a organizací občanské společnosti jsou v rozporu se zásadami programování zeměpisných programů podle nařízení o nástroji NDICI – Globální Evropa; vzhledem k tomu, že povolební krize v Tanzanii představuje bezprostřední hrozbu pro demokracii, právní stát, lidská práva a základní svobody v zemi; vzhledem k tomu, že jakákoli rozhodnutí o plánování </w:t>
      </w:r>
      <w:r w:rsidRPr="005512EF">
        <w:lastRenderedPageBreak/>
        <w:t>a programování, která tato hlediska nezohledňují, vedou k tomu, že prováděcí akty přijaté za těchto okolností budou neplatné;</w:t>
      </w:r>
    </w:p>
    <w:p w14:paraId="524FBB81" w14:textId="77777777" w:rsidR="00084182" w:rsidRPr="005512EF" w:rsidRDefault="00084182" w:rsidP="005512EF">
      <w:pPr>
        <w:pStyle w:val="NormalHanging12a"/>
      </w:pPr>
      <w:r w:rsidRPr="005512EF">
        <w:t>H.</w:t>
      </w:r>
      <w:r w:rsidRPr="005512EF">
        <w:tab/>
        <w:t>vzhledem k tomu, že EU významně podporuje digitální transformaci Tanzanie – prostřednictvím investic do infrastruktury 4G a optických vláken, elektronické správy, digitálních dovedností a rozvoje soukromého sektoru – s cílem rozšířit přístup k informacím a podpořit otevřenou digitální ekonomiku; avšak vzhledem k tomu, že tanzanské orgány jednaly v rozporu s těmito cíli, když v době před volbami i v době povolebních nepokojů zaváděly odstávky internetu, což byla opatření, která podkopávala demokratickou účast a znamenala riziko zneužití digitální infrastruktury podpořené EU;</w:t>
      </w:r>
    </w:p>
    <w:p w14:paraId="57D91A54" w14:textId="5611E101" w:rsidR="00084182" w:rsidRPr="005512EF" w:rsidRDefault="00084182" w:rsidP="005512EF">
      <w:pPr>
        <w:pStyle w:val="NormalHanging12a"/>
      </w:pPr>
      <w:r w:rsidRPr="005512EF">
        <w:t>1.</w:t>
      </w:r>
      <w:r w:rsidRPr="005512EF">
        <w:tab/>
        <w:t>domnívá se, že návrh prováděcího rozhodnutí Komise překračuje prováděcí pravomoci stanovené v nařízení (EU) 2021/947;</w:t>
      </w:r>
    </w:p>
    <w:p w14:paraId="3ED3F9E2" w14:textId="06F1CD04" w:rsidR="00084182" w:rsidRPr="005512EF" w:rsidRDefault="00084182" w:rsidP="005512EF">
      <w:pPr>
        <w:pStyle w:val="NormalHanging12a"/>
      </w:pPr>
      <w:r w:rsidRPr="005512EF">
        <w:t>2.</w:t>
      </w:r>
      <w:r w:rsidRPr="005512EF">
        <w:tab/>
        <w:t>domnívá se, že návrh prováděcího rozhodnutí Komise není v souladu s právními předpisy Unie, neboť není slučitelný s cílem nařízení (EU) 2021/947;</w:t>
      </w:r>
    </w:p>
    <w:p w14:paraId="6526261F" w14:textId="77777777" w:rsidR="00084182" w:rsidRPr="005512EF" w:rsidRDefault="00084182" w:rsidP="005512EF">
      <w:pPr>
        <w:pStyle w:val="NormalHanging12a"/>
      </w:pPr>
      <w:r w:rsidRPr="005512EF">
        <w:t>3.</w:t>
      </w:r>
      <w:r w:rsidRPr="005512EF">
        <w:tab/>
        <w:t>vítá skutečnost, že Komise pozastavila proces přijímání návrhu prováděcího rozhodnutí poté, co byla informována o obavách Evropského parlamentu;</w:t>
      </w:r>
    </w:p>
    <w:p w14:paraId="039156FF" w14:textId="0552CA47" w:rsidR="00084182" w:rsidRPr="005512EF" w:rsidRDefault="00084182" w:rsidP="005512EF">
      <w:pPr>
        <w:pStyle w:val="NormalHanging12a"/>
      </w:pPr>
      <w:r w:rsidRPr="005512EF">
        <w:t>4.</w:t>
      </w:r>
      <w:r w:rsidRPr="005512EF">
        <w:tab/>
        <w:t xml:space="preserve">vyzývá Komisi, aby stáhla svůj návrh prováděcího rozhodnutí a předložila </w:t>
      </w:r>
      <w:r w:rsidR="008A793F">
        <w:t xml:space="preserve">výboru </w:t>
      </w:r>
      <w:r w:rsidRPr="005512EF">
        <w:t>nový návrh, který by respektoval vznesené obavy a zároveň zajistil, aby případné nové změny neměly negativní dopad na financování určené na podporu nevládních organizací a občanské společnosti;</w:t>
      </w:r>
    </w:p>
    <w:p w14:paraId="79C31F0B" w14:textId="7829427D" w:rsidR="004B6162" w:rsidRPr="005512EF" w:rsidRDefault="00084182" w:rsidP="005512EF">
      <w:pPr>
        <w:pStyle w:val="NormalHanging12a"/>
      </w:pPr>
      <w:r w:rsidRPr="005512EF">
        <w:t>5.</w:t>
      </w:r>
      <w:r w:rsidRPr="005512EF">
        <w:tab/>
        <w:t>pověřuje svou předsedkyni, aby předala toto usnesení Radě a Komisi, jakož i vládám a parlamentům členských států.</w:t>
      </w:r>
    </w:p>
    <w:p w14:paraId="6E399B5B" w14:textId="008483BA" w:rsidR="00E365E1" w:rsidRPr="005512EF" w:rsidRDefault="00E365E1" w:rsidP="005512EF">
      <w:pPr>
        <w:spacing w:after="240"/>
      </w:pPr>
    </w:p>
    <w:sectPr w:rsidR="00E365E1" w:rsidRPr="005512EF" w:rsidSect="004B61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5EFC4" w14:textId="77777777" w:rsidR="00011AA7" w:rsidRPr="004B6162" w:rsidRDefault="00011AA7">
      <w:r w:rsidRPr="004B6162">
        <w:separator/>
      </w:r>
    </w:p>
  </w:endnote>
  <w:endnote w:type="continuationSeparator" w:id="0">
    <w:p w14:paraId="1C01E154" w14:textId="77777777" w:rsidR="00011AA7" w:rsidRPr="004B6162" w:rsidRDefault="00011AA7">
      <w:r w:rsidRPr="004B61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857F1" w14:textId="77777777" w:rsidR="00064002" w:rsidRPr="004B616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0DC57" w14:textId="77777777" w:rsidR="00064002" w:rsidRPr="004B616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79F22" w14:textId="77777777" w:rsidR="00064002" w:rsidRPr="004B616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F31A1" w14:textId="77777777" w:rsidR="00011AA7" w:rsidRPr="004B6162" w:rsidRDefault="00011AA7">
      <w:r w:rsidRPr="004B6162">
        <w:separator/>
      </w:r>
    </w:p>
  </w:footnote>
  <w:footnote w:type="continuationSeparator" w:id="0">
    <w:p w14:paraId="77A8B787" w14:textId="77777777" w:rsidR="00011AA7" w:rsidRPr="004B6162" w:rsidRDefault="00011AA7">
      <w:r w:rsidRPr="004B6162">
        <w:continuationSeparator/>
      </w:r>
    </w:p>
  </w:footnote>
  <w:footnote w:id="1">
    <w:p w14:paraId="10BB1149" w14:textId="2E166B88" w:rsidR="00AF0F4F" w:rsidRPr="006D0DE1" w:rsidRDefault="00AF0F4F" w:rsidP="006D0DE1">
      <w:pPr>
        <w:pStyle w:val="FootnoteText"/>
        <w:ind w:left="567" w:hanging="567"/>
        <w:rPr>
          <w:sz w:val="24"/>
          <w:szCs w:val="24"/>
          <w:lang w:val="cs-CZ"/>
        </w:rPr>
      </w:pPr>
      <w:r w:rsidRPr="006D0DE1">
        <w:rPr>
          <w:rStyle w:val="FootnoteReference"/>
          <w:sz w:val="24"/>
          <w:szCs w:val="24"/>
        </w:rPr>
        <w:footnoteRef/>
      </w:r>
      <w:r w:rsidRPr="006D0DE1">
        <w:rPr>
          <w:sz w:val="24"/>
          <w:szCs w:val="24"/>
          <w:lang w:val="fi-FI"/>
        </w:rPr>
        <w:t xml:space="preserve"> </w:t>
      </w:r>
      <w:r w:rsidRPr="006D0DE1">
        <w:rPr>
          <w:sz w:val="24"/>
          <w:szCs w:val="24"/>
          <w:lang w:val="cs-CZ"/>
        </w:rPr>
        <w:tab/>
      </w:r>
      <w:proofErr w:type="spellStart"/>
      <w:r>
        <w:rPr>
          <w:sz w:val="24"/>
          <w:szCs w:val="24"/>
          <w:lang w:val="cs-CZ"/>
        </w:rPr>
        <w:t>Úř</w:t>
      </w:r>
      <w:proofErr w:type="spellEnd"/>
      <w:r>
        <w:rPr>
          <w:sz w:val="24"/>
          <w:szCs w:val="24"/>
          <w:lang w:val="cs-CZ"/>
        </w:rPr>
        <w:t xml:space="preserve">. </w:t>
      </w:r>
      <w:proofErr w:type="spellStart"/>
      <w:r>
        <w:rPr>
          <w:sz w:val="24"/>
          <w:szCs w:val="24"/>
          <w:lang w:val="cs-CZ"/>
        </w:rPr>
        <w:t>věst</w:t>
      </w:r>
      <w:proofErr w:type="spellEnd"/>
      <w:r>
        <w:rPr>
          <w:sz w:val="24"/>
          <w:szCs w:val="24"/>
          <w:lang w:val="cs-CZ"/>
        </w:rPr>
        <w:t xml:space="preserve">. </w:t>
      </w:r>
      <w:r w:rsidRPr="00AF0F4F">
        <w:rPr>
          <w:sz w:val="24"/>
          <w:szCs w:val="24"/>
          <w:lang w:val="fi-FI"/>
        </w:rPr>
        <w:t xml:space="preserve">L 209, 14.6.2021, </w:t>
      </w:r>
      <w:r>
        <w:rPr>
          <w:sz w:val="24"/>
          <w:szCs w:val="24"/>
          <w:lang w:val="fi-FI"/>
        </w:rPr>
        <w:t>s</w:t>
      </w:r>
      <w:r w:rsidRPr="00AF0F4F">
        <w:rPr>
          <w:sz w:val="24"/>
          <w:szCs w:val="24"/>
          <w:lang w:val="fi-FI"/>
        </w:rPr>
        <w:t xml:space="preserve">. 1, ELI: </w:t>
      </w:r>
      <w:hyperlink r:id="rId1" w:tgtFrame="http://data.europa.eu/eli/reg/2021/947/oj" w:history="1">
        <w:r w:rsidRPr="00AF0F4F">
          <w:rPr>
            <w:rStyle w:val="Hyperlink"/>
            <w:sz w:val="24"/>
            <w:szCs w:val="24"/>
            <w:lang w:val="fi-FI"/>
          </w:rPr>
          <w:t>http://data.europa.eu/eli/reg/2021/947/oj.</w:t>
        </w:r>
      </w:hyperlink>
    </w:p>
  </w:footnote>
  <w:footnote w:id="2">
    <w:p w14:paraId="3D36027E" w14:textId="2D12FD55" w:rsidR="00AF0F4F" w:rsidRPr="006D0DE1" w:rsidRDefault="00AF0F4F" w:rsidP="00AF0F4F">
      <w:pPr>
        <w:pStyle w:val="FootnoteText"/>
        <w:ind w:left="567" w:hanging="567"/>
        <w:rPr>
          <w:sz w:val="24"/>
          <w:szCs w:val="24"/>
          <w:lang w:val="cs-CZ"/>
        </w:rPr>
      </w:pPr>
      <w:r w:rsidRPr="006D0DE1">
        <w:rPr>
          <w:rStyle w:val="FootnoteReference"/>
          <w:sz w:val="24"/>
          <w:szCs w:val="24"/>
        </w:rPr>
        <w:footnoteRef/>
      </w:r>
      <w:r w:rsidRPr="006D0DE1">
        <w:rPr>
          <w:sz w:val="24"/>
          <w:szCs w:val="24"/>
          <w:lang w:val="fi-FI"/>
        </w:rPr>
        <w:t xml:space="preserve"> </w:t>
      </w:r>
      <w:r w:rsidRPr="006D0DE1">
        <w:rPr>
          <w:sz w:val="24"/>
          <w:szCs w:val="24"/>
          <w:lang w:val="cs-CZ"/>
        </w:rPr>
        <w:tab/>
      </w:r>
      <w:proofErr w:type="spellStart"/>
      <w:r>
        <w:rPr>
          <w:sz w:val="24"/>
          <w:szCs w:val="24"/>
          <w:lang w:val="cs-CZ"/>
        </w:rPr>
        <w:t>Úř</w:t>
      </w:r>
      <w:proofErr w:type="spellEnd"/>
      <w:r>
        <w:rPr>
          <w:sz w:val="24"/>
          <w:szCs w:val="24"/>
          <w:lang w:val="cs-CZ"/>
        </w:rPr>
        <w:t xml:space="preserve">. </w:t>
      </w:r>
      <w:proofErr w:type="spellStart"/>
      <w:r>
        <w:rPr>
          <w:sz w:val="24"/>
          <w:szCs w:val="24"/>
          <w:lang w:val="cs-CZ"/>
        </w:rPr>
        <w:t>věst</w:t>
      </w:r>
      <w:proofErr w:type="spellEnd"/>
      <w:r>
        <w:rPr>
          <w:sz w:val="24"/>
          <w:szCs w:val="24"/>
          <w:lang w:val="cs-CZ"/>
        </w:rPr>
        <w:t xml:space="preserve">. </w:t>
      </w:r>
      <w:r w:rsidRPr="00AF0F4F">
        <w:rPr>
          <w:sz w:val="24"/>
          <w:szCs w:val="24"/>
          <w:lang w:val="hu-HU"/>
        </w:rPr>
        <w:t xml:space="preserve">L 55, 28.2.2011, </w:t>
      </w:r>
      <w:r>
        <w:rPr>
          <w:sz w:val="24"/>
          <w:szCs w:val="24"/>
          <w:lang w:val="hu-HU"/>
        </w:rPr>
        <w:t>s</w:t>
      </w:r>
      <w:r w:rsidRPr="00AF0F4F">
        <w:rPr>
          <w:sz w:val="24"/>
          <w:szCs w:val="24"/>
          <w:lang w:val="hu-HU"/>
        </w:rPr>
        <w:t xml:space="preserve">. 13, ELI: </w:t>
      </w:r>
      <w:hyperlink r:id="rId2" w:tooltip="Gives access to this document through its ELI URI." w:history="1">
        <w:r w:rsidRPr="00AF0F4F">
          <w:rPr>
            <w:rStyle w:val="Hyperlink"/>
            <w:sz w:val="24"/>
            <w:szCs w:val="24"/>
            <w:lang w:val="fi-FI"/>
          </w:rPr>
          <w:t>http://data.europa.eu/eli/reg/2011/182/oj</w:t>
        </w:r>
      </w:hyperlink>
      <w:r w:rsidRPr="00AF0F4F">
        <w:rPr>
          <w:sz w:val="24"/>
          <w:szCs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0C798" w14:textId="77777777" w:rsidR="00064002" w:rsidRPr="004B616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73A0E" w14:textId="77777777" w:rsidR="00064002" w:rsidRPr="004B616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86714" w14:textId="77777777" w:rsidR="00064002" w:rsidRPr="004B616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78399869">
    <w:abstractNumId w:val="9"/>
  </w:num>
  <w:num w:numId="2" w16cid:durableId="1899591632">
    <w:abstractNumId w:val="9"/>
  </w:num>
  <w:num w:numId="3" w16cid:durableId="1140659029">
    <w:abstractNumId w:val="7"/>
  </w:num>
  <w:num w:numId="4" w16cid:durableId="1971546254">
    <w:abstractNumId w:val="7"/>
  </w:num>
  <w:num w:numId="5" w16cid:durableId="894202906">
    <w:abstractNumId w:val="6"/>
  </w:num>
  <w:num w:numId="6" w16cid:durableId="992638012">
    <w:abstractNumId w:val="6"/>
  </w:num>
  <w:num w:numId="7" w16cid:durableId="1755010186">
    <w:abstractNumId w:val="5"/>
  </w:num>
  <w:num w:numId="8" w16cid:durableId="1443576931">
    <w:abstractNumId w:val="5"/>
  </w:num>
  <w:num w:numId="9" w16cid:durableId="977999566">
    <w:abstractNumId w:val="4"/>
  </w:num>
  <w:num w:numId="10" w16cid:durableId="861169557">
    <w:abstractNumId w:val="4"/>
  </w:num>
  <w:num w:numId="11" w16cid:durableId="1631858318">
    <w:abstractNumId w:val="8"/>
  </w:num>
  <w:num w:numId="12" w16cid:durableId="348410886">
    <w:abstractNumId w:val="8"/>
  </w:num>
  <w:num w:numId="13" w16cid:durableId="576211955">
    <w:abstractNumId w:val="3"/>
  </w:num>
  <w:num w:numId="14" w16cid:durableId="1413701262">
    <w:abstractNumId w:val="3"/>
  </w:num>
  <w:num w:numId="15" w16cid:durableId="940382073">
    <w:abstractNumId w:val="2"/>
  </w:num>
  <w:num w:numId="16" w16cid:durableId="1872108874">
    <w:abstractNumId w:val="2"/>
  </w:num>
  <w:num w:numId="17" w16cid:durableId="1354308925">
    <w:abstractNumId w:val="1"/>
  </w:num>
  <w:num w:numId="18" w16cid:durableId="558051914">
    <w:abstractNumId w:val="1"/>
  </w:num>
  <w:num w:numId="19" w16cid:durableId="1237546317">
    <w:abstractNumId w:val="0"/>
  </w:num>
  <w:num w:numId="20" w16cid:durableId="165367044">
    <w:abstractNumId w:val="0"/>
  </w:num>
  <w:num w:numId="21" w16cid:durableId="1595552972">
    <w:abstractNumId w:val="9"/>
  </w:num>
  <w:num w:numId="22" w16cid:durableId="366562929">
    <w:abstractNumId w:val="7"/>
  </w:num>
  <w:num w:numId="23" w16cid:durableId="423843363">
    <w:abstractNumId w:val="6"/>
  </w:num>
  <w:num w:numId="24" w16cid:durableId="549995583">
    <w:abstractNumId w:val="5"/>
  </w:num>
  <w:num w:numId="25" w16cid:durableId="1078164258">
    <w:abstractNumId w:val="4"/>
  </w:num>
  <w:num w:numId="26" w16cid:durableId="1290085331">
    <w:abstractNumId w:val="8"/>
  </w:num>
  <w:num w:numId="27" w16cid:durableId="892620548">
    <w:abstractNumId w:val="3"/>
  </w:num>
  <w:num w:numId="28" w16cid:durableId="136999767">
    <w:abstractNumId w:val="2"/>
  </w:num>
  <w:num w:numId="29" w16cid:durableId="1997491851">
    <w:abstractNumId w:val="1"/>
  </w:num>
  <w:num w:numId="30" w16cid:durableId="765536761">
    <w:abstractNumId w:val="0"/>
  </w:num>
  <w:num w:numId="31" w16cid:durableId="947934317">
    <w:abstractNumId w:val="9"/>
  </w:num>
  <w:num w:numId="32" w16cid:durableId="904490817">
    <w:abstractNumId w:val="7"/>
  </w:num>
  <w:num w:numId="33" w16cid:durableId="1780177882">
    <w:abstractNumId w:val="6"/>
  </w:num>
  <w:num w:numId="34" w16cid:durableId="2081099086">
    <w:abstractNumId w:val="5"/>
  </w:num>
  <w:num w:numId="35" w16cid:durableId="376399482">
    <w:abstractNumId w:val="4"/>
  </w:num>
  <w:num w:numId="36" w16cid:durableId="352342192">
    <w:abstractNumId w:val="8"/>
  </w:num>
  <w:num w:numId="37" w16cid:durableId="787316419">
    <w:abstractNumId w:val="3"/>
  </w:num>
  <w:num w:numId="38" w16cid:durableId="564297368">
    <w:abstractNumId w:val="2"/>
  </w:num>
  <w:num w:numId="39" w16cid:durableId="1195849247">
    <w:abstractNumId w:val="1"/>
  </w:num>
  <w:num w:numId="40" w16cid:durableId="215554876">
    <w:abstractNumId w:val="0"/>
  </w:num>
  <w:num w:numId="41" w16cid:durableId="1017081571">
    <w:abstractNumId w:val="10"/>
  </w:num>
  <w:num w:numId="42" w16cid:durableId="829247944">
    <w:abstractNumId w:val="10"/>
  </w:num>
  <w:num w:numId="43" w16cid:durableId="1147165197">
    <w:abstractNumId w:val="10"/>
  </w:num>
  <w:num w:numId="44" w16cid:durableId="16350231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05/2025"/>
    <w:docVar w:name="dvlangue" w:val="CS"/>
    <w:docVar w:name="dvnumam" w:val="0"/>
    <w:docVar w:name="dvpe" w:val="779.716"/>
    <w:docVar w:name="dvtitre" w:val="Usnesení Evropského parlamentu ze dne 27. listopadu 2025 o návrhu prováděcího rozhodnutí Komise o financování ročního akčního plánu ve prospěch Sjednocené republiky Tanzanie na rok 2025(D110180/02 – 2025/2979(RSP))"/>
  </w:docVars>
  <w:rsids>
    <w:rsidRoot w:val="00011AA7"/>
    <w:rsid w:val="00002272"/>
    <w:rsid w:val="00011AA7"/>
    <w:rsid w:val="00064002"/>
    <w:rsid w:val="000677B9"/>
    <w:rsid w:val="000831BA"/>
    <w:rsid w:val="00084182"/>
    <w:rsid w:val="000A42CC"/>
    <w:rsid w:val="000E7DD9"/>
    <w:rsid w:val="0010095E"/>
    <w:rsid w:val="00125B37"/>
    <w:rsid w:val="00187494"/>
    <w:rsid w:val="001948C1"/>
    <w:rsid w:val="001F32AE"/>
    <w:rsid w:val="002767FF"/>
    <w:rsid w:val="00277FFD"/>
    <w:rsid w:val="002B18FE"/>
    <w:rsid w:val="002B5493"/>
    <w:rsid w:val="00343214"/>
    <w:rsid w:val="00361C00"/>
    <w:rsid w:val="00395FA1"/>
    <w:rsid w:val="003E15D4"/>
    <w:rsid w:val="0040455A"/>
    <w:rsid w:val="00411CCE"/>
    <w:rsid w:val="0041666E"/>
    <w:rsid w:val="00421060"/>
    <w:rsid w:val="00471C19"/>
    <w:rsid w:val="004738C2"/>
    <w:rsid w:val="004867E3"/>
    <w:rsid w:val="00494A28"/>
    <w:rsid w:val="004B6162"/>
    <w:rsid w:val="004C0004"/>
    <w:rsid w:val="004C5D52"/>
    <w:rsid w:val="0050519A"/>
    <w:rsid w:val="005072A1"/>
    <w:rsid w:val="00514517"/>
    <w:rsid w:val="00545827"/>
    <w:rsid w:val="005512EF"/>
    <w:rsid w:val="00560270"/>
    <w:rsid w:val="005C2568"/>
    <w:rsid w:val="005F1B17"/>
    <w:rsid w:val="006037C0"/>
    <w:rsid w:val="006631B6"/>
    <w:rsid w:val="00680577"/>
    <w:rsid w:val="006D0DE1"/>
    <w:rsid w:val="006F74FA"/>
    <w:rsid w:val="00731ADD"/>
    <w:rsid w:val="00734777"/>
    <w:rsid w:val="00747932"/>
    <w:rsid w:val="00751A4A"/>
    <w:rsid w:val="00756632"/>
    <w:rsid w:val="00762C74"/>
    <w:rsid w:val="00786EC0"/>
    <w:rsid w:val="007C0EE0"/>
    <w:rsid w:val="007D1690"/>
    <w:rsid w:val="007D1E1E"/>
    <w:rsid w:val="007E22AD"/>
    <w:rsid w:val="00817416"/>
    <w:rsid w:val="00842779"/>
    <w:rsid w:val="008478A4"/>
    <w:rsid w:val="00865F67"/>
    <w:rsid w:val="00881A7B"/>
    <w:rsid w:val="008840E5"/>
    <w:rsid w:val="00887B3E"/>
    <w:rsid w:val="008A793F"/>
    <w:rsid w:val="008C2AC6"/>
    <w:rsid w:val="008E29F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0AC1"/>
    <w:rsid w:val="00AB441E"/>
    <w:rsid w:val="00AB6293"/>
    <w:rsid w:val="00AE0928"/>
    <w:rsid w:val="00AF0F4F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6D67"/>
    <w:rsid w:val="00D834A0"/>
    <w:rsid w:val="00D872DF"/>
    <w:rsid w:val="00D91E21"/>
    <w:rsid w:val="00DA7FCD"/>
    <w:rsid w:val="00DC2F4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4CE5"/>
    <w:rsid w:val="00FB22E0"/>
    <w:rsid w:val="00FB4360"/>
    <w:rsid w:val="00FB589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0A025B"/>
  <w15:chartTrackingRefBased/>
  <w15:docId w15:val="{ABD1050A-D5AD-459B-820E-2CF42BF86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84182"/>
    <w:pPr>
      <w:spacing w:before="480" w:after="240"/>
    </w:pPr>
  </w:style>
  <w:style w:type="paragraph" w:customStyle="1" w:styleId="NormalHanging12a">
    <w:name w:val="NormalHanging12a"/>
    <w:basedOn w:val="Normal"/>
    <w:rsid w:val="00084182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08418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A4CE5"/>
    <w:rPr>
      <w:sz w:val="24"/>
      <w:lang w:val="cs-CZ"/>
    </w:rPr>
  </w:style>
  <w:style w:type="paragraph" w:customStyle="1" w:styleId="Visa">
    <w:name w:val="Visa"/>
    <w:basedOn w:val="Normal"/>
    <w:rsid w:val="008E29F9"/>
    <w:pPr>
      <w:tabs>
        <w:tab w:val="left" w:pos="357"/>
      </w:tabs>
      <w:spacing w:after="240"/>
      <w:ind w:left="357" w:hanging="357"/>
    </w:pPr>
    <w:rPr>
      <w:snapToGrid w:val="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21/94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901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2025-11-27T12:11:00Z</dcterms:created>
  <dcterms:modified xsi:type="dcterms:W3CDTF">2025-11-27T12:11:00Z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B10-0505/2025</vt:lpwstr>
  </property>
  <property fmtid="{D5CDD505-2E9C-101B-9397-08002B2CF9AE}" pid="4" name="&lt;Type&gt;">
    <vt:lpwstr>RR</vt:lpwstr>
  </property>
</Properties>
</file>