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54C3" w14:paraId="3B8BE1D5" w14:textId="77777777" w:rsidTr="0010095E">
        <w:trPr>
          <w:trHeight w:hRule="exact" w:val="1418"/>
        </w:trPr>
        <w:tc>
          <w:tcPr>
            <w:tcW w:w="6804" w:type="dxa"/>
            <w:shd w:val="clear" w:color="auto" w:fill="auto"/>
            <w:vAlign w:val="center"/>
          </w:tcPr>
          <w:p w14:paraId="289BB016" w14:textId="77777777" w:rsidR="00751A4A" w:rsidRPr="00F954C3" w:rsidRDefault="00007179" w:rsidP="0010095E">
            <w:pPr>
              <w:pStyle w:val="EPName"/>
            </w:pPr>
            <w:r w:rsidRPr="00F954C3">
              <w:t>Europa-Parlamentet</w:t>
            </w:r>
          </w:p>
          <w:p w14:paraId="77BF1348" w14:textId="77777777" w:rsidR="00751A4A" w:rsidRPr="00F954C3" w:rsidRDefault="005F1B17" w:rsidP="005F1B17">
            <w:pPr>
              <w:pStyle w:val="EPTerm"/>
              <w:rPr>
                <w:rStyle w:val="HideTWBExt"/>
                <w:noProof w:val="0"/>
                <w:vanish w:val="0"/>
                <w:color w:val="auto"/>
              </w:rPr>
            </w:pPr>
            <w:r w:rsidRPr="00F954C3">
              <w:t>2024</w:t>
            </w:r>
            <w:r w:rsidR="00817416" w:rsidRPr="00F954C3">
              <w:t>-202</w:t>
            </w:r>
            <w:r w:rsidRPr="00F954C3">
              <w:t>9</w:t>
            </w:r>
          </w:p>
        </w:tc>
        <w:tc>
          <w:tcPr>
            <w:tcW w:w="2268" w:type="dxa"/>
            <w:shd w:val="clear" w:color="auto" w:fill="auto"/>
          </w:tcPr>
          <w:p w14:paraId="7853A272" w14:textId="77777777" w:rsidR="00751A4A" w:rsidRPr="00F954C3" w:rsidRDefault="00187494" w:rsidP="0010095E">
            <w:pPr>
              <w:pStyle w:val="EPLogo"/>
            </w:pPr>
            <w:r w:rsidRPr="00F954C3">
              <w:rPr>
                <w:noProof/>
                <w:lang w:eastAsia="ja-JP"/>
              </w:rPr>
              <w:drawing>
                <wp:inline distT="0" distB="0" distL="0" distR="0" wp14:anchorId="528FB8CD" wp14:editId="6EB172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6369F2" w14:textId="77777777" w:rsidR="00D058B8" w:rsidRPr="00F954C3" w:rsidRDefault="00D058B8" w:rsidP="004C5D52">
      <w:pPr>
        <w:pStyle w:val="LineTop"/>
      </w:pPr>
    </w:p>
    <w:p w14:paraId="00E419EC" w14:textId="77777777" w:rsidR="00680577" w:rsidRPr="00F954C3" w:rsidRDefault="00007179" w:rsidP="00680577">
      <w:pPr>
        <w:pStyle w:val="EPBodyTA1"/>
      </w:pPr>
      <w:r w:rsidRPr="00F954C3">
        <w:t>VEDTAGNE TEKSTER</w:t>
      </w:r>
    </w:p>
    <w:p w14:paraId="49C31E45" w14:textId="77777777" w:rsidR="00D058B8" w:rsidRPr="00F954C3" w:rsidRDefault="00D058B8" w:rsidP="00D058B8">
      <w:pPr>
        <w:pStyle w:val="LineBottom"/>
      </w:pPr>
    </w:p>
    <w:p w14:paraId="5D6D135F" w14:textId="34EBDC06" w:rsidR="00007179" w:rsidRPr="00F954C3" w:rsidRDefault="00007179" w:rsidP="00007179">
      <w:pPr>
        <w:pStyle w:val="ATHeading1"/>
      </w:pPr>
      <w:bookmarkStart w:id="0" w:name="TANumber"/>
      <w:r w:rsidRPr="00F954C3">
        <w:t>P10_TA(2025)0</w:t>
      </w:r>
      <w:bookmarkEnd w:id="0"/>
      <w:r w:rsidR="00565229">
        <w:t>314</w:t>
      </w:r>
    </w:p>
    <w:p w14:paraId="3C8CFB8E" w14:textId="2BDBA6EE" w:rsidR="00007179" w:rsidRPr="00F954C3" w:rsidRDefault="005104BF" w:rsidP="00007179">
      <w:pPr>
        <w:pStyle w:val="ATHeading2"/>
      </w:pPr>
      <w:r>
        <w:t>F</w:t>
      </w:r>
      <w:r w:rsidRPr="00F954C3">
        <w:t xml:space="preserve">inansiering </w:t>
      </w:r>
      <w:r w:rsidRPr="005104BF">
        <w:t xml:space="preserve">af </w:t>
      </w:r>
      <w:r>
        <w:t>2025-</w:t>
      </w:r>
      <w:r w:rsidRPr="005104BF">
        <w:t>handlingsplanen for Tanzania</w:t>
      </w:r>
    </w:p>
    <w:p w14:paraId="079B3A7A" w14:textId="77777777" w:rsidR="00007179" w:rsidRPr="00F954C3" w:rsidRDefault="00007179" w:rsidP="00007179">
      <w:pPr>
        <w:rPr>
          <w:i/>
          <w:vanish/>
        </w:rPr>
      </w:pPr>
      <w:r w:rsidRPr="00F954C3">
        <w:rPr>
          <w:i/>
        </w:rPr>
        <w:fldChar w:fldCharType="begin"/>
      </w:r>
      <w:r w:rsidRPr="00F954C3">
        <w:rPr>
          <w:i/>
        </w:rPr>
        <w:instrText xml:space="preserve"> TC"(</w:instrText>
      </w:r>
      <w:bookmarkStart w:id="1" w:name="DocNumber"/>
      <w:r w:rsidRPr="00F954C3">
        <w:rPr>
          <w:i/>
        </w:rPr>
        <w:instrText>B10-0505/2025</w:instrText>
      </w:r>
      <w:bookmarkEnd w:id="1"/>
      <w:r w:rsidRPr="00F954C3">
        <w:rPr>
          <w:i/>
        </w:rPr>
        <w:instrText xml:space="preserve">)"\l3 \n&gt; \* MERGEFORMAT </w:instrText>
      </w:r>
      <w:r w:rsidRPr="00F954C3">
        <w:rPr>
          <w:i/>
        </w:rPr>
        <w:fldChar w:fldCharType="end"/>
      </w:r>
    </w:p>
    <w:p w14:paraId="691EFD29" w14:textId="77777777" w:rsidR="00007179" w:rsidRPr="00F954C3" w:rsidRDefault="00007179" w:rsidP="00007179">
      <w:pPr>
        <w:rPr>
          <w:vanish/>
        </w:rPr>
      </w:pPr>
      <w:bookmarkStart w:id="2" w:name="PE"/>
      <w:r w:rsidRPr="00F954C3">
        <w:rPr>
          <w:vanish/>
        </w:rPr>
        <w:t>PE779.716</w:t>
      </w:r>
      <w:bookmarkEnd w:id="2"/>
    </w:p>
    <w:p w14:paraId="64E2F97D" w14:textId="083C070C" w:rsidR="00007179" w:rsidRPr="00F954C3" w:rsidRDefault="00007179" w:rsidP="00007179">
      <w:pPr>
        <w:pStyle w:val="ATHeading3"/>
      </w:pPr>
      <w:bookmarkStart w:id="3" w:name="Sujet"/>
      <w:r w:rsidRPr="00F954C3">
        <w:t xml:space="preserve">Europa-Parlamentets beslutning af </w:t>
      </w:r>
      <w:r w:rsidR="005104BF">
        <w:t>27. november</w:t>
      </w:r>
      <w:r w:rsidRPr="00F954C3">
        <w:t xml:space="preserve"> 2025 om udkast til Kommissionens gennemførelsesafgørelse om finansieringen af den årlige handlingsplan til fordel for Den Forenede Republik Tanzania for 2025</w:t>
      </w:r>
      <w:bookmarkEnd w:id="3"/>
      <w:r w:rsidRPr="00F954C3">
        <w:t xml:space="preserve"> </w:t>
      </w:r>
      <w:bookmarkStart w:id="4" w:name="References"/>
      <w:r w:rsidRPr="00F954C3">
        <w:t>(D110180/02 – 2025/2979(RSP))</w:t>
      </w:r>
      <w:bookmarkEnd w:id="4"/>
    </w:p>
    <w:p w14:paraId="60657BDC" w14:textId="77777777" w:rsidR="00A362E0" w:rsidRPr="00F954C3" w:rsidRDefault="00A362E0" w:rsidP="00A362E0">
      <w:pPr>
        <w:pStyle w:val="EPComma"/>
      </w:pPr>
      <w:bookmarkStart w:id="5" w:name="TextBodyBegin"/>
      <w:bookmarkEnd w:id="5"/>
      <w:r w:rsidRPr="00F954C3">
        <w:rPr>
          <w:i/>
          <w:iCs/>
        </w:rPr>
        <w:t>Europa-Parlamentet</w:t>
      </w:r>
      <w:r w:rsidRPr="00F954C3">
        <w:t>,</w:t>
      </w:r>
    </w:p>
    <w:p w14:paraId="304D7DC4" w14:textId="476334D1" w:rsidR="00A362E0" w:rsidRPr="00F954C3" w:rsidRDefault="00A362E0" w:rsidP="00A362E0">
      <w:pPr>
        <w:pStyle w:val="NormalHanging12a"/>
      </w:pPr>
      <w:r w:rsidRPr="00F954C3">
        <w:t>–</w:t>
      </w:r>
      <w:r w:rsidRPr="00F954C3">
        <w:tab/>
        <w:t>der henviser til udkast til Kommissionens gennemførelsesafgørelse om finansieringen af den årlige handlingsplan til fordel for Den Forenede Republik Tanzania for 2025</w:t>
      </w:r>
      <w:r w:rsidR="009E4CE9">
        <w:t xml:space="preserve"> </w:t>
      </w:r>
      <w:r w:rsidR="009E4CE9" w:rsidRPr="009004A8">
        <w:t>(D110180/02)</w:t>
      </w:r>
      <w:r w:rsidR="009E4CE9">
        <w:t>,</w:t>
      </w:r>
    </w:p>
    <w:p w14:paraId="27DE8FB0" w14:textId="0EB5DE82" w:rsidR="00A362E0" w:rsidRDefault="00A362E0" w:rsidP="00A362E0">
      <w:pPr>
        <w:pStyle w:val="NormalHanging12a"/>
      </w:pPr>
      <w:r w:rsidRPr="00F954C3">
        <w:t>–</w:t>
      </w:r>
      <w:r w:rsidRPr="00F954C3">
        <w:tab/>
        <w:t>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Euratom) nr. 480/2009</w:t>
      </w:r>
      <w:r w:rsidR="007C1C88">
        <w:rPr>
          <w:rStyle w:val="FootnoteReference"/>
        </w:rPr>
        <w:footnoteReference w:id="1"/>
      </w:r>
      <w:r w:rsidRPr="00F954C3">
        <w:t xml:space="preserve"> (forordningen om NDICI – et globalt Europa),</w:t>
      </w:r>
      <w:r w:rsidR="00AE59DB">
        <w:t xml:space="preserve"> og </w:t>
      </w:r>
      <w:r w:rsidR="00AE59DB" w:rsidRPr="00AE59DB">
        <w:t>særlig artikel 25</w:t>
      </w:r>
      <w:r w:rsidR="00AE59DB">
        <w:t>,</w:t>
      </w:r>
    </w:p>
    <w:p w14:paraId="39DFCC2F" w14:textId="0E16AEAE" w:rsidR="00AE59DB" w:rsidRDefault="00AE59DB" w:rsidP="00AE59DB">
      <w:pPr>
        <w:pStyle w:val="NormalHanging12a"/>
      </w:pPr>
      <w:r w:rsidRPr="00F954C3">
        <w:t>–</w:t>
      </w:r>
      <w:r w:rsidRPr="00F954C3">
        <w:tab/>
      </w:r>
      <w:r>
        <w:t xml:space="preserve">der henviser til udtalelse af </w:t>
      </w:r>
      <w:r w:rsidRPr="00AE59DB">
        <w:t>22. oktober 2025</w:t>
      </w:r>
      <w:r>
        <w:t xml:space="preserve"> fra det udvalg, der er nedsat ved artikel 45 i </w:t>
      </w:r>
      <w:r w:rsidRPr="00AE59DB">
        <w:t>forordning (EU) 2021/947</w:t>
      </w:r>
      <w:r>
        <w:t>,</w:t>
      </w:r>
    </w:p>
    <w:p w14:paraId="7CDCE032" w14:textId="340C03B8" w:rsidR="007C1C88" w:rsidRPr="00F954C3" w:rsidRDefault="007C1C88" w:rsidP="00AE59DB">
      <w:pPr>
        <w:pStyle w:val="NormalHanging12a"/>
      </w:pPr>
      <w:r w:rsidRPr="00F954C3">
        <w:t>–</w:t>
      </w:r>
      <w:r w:rsidRPr="00F954C3">
        <w:tab/>
      </w:r>
      <w:r>
        <w:t xml:space="preserve">der henviser til artikel 11 i Europa-Parlamentets og Rådets forordning </w:t>
      </w:r>
      <w:bookmarkStart w:id="6" w:name="_Hlk335642125"/>
      <w:r>
        <w:t>(EU) nr. 182/2011</w:t>
      </w:r>
      <w:bookmarkEnd w:id="6"/>
      <w:r>
        <w:t xml:space="preserve"> af 16. februar 2011 om de generelle regler og principper for, hvordan medlemsstaterne skal kontrollere Kommissionens udøvelse af gennemførelsesbeføjelser</w:t>
      </w:r>
      <w:r>
        <w:rPr>
          <w:rStyle w:val="FootnoteReference"/>
        </w:rPr>
        <w:footnoteReference w:id="2"/>
      </w:r>
      <w:r>
        <w:t>,</w:t>
      </w:r>
    </w:p>
    <w:p w14:paraId="15158F4D" w14:textId="77777777" w:rsidR="00A362E0" w:rsidRPr="00F954C3" w:rsidRDefault="00A362E0" w:rsidP="00A362E0">
      <w:pPr>
        <w:pStyle w:val="NormalHanging12a"/>
      </w:pPr>
      <w:r w:rsidRPr="00F954C3">
        <w:t>–</w:t>
      </w:r>
      <w:r w:rsidRPr="00F954C3">
        <w:tab/>
        <w:t>der henviser til Europa-Parlamentets beslutning af 8. maj 2025 om fængsling og risiko for henrettelse af Tundu Lissu, leder af Chadema, det største oppositionsparti i Tanzania,</w:t>
      </w:r>
    </w:p>
    <w:p w14:paraId="77273C22" w14:textId="77777777" w:rsidR="00A362E0" w:rsidRDefault="00A362E0" w:rsidP="00A362E0">
      <w:pPr>
        <w:pStyle w:val="NormalHanging12a"/>
      </w:pPr>
      <w:r w:rsidRPr="00F954C3">
        <w:t>–</w:t>
      </w:r>
      <w:r w:rsidRPr="00F954C3">
        <w:tab/>
        <w:t>der henviser til forretningsordenens artikel 115, stk. 2 og 3,</w:t>
      </w:r>
    </w:p>
    <w:p w14:paraId="2BCA46C0" w14:textId="30FEEF1D" w:rsidR="007C1C88" w:rsidRPr="00F954C3" w:rsidRDefault="007C1C88" w:rsidP="00A362E0">
      <w:pPr>
        <w:pStyle w:val="NormalHanging12a"/>
      </w:pPr>
      <w:r w:rsidRPr="00F954C3">
        <w:t>–</w:t>
      </w:r>
      <w:r w:rsidRPr="00F954C3">
        <w:tab/>
      </w:r>
      <w:r>
        <w:t xml:space="preserve">der henviser til de fælles drøftelser mellem </w:t>
      </w:r>
      <w:r w:rsidRPr="00F3430D">
        <w:t>Udenrigsudvalget</w:t>
      </w:r>
      <w:r>
        <w:t xml:space="preserve"> og </w:t>
      </w:r>
      <w:r w:rsidRPr="00F3430D">
        <w:t>Udviklingsudvalget</w:t>
      </w:r>
      <w:r>
        <w:t xml:space="preserve">, jf. </w:t>
      </w:r>
      <w:r>
        <w:lastRenderedPageBreak/>
        <w:t>forretningsordenens artikel 59,</w:t>
      </w:r>
    </w:p>
    <w:p w14:paraId="373AE946" w14:textId="77777777" w:rsidR="00A362E0" w:rsidRPr="00F954C3" w:rsidRDefault="00A362E0" w:rsidP="00A362E0">
      <w:pPr>
        <w:pStyle w:val="NormalHanging12a"/>
      </w:pPr>
      <w:r w:rsidRPr="00F954C3">
        <w:t>–</w:t>
      </w:r>
      <w:r w:rsidRPr="00F954C3">
        <w:tab/>
        <w:t>der henviser til forslag til beslutning fra Udenrigsudvalget og Udviklingsudvalget,</w:t>
      </w:r>
    </w:p>
    <w:p w14:paraId="28EA98FE" w14:textId="30A88BB4" w:rsidR="00516D4B" w:rsidRPr="00F954C3" w:rsidRDefault="00A362E0" w:rsidP="00516D4B">
      <w:pPr>
        <w:pStyle w:val="NormalHanging12a"/>
      </w:pPr>
      <w:r w:rsidRPr="00F954C3">
        <w:t>A.</w:t>
      </w:r>
      <w:r w:rsidRPr="00F954C3">
        <w:tab/>
        <w:t xml:space="preserve">der henviser til, at </w:t>
      </w:r>
      <w:r w:rsidR="00516D4B" w:rsidRPr="00516D4B">
        <w:t>udkastet til Kommissionens gennemførelsesafgørelse</w:t>
      </w:r>
      <w:r w:rsidRPr="00F954C3">
        <w:t xml:space="preserve"> blev forelagt for udvalget for instrumentet for naboskab, udviklingssamarbejde og internationalt samarbejde den 22. oktober</w:t>
      </w:r>
      <w:r w:rsidR="00516D4B">
        <w:t xml:space="preserve"> 2025</w:t>
      </w:r>
      <w:r w:rsidRPr="00F954C3">
        <w:t>,</w:t>
      </w:r>
    </w:p>
    <w:p w14:paraId="1D1AA539" w14:textId="06A14140" w:rsidR="00A362E0" w:rsidRPr="00F954C3" w:rsidRDefault="00A362E0" w:rsidP="00A362E0">
      <w:pPr>
        <w:pStyle w:val="NormalHanging12a"/>
      </w:pPr>
      <w:r w:rsidRPr="00F954C3">
        <w:t>B.</w:t>
      </w:r>
      <w:r w:rsidRPr="00F954C3">
        <w:tab/>
        <w:t xml:space="preserve">der henviser til, at </w:t>
      </w:r>
      <w:r w:rsidR="00484809" w:rsidRPr="00516D4B">
        <w:t>udkastet til Kommissionens gennemførelsesafgørelse</w:t>
      </w:r>
      <w:r w:rsidR="00484809" w:rsidRPr="00F954C3">
        <w:t xml:space="preserve"> </w:t>
      </w:r>
      <w:r w:rsidRPr="00F954C3">
        <w:t>viser Kommissionens</w:t>
      </w:r>
      <w:r w:rsidR="00484809">
        <w:t xml:space="preserve"> </w:t>
      </w:r>
      <w:r w:rsidRPr="00F954C3">
        <w:t>fejlagtige tilgang, da den ikke fuldt ud afspejler de mangler i spørgsmål om demokrati og menneskerettigheder i Tanzania i de seneste år, navnlig siden det manipulerede valg i oktober 2025, hvor regeringen i kølvandet herpå har slået hårdt ned på protester, hvilket har medført mere end 400 dødsfald, og at hundredvis af mennesker er blevet anklaget for forræderi;</w:t>
      </w:r>
    </w:p>
    <w:p w14:paraId="224132EE" w14:textId="77777777" w:rsidR="00A362E0" w:rsidRPr="00F954C3" w:rsidRDefault="00A362E0" w:rsidP="00A362E0">
      <w:pPr>
        <w:pStyle w:val="NormalHanging12a"/>
      </w:pPr>
      <w:r w:rsidRPr="00F954C3">
        <w:t>C.</w:t>
      </w:r>
      <w:r w:rsidRPr="00F954C3">
        <w:tab/>
        <w:t>der henviser til, at Den Afrikanske Unions valgobservationsmission i stærke vendinger har kritiseret gennemførelsen af præsidentvalget i Tanzania, hvor den siddende præsident blev valgt med tilsyneladende 98 % af stemmerne; der henviser til, at Tanzanias regering, i modsætning til ved valget i 2015, ikke indbød en europæisk valgobservatørmission til valget;</w:t>
      </w:r>
    </w:p>
    <w:p w14:paraId="3A4BA948" w14:textId="77777777" w:rsidR="00A362E0" w:rsidRPr="00F954C3" w:rsidRDefault="00A362E0" w:rsidP="00A362E0">
      <w:pPr>
        <w:pStyle w:val="NormalHanging12a"/>
      </w:pPr>
      <w:r w:rsidRPr="00F954C3">
        <w:t>D.</w:t>
      </w:r>
      <w:r w:rsidRPr="00F954C3">
        <w:tab/>
        <w:t>der henviser til, at Unionens højtstående repræsentant for udenrigsanliggender og sikkerhedspolitik/ næstformand for Kommissionen, Kaja Kallas, på vegne af den Europæiske Union udtrykte alvorlig bekymring over de voldelige begivenheder, som har fundet sted i Tanzania efter valget, og bemærkede, at "[m]anglen på lige vilkår i perioden forud for valget var præget af meldinger om bortførelser og forsvindinger og vold, der indskrænkede det civile og demokratiske rum";</w:t>
      </w:r>
    </w:p>
    <w:p w14:paraId="03A9FA50" w14:textId="77777777" w:rsidR="00A362E0" w:rsidRPr="00F954C3" w:rsidRDefault="00A362E0" w:rsidP="00A362E0">
      <w:pPr>
        <w:pStyle w:val="NormalHanging12a"/>
      </w:pPr>
      <w:r w:rsidRPr="00F954C3">
        <w:t>E.</w:t>
      </w:r>
      <w:r w:rsidRPr="00F954C3">
        <w:tab/>
        <w:t>der henviser til, at Tundu Lissu, leder af Chadema, Tanzanias største oppositionsparti, blev arresteret den 9. april 2025 og senere anklaget for forræderi og tre lovovertrædelser i form af offentliggørelse af falske oplysninger i henhold til lovgivningen om cyberkriminalitet; der henviser til, at forræderi i Tanzania potentielt kan straffes med døden; der henviser til, at EU utvetydigt er imod dødsstraf under alle omstændigheder; der henviser til, at Chadema kort efter anholdelsen af Lissu blev udelukket fra præsident- og parlamentsvalget i oktober 2025 på grundlag af partiets afvisning af at underskrive en valgadfærdskodeks, og at kandidaten fra det næststørste oppositionsparti, "Alliance for Change and Transparency" (Alliancen for forandring og gennemsigtighed, ACT-Wazalendo), Luhaga Mpina, også blev også forhindret i at stille op;</w:t>
      </w:r>
    </w:p>
    <w:p w14:paraId="2AF489A8" w14:textId="78988521" w:rsidR="00A362E0" w:rsidRPr="00F954C3" w:rsidRDefault="00A362E0" w:rsidP="00A362E0">
      <w:pPr>
        <w:pStyle w:val="NormalHanging12a"/>
      </w:pPr>
      <w:r w:rsidRPr="00F954C3">
        <w:t>F.</w:t>
      </w:r>
      <w:r w:rsidRPr="00F954C3">
        <w:tab/>
        <w:t>der henviser til, at Tanzanias regering ikke har opfyldt nogen af de krav, som Europa-Parlamentet foreslog i sin beslutning af 8. maj</w:t>
      </w:r>
      <w:r w:rsidR="00484809">
        <w:t xml:space="preserve"> 2025</w:t>
      </w:r>
      <w:r w:rsidRPr="00F954C3">
        <w:t>, herunder bl.a. opfordringen til den omgående og betingelsesløse løsladelse af Lissu, gennemførelsen af reformen af retsvæsenet, forbedring af menneskerettighedssituationen og indføring af valgreformer.</w:t>
      </w:r>
    </w:p>
    <w:p w14:paraId="0251CD86" w14:textId="77777777" w:rsidR="00A362E0" w:rsidRPr="00F954C3" w:rsidRDefault="00A362E0" w:rsidP="00A362E0">
      <w:pPr>
        <w:pStyle w:val="NormalHanging12a"/>
      </w:pPr>
      <w:r w:rsidRPr="00F954C3">
        <w:t>G.</w:t>
      </w:r>
      <w:r w:rsidRPr="00F954C3">
        <w:tab/>
        <w:t xml:space="preserve">der henviser til Tanzanias tilbageskridt i dets tilsagn om at fremme fælles værdier, principper og interesser, navnlig med hensyn til menneskerettigheder, grundlæggende frihedsrettigheder, demokrati, retsstatsprincippet, god forvaltning og åbent civilt råderum, samt dets eskalerende undertrykkelse, vilkårlige anholdelser, vold, angreb og chikane mod oppositionsmedlemmer, menneskerettighedsforkæmpere, oprindelige folk, LGBTIQ+-aktivister, journalister og civilsamfundsorganisationer, er i strid med </w:t>
      </w:r>
      <w:r w:rsidRPr="00F954C3">
        <w:lastRenderedPageBreak/>
        <w:t>programmeringsprincipperne for geografiske programmer inden for rammerne af forordningen om NDICI – et globalt Europa; der henviser til, at krisen efter valget i Tanzania udgør en umiddelbar trussel mod demokrati, retsstatsprincippet, menneskerettigheder og grundlæggende frihedsrettigheder i landet; der henviser til, at enhver planlægnings- og programmeringsbeslutning, som ikke tager hensyn til disse aspekter, gør gennemførelsesretsakter, som besluttes under sådanne omstændigheder, ugyldige;</w:t>
      </w:r>
    </w:p>
    <w:p w14:paraId="174638D7" w14:textId="77777777" w:rsidR="00A362E0" w:rsidRPr="00F954C3" w:rsidRDefault="00A362E0" w:rsidP="00A362E0">
      <w:pPr>
        <w:pStyle w:val="NormalHanging12a"/>
      </w:pPr>
      <w:r w:rsidRPr="00F954C3">
        <w:t>H.</w:t>
      </w:r>
      <w:r w:rsidRPr="00F954C3">
        <w:tab/>
        <w:t>der henviser til, at EU i høj grad støtter Tanzanias digitale omstilling gennem investeringer i infrastruktur for 4G- og fibernetværk, e-forvaltning, digitale færdigheder og udvikling af den private sektor, der alt sammen har til formål at udvide adgangen til information og fremme en åben digitaløkonomi; der henviser til, at Tanzanias myndigheder har handlet i modstrid med disse mål ved at indføre nedlukninger af internettet både forud for valget og igen under urolighederne efter valget, som er foranstaltninger, der undergraver den demokratisk deltagelse og risikerer at bringe EU-støttet digital infrastruktur i fare;</w:t>
      </w:r>
    </w:p>
    <w:p w14:paraId="7BFF5B8F" w14:textId="3145BC40" w:rsidR="00A362E0" w:rsidRPr="00F954C3" w:rsidRDefault="00A362E0" w:rsidP="00A362E0">
      <w:pPr>
        <w:pStyle w:val="NormalHanging12a"/>
      </w:pPr>
      <w:r w:rsidRPr="00F954C3">
        <w:t>1.</w:t>
      </w:r>
      <w:r w:rsidRPr="00F954C3">
        <w:tab/>
        <w:t>mener, at udkastet til Kommissionens gennemførelsesafgørelse indebærer en overskridelse af de gennemførelsesbeføjelser, der er fastsat i forordning (</w:t>
      </w:r>
      <w:r w:rsidR="009E4CE9">
        <w:t>EU</w:t>
      </w:r>
      <w:r w:rsidRPr="00F954C3">
        <w:t>) 2021/947;</w:t>
      </w:r>
    </w:p>
    <w:p w14:paraId="0E686A6C" w14:textId="7AB828EA" w:rsidR="00A362E0" w:rsidRPr="00F954C3" w:rsidRDefault="00A362E0" w:rsidP="00A362E0">
      <w:pPr>
        <w:pStyle w:val="NormalHanging12a"/>
      </w:pPr>
      <w:r w:rsidRPr="00F954C3">
        <w:t>2.</w:t>
      </w:r>
      <w:r w:rsidRPr="00F954C3">
        <w:tab/>
        <w:t>mener, at udkastet til Kommissionens gennemførelsesafgørelse ikke er i overensstemmelse med EU-retten, fordi det er i modstrid med formålet med forordning (</w:t>
      </w:r>
      <w:r w:rsidR="009E4CE9">
        <w:t>EU</w:t>
      </w:r>
      <w:r w:rsidRPr="00F954C3">
        <w:t>) 2021/947;</w:t>
      </w:r>
    </w:p>
    <w:p w14:paraId="56C7733F" w14:textId="77777777" w:rsidR="00A362E0" w:rsidRPr="00F954C3" w:rsidRDefault="00A362E0" w:rsidP="00A362E0">
      <w:pPr>
        <w:pStyle w:val="NormalHanging12a"/>
      </w:pPr>
      <w:r w:rsidRPr="00F954C3">
        <w:t>3.</w:t>
      </w:r>
      <w:r w:rsidRPr="00F954C3">
        <w:tab/>
        <w:t>glæder sig over, at Kommissionen suspenderede processen med vedtagelse af udkastet til gennemførelsesafgørelse efter at være blevet underrettet om Parlamentets bekymringer;</w:t>
      </w:r>
    </w:p>
    <w:p w14:paraId="3C9D12B3" w14:textId="45E2E1C8" w:rsidR="00A362E0" w:rsidRPr="00F954C3" w:rsidRDefault="00A362E0" w:rsidP="00A362E0">
      <w:pPr>
        <w:pStyle w:val="NormalHanging12a"/>
      </w:pPr>
      <w:r w:rsidRPr="00F954C3">
        <w:t>4.</w:t>
      </w:r>
      <w:r w:rsidRPr="00F954C3">
        <w:tab/>
        <w:t xml:space="preserve">anmoder Kommissionen om at trække udkastet til gennemførelsesafgørelse tilbage og at forelægge et nyt </w:t>
      </w:r>
      <w:r w:rsidR="009E4CE9">
        <w:t>udkast til udvalget</w:t>
      </w:r>
      <w:r w:rsidRPr="00F954C3">
        <w:t>, der tager hensyn til disse bekymringer, samtidig med at det sikres, at enhver ny ændring ikke får en ugunstig indvirkning på den finansiering, som går til støtte af NGO'er og civilsamfund.</w:t>
      </w:r>
    </w:p>
    <w:p w14:paraId="7140E27A" w14:textId="21303812" w:rsidR="00E365E1" w:rsidRPr="00F954C3" w:rsidRDefault="00A362E0" w:rsidP="005104BF">
      <w:pPr>
        <w:pStyle w:val="NormalHanging12a"/>
      </w:pPr>
      <w:r w:rsidRPr="00F954C3">
        <w:t>5.</w:t>
      </w:r>
      <w:r w:rsidRPr="00F954C3">
        <w:tab/>
        <w:t>pålægger sin formand at sende denne beslutning til Rådet og Kommissionen samt til medlemsstaternes regeringer og parlamenter.</w:t>
      </w:r>
    </w:p>
    <w:sectPr w:rsidR="00E365E1" w:rsidRPr="00F954C3" w:rsidSect="00F954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EFA6F" w14:textId="77777777" w:rsidR="00007179" w:rsidRPr="00F954C3" w:rsidRDefault="00007179">
      <w:r w:rsidRPr="00F954C3">
        <w:separator/>
      </w:r>
    </w:p>
  </w:endnote>
  <w:endnote w:type="continuationSeparator" w:id="0">
    <w:p w14:paraId="7999474E" w14:textId="77777777" w:rsidR="00007179" w:rsidRPr="00F954C3" w:rsidRDefault="00007179">
      <w:r w:rsidRPr="00F954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FAFF" w14:textId="77777777" w:rsidR="00064002" w:rsidRPr="00F954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2F2A5" w14:textId="77777777" w:rsidR="00064002" w:rsidRPr="00F954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126FF" w14:textId="77777777" w:rsidR="00064002" w:rsidRPr="00F954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5EE19" w14:textId="77777777" w:rsidR="00007179" w:rsidRPr="00F954C3" w:rsidRDefault="00007179">
      <w:r w:rsidRPr="00F954C3">
        <w:separator/>
      </w:r>
    </w:p>
  </w:footnote>
  <w:footnote w:type="continuationSeparator" w:id="0">
    <w:p w14:paraId="118B7721" w14:textId="77777777" w:rsidR="00007179" w:rsidRPr="00F954C3" w:rsidRDefault="00007179">
      <w:r w:rsidRPr="00F954C3">
        <w:continuationSeparator/>
      </w:r>
    </w:p>
  </w:footnote>
  <w:footnote w:id="1">
    <w:p w14:paraId="77A7103A" w14:textId="3C70F319" w:rsidR="007C1C88" w:rsidRPr="00346FC9" w:rsidRDefault="007C1C88" w:rsidP="00346FC9">
      <w:pPr>
        <w:pStyle w:val="FootnoteText"/>
        <w:ind w:left="567" w:hanging="567"/>
        <w:rPr>
          <w:sz w:val="24"/>
          <w:szCs w:val="24"/>
          <w:lang w:val="da-DK"/>
        </w:rPr>
      </w:pPr>
      <w:r w:rsidRPr="00346FC9">
        <w:rPr>
          <w:rStyle w:val="FootnoteReference"/>
          <w:sz w:val="24"/>
          <w:szCs w:val="24"/>
        </w:rPr>
        <w:footnoteRef/>
      </w:r>
      <w:r w:rsidRPr="00346FC9">
        <w:rPr>
          <w:sz w:val="24"/>
          <w:szCs w:val="24"/>
          <w:lang w:val="da-DK"/>
        </w:rPr>
        <w:t xml:space="preserve"> </w:t>
      </w:r>
      <w:r w:rsidRPr="00346FC9">
        <w:rPr>
          <w:sz w:val="24"/>
          <w:szCs w:val="24"/>
          <w:lang w:val="da-DK"/>
        </w:rPr>
        <w:tab/>
      </w:r>
      <w:r w:rsidRPr="007C1C88">
        <w:rPr>
          <w:sz w:val="24"/>
          <w:szCs w:val="24"/>
          <w:lang w:val="da-DK"/>
        </w:rPr>
        <w:t xml:space="preserve">EUT L 209 af 14.6.2021, s. 1, ELI: </w:t>
      </w:r>
      <w:hyperlink r:id="rId1" w:tgtFrame="http://data.europa.eu/eli/reg/2021/947/oj" w:history="1">
        <w:r w:rsidRPr="007C1C88">
          <w:rPr>
            <w:rStyle w:val="Hyperlink"/>
            <w:sz w:val="24"/>
            <w:szCs w:val="24"/>
            <w:lang w:val="da-DK"/>
          </w:rPr>
          <w:t>http://data.europa.eu/eli/reg/2021/947/oj</w:t>
        </w:r>
      </w:hyperlink>
      <w:r>
        <w:rPr>
          <w:rStyle w:val="Hyperlink"/>
          <w:sz w:val="24"/>
          <w:szCs w:val="24"/>
          <w:lang w:val="da-DK"/>
        </w:rPr>
        <w:t>.</w:t>
      </w:r>
    </w:p>
  </w:footnote>
  <w:footnote w:id="2">
    <w:p w14:paraId="7C8C54B3" w14:textId="45B2A079" w:rsidR="007C1C88" w:rsidRPr="00346FC9" w:rsidRDefault="007C1C88" w:rsidP="00346FC9">
      <w:pPr>
        <w:pStyle w:val="FootnoteText"/>
        <w:ind w:left="567" w:hanging="567"/>
        <w:rPr>
          <w:sz w:val="24"/>
          <w:szCs w:val="24"/>
          <w:lang w:val="da-DK"/>
        </w:rPr>
      </w:pPr>
      <w:r w:rsidRPr="00346FC9">
        <w:rPr>
          <w:rStyle w:val="FootnoteReference"/>
          <w:sz w:val="24"/>
          <w:szCs w:val="24"/>
        </w:rPr>
        <w:footnoteRef/>
      </w:r>
      <w:r w:rsidRPr="00346FC9">
        <w:rPr>
          <w:sz w:val="24"/>
          <w:szCs w:val="24"/>
          <w:lang w:val="da-DK"/>
        </w:rPr>
        <w:t xml:space="preserve"> </w:t>
      </w:r>
      <w:r w:rsidRPr="00346FC9">
        <w:rPr>
          <w:sz w:val="24"/>
          <w:szCs w:val="24"/>
          <w:lang w:val="da-DK"/>
        </w:rPr>
        <w:tab/>
        <w:t>EUT L 55 af 28.2.2011, s. 13, ELI: http://data.europa.eu/eli/reg/2011/182/oj.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4B04D" w14:textId="77777777" w:rsidR="00064002" w:rsidRPr="00F954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150C8" w14:textId="77777777" w:rsidR="00064002" w:rsidRPr="00F954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FB7EE" w14:textId="77777777" w:rsidR="00064002" w:rsidRPr="00F954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9223917">
    <w:abstractNumId w:val="9"/>
  </w:num>
  <w:num w:numId="2" w16cid:durableId="1176654799">
    <w:abstractNumId w:val="9"/>
  </w:num>
  <w:num w:numId="3" w16cid:durableId="1369448559">
    <w:abstractNumId w:val="7"/>
  </w:num>
  <w:num w:numId="4" w16cid:durableId="1956867785">
    <w:abstractNumId w:val="7"/>
  </w:num>
  <w:num w:numId="5" w16cid:durableId="754012775">
    <w:abstractNumId w:val="6"/>
  </w:num>
  <w:num w:numId="6" w16cid:durableId="1524320224">
    <w:abstractNumId w:val="6"/>
  </w:num>
  <w:num w:numId="7" w16cid:durableId="392966562">
    <w:abstractNumId w:val="5"/>
  </w:num>
  <w:num w:numId="8" w16cid:durableId="87764">
    <w:abstractNumId w:val="5"/>
  </w:num>
  <w:num w:numId="9" w16cid:durableId="283851365">
    <w:abstractNumId w:val="4"/>
  </w:num>
  <w:num w:numId="10" w16cid:durableId="1630159646">
    <w:abstractNumId w:val="4"/>
  </w:num>
  <w:num w:numId="11" w16cid:durableId="1553036245">
    <w:abstractNumId w:val="8"/>
  </w:num>
  <w:num w:numId="12" w16cid:durableId="435758179">
    <w:abstractNumId w:val="8"/>
  </w:num>
  <w:num w:numId="13" w16cid:durableId="194268809">
    <w:abstractNumId w:val="3"/>
  </w:num>
  <w:num w:numId="14" w16cid:durableId="1044870331">
    <w:abstractNumId w:val="3"/>
  </w:num>
  <w:num w:numId="15" w16cid:durableId="1674719828">
    <w:abstractNumId w:val="2"/>
  </w:num>
  <w:num w:numId="16" w16cid:durableId="1601714282">
    <w:abstractNumId w:val="2"/>
  </w:num>
  <w:num w:numId="17" w16cid:durableId="1984579900">
    <w:abstractNumId w:val="1"/>
  </w:num>
  <w:num w:numId="18" w16cid:durableId="1962950930">
    <w:abstractNumId w:val="1"/>
  </w:num>
  <w:num w:numId="19" w16cid:durableId="301077781">
    <w:abstractNumId w:val="0"/>
  </w:num>
  <w:num w:numId="20" w16cid:durableId="741871582">
    <w:abstractNumId w:val="0"/>
  </w:num>
  <w:num w:numId="21" w16cid:durableId="2110157028">
    <w:abstractNumId w:val="9"/>
  </w:num>
  <w:num w:numId="22" w16cid:durableId="1343818358">
    <w:abstractNumId w:val="7"/>
  </w:num>
  <w:num w:numId="23" w16cid:durableId="133955860">
    <w:abstractNumId w:val="6"/>
  </w:num>
  <w:num w:numId="24" w16cid:durableId="738286752">
    <w:abstractNumId w:val="5"/>
  </w:num>
  <w:num w:numId="25" w16cid:durableId="1014384330">
    <w:abstractNumId w:val="4"/>
  </w:num>
  <w:num w:numId="26" w16cid:durableId="116722699">
    <w:abstractNumId w:val="8"/>
  </w:num>
  <w:num w:numId="27" w16cid:durableId="1438675079">
    <w:abstractNumId w:val="3"/>
  </w:num>
  <w:num w:numId="28" w16cid:durableId="2047169176">
    <w:abstractNumId w:val="2"/>
  </w:num>
  <w:num w:numId="29" w16cid:durableId="1140076704">
    <w:abstractNumId w:val="1"/>
  </w:num>
  <w:num w:numId="30" w16cid:durableId="1671785319">
    <w:abstractNumId w:val="0"/>
  </w:num>
  <w:num w:numId="31" w16cid:durableId="1283226382">
    <w:abstractNumId w:val="9"/>
  </w:num>
  <w:num w:numId="32" w16cid:durableId="587160700">
    <w:abstractNumId w:val="7"/>
  </w:num>
  <w:num w:numId="33" w16cid:durableId="99303685">
    <w:abstractNumId w:val="6"/>
  </w:num>
  <w:num w:numId="34" w16cid:durableId="1120228250">
    <w:abstractNumId w:val="5"/>
  </w:num>
  <w:num w:numId="35" w16cid:durableId="375736895">
    <w:abstractNumId w:val="4"/>
  </w:num>
  <w:num w:numId="36" w16cid:durableId="1463421702">
    <w:abstractNumId w:val="8"/>
  </w:num>
  <w:num w:numId="37" w16cid:durableId="816799993">
    <w:abstractNumId w:val="3"/>
  </w:num>
  <w:num w:numId="38" w16cid:durableId="592982523">
    <w:abstractNumId w:val="2"/>
  </w:num>
  <w:num w:numId="39" w16cid:durableId="1536505748">
    <w:abstractNumId w:val="1"/>
  </w:num>
  <w:num w:numId="40" w16cid:durableId="848786826">
    <w:abstractNumId w:val="0"/>
  </w:num>
  <w:num w:numId="41" w16cid:durableId="1794446859">
    <w:abstractNumId w:val="10"/>
  </w:num>
  <w:num w:numId="42" w16cid:durableId="1971666341">
    <w:abstractNumId w:val="10"/>
  </w:num>
  <w:num w:numId="43" w16cid:durableId="858356144">
    <w:abstractNumId w:val="10"/>
  </w:num>
  <w:num w:numId="44" w16cid:durableId="638806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DA"/>
    <w:docVar w:name="dvnumam" w:val="0"/>
    <w:docVar w:name="dvpe" w:val="779.716"/>
    <w:docVar w:name="dvtitre" w:val="Europa-Parlamentets beslutning af xx.xx 2025 om udkast til Kommissionens gennemførelsesafgørelse om finansieringen af den årlige handlingsplan til fordel for Den Forenede Republik Tanzania for 2025(D110180/02 – 2025/2979(RSP))"/>
  </w:docVars>
  <w:rsids>
    <w:rsidRoot w:val="00007179"/>
    <w:rsid w:val="00002272"/>
    <w:rsid w:val="00007179"/>
    <w:rsid w:val="00064002"/>
    <w:rsid w:val="00066BB4"/>
    <w:rsid w:val="000677B9"/>
    <w:rsid w:val="000831BA"/>
    <w:rsid w:val="000A42CC"/>
    <w:rsid w:val="000E7DD9"/>
    <w:rsid w:val="0010095E"/>
    <w:rsid w:val="001052AE"/>
    <w:rsid w:val="00112246"/>
    <w:rsid w:val="00125B37"/>
    <w:rsid w:val="00187494"/>
    <w:rsid w:val="001F32AE"/>
    <w:rsid w:val="002767FF"/>
    <w:rsid w:val="002B18FE"/>
    <w:rsid w:val="002B5493"/>
    <w:rsid w:val="00343214"/>
    <w:rsid w:val="00346FC9"/>
    <w:rsid w:val="00361C00"/>
    <w:rsid w:val="0039423A"/>
    <w:rsid w:val="00395FA1"/>
    <w:rsid w:val="003E15D4"/>
    <w:rsid w:val="00411CCE"/>
    <w:rsid w:val="0041666E"/>
    <w:rsid w:val="00421060"/>
    <w:rsid w:val="00471C19"/>
    <w:rsid w:val="00484809"/>
    <w:rsid w:val="004867E3"/>
    <w:rsid w:val="00494A28"/>
    <w:rsid w:val="004C0004"/>
    <w:rsid w:val="004C5D52"/>
    <w:rsid w:val="0050519A"/>
    <w:rsid w:val="005072A1"/>
    <w:rsid w:val="005104BF"/>
    <w:rsid w:val="00514517"/>
    <w:rsid w:val="00516D4B"/>
    <w:rsid w:val="00545827"/>
    <w:rsid w:val="00560270"/>
    <w:rsid w:val="00565229"/>
    <w:rsid w:val="005C2568"/>
    <w:rsid w:val="005F1B17"/>
    <w:rsid w:val="006037C0"/>
    <w:rsid w:val="006631B6"/>
    <w:rsid w:val="00680577"/>
    <w:rsid w:val="006F74FA"/>
    <w:rsid w:val="00731ADD"/>
    <w:rsid w:val="00734777"/>
    <w:rsid w:val="00747932"/>
    <w:rsid w:val="00751A4A"/>
    <w:rsid w:val="00756632"/>
    <w:rsid w:val="00762C74"/>
    <w:rsid w:val="00786EC0"/>
    <w:rsid w:val="007C1C8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CE9"/>
    <w:rsid w:val="00A1687D"/>
    <w:rsid w:val="00A362E0"/>
    <w:rsid w:val="00A43E52"/>
    <w:rsid w:val="00A4678D"/>
    <w:rsid w:val="00A778C7"/>
    <w:rsid w:val="00A97385"/>
    <w:rsid w:val="00AB441E"/>
    <w:rsid w:val="00AB6293"/>
    <w:rsid w:val="00AC6870"/>
    <w:rsid w:val="00AE0928"/>
    <w:rsid w:val="00AE59DB"/>
    <w:rsid w:val="00AF3B82"/>
    <w:rsid w:val="00B12E95"/>
    <w:rsid w:val="00B22876"/>
    <w:rsid w:val="00B558F0"/>
    <w:rsid w:val="00BD48FE"/>
    <w:rsid w:val="00BD7BD8"/>
    <w:rsid w:val="00BE6ADC"/>
    <w:rsid w:val="00C05BFE"/>
    <w:rsid w:val="00C23CD4"/>
    <w:rsid w:val="00C61C0C"/>
    <w:rsid w:val="00C941CB"/>
    <w:rsid w:val="00CB50C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4C5"/>
    <w:rsid w:val="00F5134D"/>
    <w:rsid w:val="00F74202"/>
    <w:rsid w:val="00F87713"/>
    <w:rsid w:val="00F954C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A0550"/>
  <w15:chartTrackingRefBased/>
  <w15:docId w15:val="{C41FB018-CF4A-4126-819B-3AA5F36D7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62E0"/>
    <w:pPr>
      <w:spacing w:before="480" w:after="240"/>
    </w:pPr>
  </w:style>
  <w:style w:type="paragraph" w:customStyle="1" w:styleId="NormalHanging12a">
    <w:name w:val="NormalHanging12a"/>
    <w:basedOn w:val="Normal"/>
    <w:rsid w:val="00A362E0"/>
    <w:pPr>
      <w:spacing w:after="240"/>
      <w:ind w:left="567" w:hanging="567"/>
    </w:pPr>
  </w:style>
  <w:style w:type="character" w:styleId="Hyperlink">
    <w:name w:val="Hyperlink"/>
    <w:basedOn w:val="DefaultParagraphFont"/>
    <w:unhideWhenUsed/>
    <w:rsid w:val="00A362E0"/>
    <w:rPr>
      <w:color w:val="0563C1" w:themeColor="hyperlink"/>
      <w:u w:val="single"/>
    </w:rPr>
  </w:style>
  <w:style w:type="paragraph" w:styleId="Revision">
    <w:name w:val="Revision"/>
    <w:hidden/>
    <w:uiPriority w:val="99"/>
    <w:semiHidden/>
    <w:rsid w:val="005104BF"/>
    <w:rPr>
      <w:sz w:val="24"/>
      <w:lang w:val="da-DK"/>
    </w:rPr>
  </w:style>
  <w:style w:type="character" w:styleId="CommentReference">
    <w:name w:val="annotation reference"/>
    <w:basedOn w:val="DefaultParagraphFont"/>
    <w:rsid w:val="007C1C88"/>
    <w:rPr>
      <w:sz w:val="16"/>
      <w:szCs w:val="16"/>
    </w:rPr>
  </w:style>
  <w:style w:type="paragraph" w:styleId="CommentText">
    <w:name w:val="annotation text"/>
    <w:basedOn w:val="Normal"/>
    <w:link w:val="CommentTextChar"/>
    <w:rsid w:val="007C1C88"/>
    <w:rPr>
      <w:sz w:val="20"/>
    </w:rPr>
  </w:style>
  <w:style w:type="character" w:customStyle="1" w:styleId="CommentTextChar">
    <w:name w:val="Comment Text Char"/>
    <w:basedOn w:val="DefaultParagraphFont"/>
    <w:link w:val="CommentText"/>
    <w:rsid w:val="007C1C88"/>
    <w:rPr>
      <w:lang w:val="da-DK"/>
    </w:rPr>
  </w:style>
  <w:style w:type="paragraph" w:styleId="CommentSubject">
    <w:name w:val="annotation subject"/>
    <w:basedOn w:val="CommentText"/>
    <w:next w:val="CommentText"/>
    <w:link w:val="CommentSubjectChar"/>
    <w:rsid w:val="007C1C88"/>
    <w:rPr>
      <w:b/>
      <w:bCs/>
    </w:rPr>
  </w:style>
  <w:style w:type="character" w:customStyle="1" w:styleId="CommentSubjectChar">
    <w:name w:val="Comment Subject Char"/>
    <w:basedOn w:val="CommentTextChar"/>
    <w:link w:val="CommentSubject"/>
    <w:rsid w:val="007C1C88"/>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959</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2025-11-27T13:32:00Z</dcterms:created>
  <dcterms:modified xsi:type="dcterms:W3CDTF">2025-11-27T13:32:00Z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B10-0505/2025</vt:lpwstr>
  </property>
  <property fmtid="{D5CDD505-2E9C-101B-9397-08002B2CF9AE}" pid="4" name="&lt;Type&gt;">
    <vt:lpwstr>RR</vt:lpwstr>
  </property>
</Properties>
</file>