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26581" w14:paraId="62BD692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628937C" w14:textId="77777777" w:rsidR="00751A4A" w:rsidRPr="00E26581" w:rsidRDefault="005275DC" w:rsidP="0010095E">
            <w:pPr>
              <w:pStyle w:val="EPName"/>
            </w:pPr>
            <w:r w:rsidRPr="00E26581">
              <w:t>Europski parlament</w:t>
            </w:r>
          </w:p>
          <w:p w14:paraId="3DAEEA6B" w14:textId="77777777" w:rsidR="00751A4A" w:rsidRPr="00E2658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26581">
              <w:t>2024</w:t>
            </w:r>
            <w:r w:rsidR="00817416" w:rsidRPr="00E26581">
              <w:t>-202</w:t>
            </w:r>
            <w:r w:rsidRPr="00E26581">
              <w:t>9</w:t>
            </w:r>
          </w:p>
        </w:tc>
        <w:tc>
          <w:tcPr>
            <w:tcW w:w="2268" w:type="dxa"/>
            <w:shd w:val="clear" w:color="auto" w:fill="auto"/>
          </w:tcPr>
          <w:p w14:paraId="7A63D3B3" w14:textId="77777777" w:rsidR="00751A4A" w:rsidRPr="00E26581" w:rsidRDefault="00187494" w:rsidP="0010095E">
            <w:pPr>
              <w:pStyle w:val="EPLogo"/>
            </w:pPr>
            <w:r w:rsidRPr="00E26581">
              <w:rPr>
                <w:noProof/>
                <w:lang w:eastAsia="ja-JP"/>
              </w:rPr>
              <w:drawing>
                <wp:inline distT="0" distB="0" distL="0" distR="0" wp14:anchorId="7EA55595" wp14:editId="27D126B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7798AB" w14:textId="77777777" w:rsidR="00D058B8" w:rsidRPr="00E26581" w:rsidRDefault="00D058B8" w:rsidP="004C5D52">
      <w:pPr>
        <w:pStyle w:val="LineTop"/>
      </w:pPr>
    </w:p>
    <w:p w14:paraId="6228A4FF" w14:textId="77777777" w:rsidR="00680577" w:rsidRPr="00E26581" w:rsidRDefault="005275DC" w:rsidP="00680577">
      <w:pPr>
        <w:pStyle w:val="EPBodyTA1"/>
      </w:pPr>
      <w:r w:rsidRPr="00E26581">
        <w:t>USVOJENI TEKSTOVI</w:t>
      </w:r>
    </w:p>
    <w:p w14:paraId="4C4EB269" w14:textId="77777777" w:rsidR="00D058B8" w:rsidRPr="00E26581" w:rsidRDefault="00D058B8" w:rsidP="00D058B8">
      <w:pPr>
        <w:pStyle w:val="LineBottom"/>
      </w:pPr>
    </w:p>
    <w:p w14:paraId="021F55F1" w14:textId="47BAA3B1" w:rsidR="005275DC" w:rsidRPr="00E26581" w:rsidRDefault="005275DC" w:rsidP="005275DC">
      <w:pPr>
        <w:pStyle w:val="ATHeading1"/>
      </w:pPr>
      <w:bookmarkStart w:id="0" w:name="TANumber"/>
      <w:r w:rsidRPr="00E26581">
        <w:t>P10_TA(2025)0</w:t>
      </w:r>
      <w:r w:rsidR="005B1761">
        <w:t>314</w:t>
      </w:r>
      <w:bookmarkEnd w:id="0"/>
    </w:p>
    <w:p w14:paraId="0730B254" w14:textId="315140BE" w:rsidR="005275DC" w:rsidRPr="00E26581" w:rsidRDefault="003642EF" w:rsidP="005275DC">
      <w:pPr>
        <w:pStyle w:val="ATHeading2"/>
      </w:pPr>
      <w:bookmarkStart w:id="1" w:name="title"/>
      <w:r>
        <w:t>F</w:t>
      </w:r>
      <w:r w:rsidR="005275DC" w:rsidRPr="00E26581">
        <w:t>inanciranje akcijskog plana za Tanzaniju za 2025. godinu</w:t>
      </w:r>
      <w:bookmarkEnd w:id="1"/>
    </w:p>
    <w:p w14:paraId="723607B2" w14:textId="77777777" w:rsidR="005275DC" w:rsidRPr="00E26581" w:rsidRDefault="005275DC" w:rsidP="005275DC">
      <w:pPr>
        <w:rPr>
          <w:i/>
          <w:vanish/>
        </w:rPr>
      </w:pPr>
      <w:r w:rsidRPr="00E26581">
        <w:rPr>
          <w:i/>
        </w:rPr>
        <w:fldChar w:fldCharType="begin"/>
      </w:r>
      <w:r w:rsidRPr="00E26581">
        <w:rPr>
          <w:i/>
        </w:rPr>
        <w:instrText xml:space="preserve"> TC"(</w:instrText>
      </w:r>
      <w:bookmarkStart w:id="2" w:name="DocNumber"/>
      <w:r w:rsidRPr="00E26581">
        <w:rPr>
          <w:i/>
        </w:rPr>
        <w:instrText>B10-0505/2025</w:instrText>
      </w:r>
      <w:bookmarkEnd w:id="2"/>
      <w:r w:rsidRPr="00E26581">
        <w:rPr>
          <w:i/>
        </w:rPr>
        <w:instrText xml:space="preserve">)"\l3 \n&gt; \* MERGEFORMAT </w:instrText>
      </w:r>
      <w:r w:rsidRPr="00E26581">
        <w:rPr>
          <w:i/>
        </w:rPr>
        <w:fldChar w:fldCharType="end"/>
      </w:r>
    </w:p>
    <w:p w14:paraId="1DD23DEE" w14:textId="77777777" w:rsidR="005275DC" w:rsidRPr="00E26581" w:rsidRDefault="005275DC" w:rsidP="005275DC">
      <w:pPr>
        <w:rPr>
          <w:vanish/>
        </w:rPr>
      </w:pPr>
      <w:bookmarkStart w:id="3" w:name="PE"/>
      <w:r w:rsidRPr="00E26581">
        <w:rPr>
          <w:vanish/>
        </w:rPr>
        <w:t>PE779.716</w:t>
      </w:r>
      <w:bookmarkEnd w:id="3"/>
    </w:p>
    <w:p w14:paraId="259E8AFC" w14:textId="2185D7DB" w:rsidR="005275DC" w:rsidRPr="00E26581" w:rsidRDefault="005275DC" w:rsidP="005275DC">
      <w:pPr>
        <w:pStyle w:val="ATHeading3"/>
      </w:pPr>
      <w:bookmarkStart w:id="4" w:name="Sujet"/>
      <w:r w:rsidRPr="00E26581">
        <w:t xml:space="preserve">Rezolucija Europskog parlamenta od </w:t>
      </w:r>
      <w:r w:rsidR="00E26581">
        <w:t>27</w:t>
      </w:r>
      <w:r w:rsidRPr="00E26581">
        <w:t xml:space="preserve">. </w:t>
      </w:r>
      <w:r w:rsidR="00E26581">
        <w:t xml:space="preserve">studenoga </w:t>
      </w:r>
      <w:r w:rsidRPr="00E26581">
        <w:t>2025. o Nacrtu provedbene odluke Komisije o financiranju godišnjeg akcijskog plana u korist Ujedinjene Republike Tanzanije za 2025.</w:t>
      </w:r>
      <w:bookmarkEnd w:id="4"/>
      <w:r w:rsidRPr="00E26581">
        <w:t xml:space="preserve"> </w:t>
      </w:r>
      <w:bookmarkStart w:id="5" w:name="References"/>
      <w:r w:rsidRPr="00E26581">
        <w:t>(D110180/02 – 2025/2979(RSP))</w:t>
      </w:r>
      <w:bookmarkEnd w:id="5"/>
    </w:p>
    <w:p w14:paraId="3A13CA37" w14:textId="77777777" w:rsidR="00526115" w:rsidRPr="00E26581" w:rsidRDefault="00526115" w:rsidP="00526115">
      <w:pPr>
        <w:pStyle w:val="EPComma"/>
      </w:pPr>
      <w:bookmarkStart w:id="6" w:name="TextBodyBegin"/>
      <w:bookmarkEnd w:id="6"/>
      <w:r w:rsidRPr="00E26581">
        <w:rPr>
          <w:i/>
          <w:iCs/>
        </w:rPr>
        <w:t>Europski parlament</w:t>
      </w:r>
      <w:r w:rsidRPr="00E26581">
        <w:t>,</w:t>
      </w:r>
    </w:p>
    <w:p w14:paraId="244165F7" w14:textId="77777777" w:rsidR="00526115" w:rsidRPr="00E26581" w:rsidRDefault="00526115" w:rsidP="00526115">
      <w:pPr>
        <w:pStyle w:val="NormalHanging12a"/>
      </w:pPr>
      <w:r w:rsidRPr="00E26581">
        <w:t>–</w:t>
      </w:r>
      <w:r w:rsidRPr="00E26581">
        <w:tab/>
        <w:t>uzimajući u obzir Nacrt provedbene odluke Komisije o financiranju godišnjeg akcijskog plana u korist Ujedinjene Republike Tanzanije za 2025. (D110180/02),</w:t>
      </w:r>
    </w:p>
    <w:p w14:paraId="7BF1813B" w14:textId="2A44A393" w:rsidR="00526115" w:rsidRDefault="00526115" w:rsidP="00526115">
      <w:pPr>
        <w:pStyle w:val="NormalHanging12a"/>
      </w:pPr>
      <w:r w:rsidRPr="00E26581">
        <w:t>–</w:t>
      </w:r>
      <w:r w:rsidRPr="00E26581">
        <w:tab/>
        <w:t>uzimajući u obzir Uredbu (EU) 2021/947 Europskog parlamenta i Vijeća od 9. lipnja 2021. o uspostavi Instrumenta za susjedstvo, razvoj i međunarodnu suradnju – Globalna Europa, izmjeni i stavljanju izvan snage Odluke br. 466/2014/EU Europskog parlamenta i Vijeća te stavljanju izvan snage Uredbe (EU) 2017/1601 Europskog parlamenta i Vijeća i Uredbe Vijeća (EZ, Euratom) br. 480/2009</w:t>
      </w:r>
      <w:r w:rsidR="0005785C">
        <w:rPr>
          <w:rStyle w:val="FootnoteReference"/>
        </w:rPr>
        <w:footnoteReference w:id="1"/>
      </w:r>
      <w:r w:rsidRPr="00E26581">
        <w:t xml:space="preserve"> (Uredba o Instrumentu NDICI – Globalna Europa)</w:t>
      </w:r>
      <w:r w:rsidR="00B77627">
        <w:t>, a posebno njezin članak 25.</w:t>
      </w:r>
      <w:r w:rsidRPr="00E26581">
        <w:t>,</w:t>
      </w:r>
    </w:p>
    <w:p w14:paraId="025FE0EC" w14:textId="3E0ED0B2" w:rsidR="00B77627" w:rsidRDefault="00B77627" w:rsidP="00526115">
      <w:pPr>
        <w:pStyle w:val="NormalHanging12a"/>
        <w:rPr>
          <w:snapToGrid w:val="0"/>
          <w:szCs w:val="24"/>
          <w:lang w:eastAsia="en-US"/>
        </w:rPr>
      </w:pPr>
      <w:r w:rsidRPr="00B77627">
        <w:rPr>
          <w:szCs w:val="24"/>
        </w:rPr>
        <w:t>–</w:t>
      </w:r>
      <w:r w:rsidRPr="00B77627">
        <w:rPr>
          <w:szCs w:val="24"/>
        </w:rPr>
        <w:tab/>
      </w:r>
      <w:r w:rsidRPr="005B1761">
        <w:rPr>
          <w:snapToGrid w:val="0"/>
          <w:szCs w:val="24"/>
          <w:lang w:eastAsia="en-US"/>
        </w:rPr>
        <w:t xml:space="preserve">uzimajući u obzir mišljenje od </w:t>
      </w:r>
      <w:r>
        <w:rPr>
          <w:snapToGrid w:val="0"/>
          <w:szCs w:val="24"/>
          <w:lang w:eastAsia="en-US"/>
        </w:rPr>
        <w:t>22</w:t>
      </w:r>
      <w:r w:rsidRPr="005B1761">
        <w:rPr>
          <w:snapToGrid w:val="0"/>
          <w:szCs w:val="24"/>
          <w:lang w:eastAsia="en-US"/>
        </w:rPr>
        <w:t>.</w:t>
      </w:r>
      <w:r w:rsidR="0005785C">
        <w:t> </w:t>
      </w:r>
      <w:r>
        <w:rPr>
          <w:snapToGrid w:val="0"/>
          <w:szCs w:val="24"/>
          <w:lang w:eastAsia="en-US"/>
        </w:rPr>
        <w:t>listopada</w:t>
      </w:r>
      <w:r w:rsidR="0005785C">
        <w:t> </w:t>
      </w:r>
      <w:r w:rsidRPr="005B1761">
        <w:rPr>
          <w:snapToGrid w:val="0"/>
          <w:szCs w:val="24"/>
          <w:lang w:eastAsia="en-US"/>
        </w:rPr>
        <w:t>202</w:t>
      </w:r>
      <w:r>
        <w:rPr>
          <w:snapToGrid w:val="0"/>
          <w:szCs w:val="24"/>
          <w:lang w:eastAsia="en-US"/>
        </w:rPr>
        <w:t>5</w:t>
      </w:r>
      <w:r w:rsidRPr="005B1761">
        <w:rPr>
          <w:snapToGrid w:val="0"/>
          <w:szCs w:val="24"/>
          <w:lang w:eastAsia="en-US"/>
        </w:rPr>
        <w:t>. koje je iznio odbor naveden u članku </w:t>
      </w:r>
      <w:r>
        <w:rPr>
          <w:snapToGrid w:val="0"/>
          <w:szCs w:val="24"/>
          <w:lang w:eastAsia="en-US"/>
        </w:rPr>
        <w:t>45</w:t>
      </w:r>
      <w:r w:rsidRPr="005B1761">
        <w:rPr>
          <w:snapToGrid w:val="0"/>
          <w:szCs w:val="24"/>
          <w:lang w:eastAsia="en-US"/>
        </w:rPr>
        <w:t xml:space="preserve">. </w:t>
      </w:r>
      <w:r>
        <w:rPr>
          <w:snapToGrid w:val="0"/>
          <w:szCs w:val="24"/>
          <w:lang w:eastAsia="en-US"/>
        </w:rPr>
        <w:t>Uredbe (EU) 2021/947,</w:t>
      </w:r>
    </w:p>
    <w:p w14:paraId="50B6941D" w14:textId="3F73FED4" w:rsidR="0005785C" w:rsidRPr="0005785C" w:rsidRDefault="0005785C" w:rsidP="00526115">
      <w:pPr>
        <w:pStyle w:val="NormalHanging12a"/>
        <w:rPr>
          <w:szCs w:val="24"/>
        </w:rPr>
      </w:pPr>
      <w:r w:rsidRPr="00B77627">
        <w:rPr>
          <w:szCs w:val="24"/>
        </w:rPr>
        <w:t>–</w:t>
      </w:r>
      <w:r w:rsidRPr="00B77627">
        <w:rPr>
          <w:szCs w:val="24"/>
        </w:rPr>
        <w:tab/>
      </w:r>
      <w:r w:rsidRPr="005B1761">
        <w:rPr>
          <w:snapToGrid w:val="0"/>
          <w:szCs w:val="24"/>
          <w:lang w:eastAsia="en-US"/>
        </w:rPr>
        <w:t xml:space="preserve">uzimajući u obzir članak 11. </w:t>
      </w:r>
      <w:bookmarkStart w:id="7" w:name="_Hlk335642125"/>
      <w:r w:rsidRPr="005B1761">
        <w:rPr>
          <w:snapToGrid w:val="0"/>
          <w:szCs w:val="24"/>
          <w:lang w:eastAsia="en-US"/>
        </w:rPr>
        <w:t>Uredbe (EU) br.</w:t>
      </w:r>
      <w:r>
        <w:t> </w:t>
      </w:r>
      <w:r w:rsidRPr="005B1761">
        <w:rPr>
          <w:snapToGrid w:val="0"/>
          <w:szCs w:val="24"/>
          <w:lang w:eastAsia="en-US"/>
        </w:rPr>
        <w:t>182/2011</w:t>
      </w:r>
      <w:bookmarkEnd w:id="7"/>
      <w:r w:rsidRPr="005B1761">
        <w:rPr>
          <w:snapToGrid w:val="0"/>
          <w:szCs w:val="24"/>
          <w:lang w:eastAsia="en-US"/>
        </w:rPr>
        <w:t xml:space="preserve"> Europskog parlamenta i Vijeća od 16.</w:t>
      </w:r>
      <w:r>
        <w:t> </w:t>
      </w:r>
      <w:r w:rsidRPr="005B1761">
        <w:rPr>
          <w:snapToGrid w:val="0"/>
          <w:szCs w:val="24"/>
          <w:lang w:eastAsia="en-US"/>
        </w:rPr>
        <w:t>veljače</w:t>
      </w:r>
      <w:r>
        <w:t> </w:t>
      </w:r>
      <w:r w:rsidRPr="005B1761">
        <w:rPr>
          <w:snapToGrid w:val="0"/>
          <w:szCs w:val="24"/>
          <w:lang w:eastAsia="en-US"/>
        </w:rPr>
        <w:t>2011. o utvrđivanju pravila i općih načela u vezi s mehanizmima nadzora država članica nad izvršavanjem provedbenih ovlasti Komisije</w:t>
      </w:r>
      <w:r>
        <w:rPr>
          <w:rStyle w:val="FootnoteReference"/>
          <w:snapToGrid w:val="0"/>
          <w:szCs w:val="24"/>
          <w:lang w:eastAsia="en-US"/>
        </w:rPr>
        <w:footnoteReference w:id="2"/>
      </w:r>
      <w:r>
        <w:rPr>
          <w:snapToGrid w:val="0"/>
          <w:szCs w:val="24"/>
          <w:lang w:eastAsia="en-US"/>
        </w:rPr>
        <w:t>,</w:t>
      </w:r>
    </w:p>
    <w:p w14:paraId="08B7A6F9" w14:textId="77777777" w:rsidR="00526115" w:rsidRPr="00E26581" w:rsidRDefault="00526115" w:rsidP="00526115">
      <w:pPr>
        <w:pStyle w:val="NormalHanging12a"/>
      </w:pPr>
      <w:r w:rsidRPr="00E26581">
        <w:t>–</w:t>
      </w:r>
      <w:r w:rsidRPr="00E26581">
        <w:tab/>
        <w:t xml:space="preserve">uzimajući u obzir Rezoluciju Europskog parlamenta od 8. svibnja 2025. o uhićenju i riziku od pogubljenja </w:t>
      </w:r>
      <w:proofErr w:type="spellStart"/>
      <w:r w:rsidRPr="00E26581">
        <w:t>Tundua</w:t>
      </w:r>
      <w:proofErr w:type="spellEnd"/>
      <w:r w:rsidRPr="00E26581">
        <w:t xml:space="preserve"> </w:t>
      </w:r>
      <w:proofErr w:type="spellStart"/>
      <w:r w:rsidRPr="00E26581">
        <w:t>Lissua</w:t>
      </w:r>
      <w:proofErr w:type="spellEnd"/>
      <w:r w:rsidRPr="00E26581">
        <w:t xml:space="preserve">, predsjednika stranke </w:t>
      </w:r>
      <w:proofErr w:type="spellStart"/>
      <w:r w:rsidRPr="00E26581">
        <w:t>Chadema</w:t>
      </w:r>
      <w:proofErr w:type="spellEnd"/>
      <w:r w:rsidRPr="00E26581">
        <w:t>, glavne oporbene stranke u Tanzaniji,</w:t>
      </w:r>
    </w:p>
    <w:p w14:paraId="088D5070" w14:textId="77777777" w:rsidR="00526115" w:rsidRDefault="00526115" w:rsidP="00526115">
      <w:pPr>
        <w:pStyle w:val="NormalHanging12a"/>
      </w:pPr>
      <w:r w:rsidRPr="00E26581">
        <w:t>–</w:t>
      </w:r>
      <w:r w:rsidRPr="00E26581">
        <w:tab/>
        <w:t>uzimajući u obzir članak 115. stavke 2. i 3. Poslovnika,</w:t>
      </w:r>
    </w:p>
    <w:p w14:paraId="7E28C991" w14:textId="44F9317C" w:rsidR="0005785C" w:rsidRPr="00D01C5D" w:rsidRDefault="0005785C" w:rsidP="00526115">
      <w:pPr>
        <w:pStyle w:val="NormalHanging12a"/>
        <w:rPr>
          <w:szCs w:val="24"/>
        </w:rPr>
      </w:pPr>
      <w:r w:rsidRPr="00E26581">
        <w:t>–</w:t>
      </w:r>
      <w:r w:rsidRPr="00E26581">
        <w:tab/>
      </w:r>
      <w:r w:rsidR="00D01C5D" w:rsidRPr="005B1761">
        <w:rPr>
          <w:szCs w:val="24"/>
        </w:rPr>
        <w:t>uzimajući u obzir zajedničke rasprave Odbora za vanjske poslove i Odbora za razvoj u skladu sa člankom 59. Poslovnika,</w:t>
      </w:r>
    </w:p>
    <w:p w14:paraId="30539215" w14:textId="77777777" w:rsidR="00526115" w:rsidRPr="00E26581" w:rsidRDefault="00526115" w:rsidP="00526115">
      <w:pPr>
        <w:pStyle w:val="NormalHanging12a"/>
      </w:pPr>
      <w:r w:rsidRPr="00E26581">
        <w:lastRenderedPageBreak/>
        <w:t>–</w:t>
      </w:r>
      <w:r w:rsidRPr="00E26581">
        <w:tab/>
        <w:t>uzimajući u obzir Prijedlog rezolucije Odbora za vanjske poslove i Odbora za razvoj,</w:t>
      </w:r>
    </w:p>
    <w:p w14:paraId="11180EB7" w14:textId="119C1B53" w:rsidR="00526115" w:rsidRPr="00E26581" w:rsidRDefault="00526115" w:rsidP="00526115">
      <w:pPr>
        <w:pStyle w:val="NormalHanging12a"/>
      </w:pPr>
      <w:r w:rsidRPr="00E26581">
        <w:t>A.</w:t>
      </w:r>
      <w:r w:rsidRPr="00E26581">
        <w:tab/>
        <w:t xml:space="preserve">budući da je 22. listopada </w:t>
      </w:r>
      <w:r w:rsidR="00B77627">
        <w:t xml:space="preserve">2025. </w:t>
      </w:r>
      <w:r w:rsidR="00D01C5D" w:rsidRPr="00E26581">
        <w:t>Nacrt provedbene odluke Komisij</w:t>
      </w:r>
      <w:r w:rsidR="00D01C5D">
        <w:t>e</w:t>
      </w:r>
      <w:r w:rsidRPr="00E26581">
        <w:t xml:space="preserve"> predstavljen odboru Instrumenta za susjedstvo, razvoj i međunarodnu suradnju;</w:t>
      </w:r>
    </w:p>
    <w:p w14:paraId="62F94936" w14:textId="2CD0F314" w:rsidR="00526115" w:rsidRPr="00E26581" w:rsidRDefault="00526115" w:rsidP="00526115">
      <w:pPr>
        <w:pStyle w:val="NormalHanging12a"/>
      </w:pPr>
      <w:r w:rsidRPr="00E26581">
        <w:t>B.</w:t>
      </w:r>
      <w:r w:rsidRPr="00E26581">
        <w:tab/>
        <w:t xml:space="preserve">budući da se u </w:t>
      </w:r>
      <w:r w:rsidR="0005785C" w:rsidRPr="00E26581">
        <w:t>Nacrt</w:t>
      </w:r>
      <w:r w:rsidR="0005785C">
        <w:t>u</w:t>
      </w:r>
      <w:r w:rsidR="0005785C" w:rsidRPr="00E26581">
        <w:t xml:space="preserve"> provedbene odluke Komisije</w:t>
      </w:r>
      <w:r w:rsidRPr="00E26581">
        <w:t xml:space="preserve"> pokazuje pogrešan pristup Komisije, koji ne odražava u potpunosti nedostatke u pogledu demokracije i ljudskih prava u Tanzaniji tijekom proteklih godina, posebno od namještenih izbora u listopadu 2025., nakon kojih je vlada ugušila prosvjede, što je dovelo do smrti više od 400 ljudi, a stotine ljudi optužene su za izdaju;</w:t>
      </w:r>
    </w:p>
    <w:p w14:paraId="107A8871" w14:textId="77777777" w:rsidR="00526115" w:rsidRPr="00E26581" w:rsidRDefault="00526115" w:rsidP="00526115">
      <w:pPr>
        <w:pStyle w:val="NormalHanging12a"/>
      </w:pPr>
      <w:r w:rsidRPr="00E26581">
        <w:t>C.</w:t>
      </w:r>
      <w:r w:rsidRPr="00E26581">
        <w:tab/>
        <w:t>budući da je misija Afričke unije za promatranje izbora oštro kritizirala provođenje tanzanijskih predsjedničkih izbora, na kojima je sadašnja predsjednica izabrana s očitom većinom od 98 % glasova; budući da tanzanijska vlada, za razliku od izbora 2015., nije pozvala europsku misiju za promatranje izbora;</w:t>
      </w:r>
    </w:p>
    <w:p w14:paraId="47D11923" w14:textId="77777777" w:rsidR="00526115" w:rsidRPr="00E26581" w:rsidRDefault="00526115" w:rsidP="00526115">
      <w:pPr>
        <w:pStyle w:val="NormalHanging12a"/>
      </w:pPr>
      <w:r w:rsidRPr="00E26581">
        <w:t>D.</w:t>
      </w:r>
      <w:r w:rsidRPr="00E26581">
        <w:tab/>
        <w:t xml:space="preserve">budući da je visoka predstavnica Unije za vanjske poslove i sigurnosnu politiku / potpredsjednica Komisije Kaja </w:t>
      </w:r>
      <w:proofErr w:type="spellStart"/>
      <w:r w:rsidRPr="00E26581">
        <w:t>Kallas</w:t>
      </w:r>
      <w:proofErr w:type="spellEnd"/>
      <w:r w:rsidRPr="00E26581">
        <w:t xml:space="preserve"> u ime Europske unije izrazila ozbiljnu zabrinutost zbog poslijeizbornog nasilja u Tanzaniji i napomenula da je nepostojanje jednakih uvjeta uoči izbora vidljivo iz navoda o otmicama i nestancima te nasilju kojim se ograničava građanski i demokratski prostor;</w:t>
      </w:r>
    </w:p>
    <w:p w14:paraId="3BBE357F" w14:textId="77777777" w:rsidR="00526115" w:rsidRPr="00E26581" w:rsidRDefault="00526115" w:rsidP="00526115">
      <w:pPr>
        <w:pStyle w:val="NormalHanging12a"/>
      </w:pPr>
      <w:r w:rsidRPr="00E26581">
        <w:t>E.</w:t>
      </w:r>
      <w:r w:rsidRPr="00E26581">
        <w:tab/>
        <w:t xml:space="preserve">budući da je </w:t>
      </w:r>
      <w:proofErr w:type="spellStart"/>
      <w:r w:rsidRPr="00E26581">
        <w:t>Tundu</w:t>
      </w:r>
      <w:proofErr w:type="spellEnd"/>
      <w:r w:rsidRPr="00E26581">
        <w:t xml:space="preserve"> </w:t>
      </w:r>
      <w:proofErr w:type="spellStart"/>
      <w:r w:rsidRPr="00E26581">
        <w:t>Lissu</w:t>
      </w:r>
      <w:proofErr w:type="spellEnd"/>
      <w:r w:rsidRPr="00E26581">
        <w:t xml:space="preserve">, vođa </w:t>
      </w:r>
      <w:proofErr w:type="spellStart"/>
      <w:r w:rsidRPr="00E26581">
        <w:t>Chademe</w:t>
      </w:r>
      <w:proofErr w:type="spellEnd"/>
      <w:r w:rsidRPr="00E26581">
        <w:t xml:space="preserve">, glavne oporbene stranke u Tanzaniji, uhićen 9. travnja 2025. i kasnije optužen za izdaju, uz još tri kaznena djela objavljivanja lažnih informacija u skladu sa zakonima o kibernetičkom kriminalu; budući da se u Tanzaniji za zločin izdaje može izreći smrtna kazna; budući da se Europska unija nedvosmisleno protivi smrtnoj kazni u svim okolnostima; budući da je nedugo nakon </w:t>
      </w:r>
      <w:proofErr w:type="spellStart"/>
      <w:r w:rsidRPr="00E26581">
        <w:t>Lissuova</w:t>
      </w:r>
      <w:proofErr w:type="spellEnd"/>
      <w:r w:rsidRPr="00E26581">
        <w:t xml:space="preserve"> uhićenja stranka </w:t>
      </w:r>
      <w:proofErr w:type="spellStart"/>
      <w:r w:rsidRPr="00E26581">
        <w:t>Chadema</w:t>
      </w:r>
      <w:proofErr w:type="spellEnd"/>
      <w:r w:rsidRPr="00E26581">
        <w:t xml:space="preserve"> diskvalificirana s predsjedničkih i parlamentarnih izbora u listopadu 2025. na temelju toga što je odbila potpisati izborni kodeks ponašanja, a diskvalificiran je i kandidat druge najveće oporbene stranke Savez za promjene i transparentnost (ACT-</w:t>
      </w:r>
      <w:proofErr w:type="spellStart"/>
      <w:r w:rsidRPr="00E26581">
        <w:t>Wazalendo</w:t>
      </w:r>
      <w:proofErr w:type="spellEnd"/>
      <w:r w:rsidRPr="00E26581">
        <w:t xml:space="preserve">) </w:t>
      </w:r>
      <w:proofErr w:type="spellStart"/>
      <w:r w:rsidRPr="00E26581">
        <w:t>Luhaga</w:t>
      </w:r>
      <w:proofErr w:type="spellEnd"/>
      <w:r w:rsidRPr="00E26581">
        <w:t xml:space="preserve"> </w:t>
      </w:r>
      <w:proofErr w:type="spellStart"/>
      <w:r w:rsidRPr="00E26581">
        <w:t>Mpina</w:t>
      </w:r>
      <w:proofErr w:type="spellEnd"/>
      <w:r w:rsidRPr="00E26581">
        <w:t>;</w:t>
      </w:r>
    </w:p>
    <w:p w14:paraId="0B17248E" w14:textId="066D0FFE" w:rsidR="00526115" w:rsidRPr="00E26581" w:rsidRDefault="00526115" w:rsidP="00526115">
      <w:pPr>
        <w:pStyle w:val="NormalHanging12a"/>
      </w:pPr>
      <w:r w:rsidRPr="00E26581">
        <w:t>F.</w:t>
      </w:r>
      <w:r w:rsidRPr="00E26581">
        <w:tab/>
        <w:t>budući da tanzanijska vlada nije ispunila nijedan od zahtjeva koje je Europski parlament iznio u svojoj rezoluciji od 8. svibnja</w:t>
      </w:r>
      <w:r w:rsidR="00B77627">
        <w:t xml:space="preserve"> 2025.</w:t>
      </w:r>
      <w:r w:rsidRPr="00E26581">
        <w:t xml:space="preserve">, uključujući, među ostalim, poziv na trenutačno i bezuvjetno puštanje na slobodu </w:t>
      </w:r>
      <w:proofErr w:type="spellStart"/>
      <w:r w:rsidRPr="00E26581">
        <w:t>Tundua</w:t>
      </w:r>
      <w:proofErr w:type="spellEnd"/>
      <w:r w:rsidRPr="00E26581">
        <w:t xml:space="preserve"> </w:t>
      </w:r>
      <w:proofErr w:type="spellStart"/>
      <w:r w:rsidRPr="00E26581">
        <w:t>Lissua</w:t>
      </w:r>
      <w:proofErr w:type="spellEnd"/>
      <w:r w:rsidRPr="00E26581">
        <w:t>, provedbu reforme pravosuđa, poboljšanje stanja ljudskih prava i predlaganje izborne reforme;</w:t>
      </w:r>
    </w:p>
    <w:p w14:paraId="11E1FFC8" w14:textId="77777777" w:rsidR="00526115" w:rsidRPr="00E26581" w:rsidRDefault="00526115" w:rsidP="00526115">
      <w:pPr>
        <w:pStyle w:val="NormalHanging12a"/>
      </w:pPr>
      <w:r w:rsidRPr="00E26581">
        <w:t>G.</w:t>
      </w:r>
      <w:r w:rsidRPr="00E26581">
        <w:tab/>
        <w:t>budući da nazadovanje Tanzanije u njezinoj predanosti promicanju zajedničkih vrijednosti, načela i interesa, posebno u pogledu ljudskih prava, temeljnih sloboda, demokracije, vladavine prava, dobrog upravljanja i otvorenog prostora za građansko djelovanje, kao i sve veća represija, proizvoljna uhićenja, nasilje, napadanje i uznemiravanje članova oporbe, boraca za ljudska prava, autohtonih naroda, LGBTIQ+ aktivista, novinara i organizacija civilnog društva, nisu u skladu s načelima programiranja geografskih programa u okviru Uredbe o Instrumentu NDICI – Globalna Europa; budući da poslijeizborna kriza u Tanzaniji predstavlja neposrednu prijetnju demokraciji, vladavini prava, ljudskim pravima ili temeljnim slobodama u zemlji; budući da sve odluke o planiranju i programiranju kojima se ti aspekti ne uzimaju u obzir čine provedbene akte donesene u takvim okolnostima nevažećima;</w:t>
      </w:r>
    </w:p>
    <w:p w14:paraId="261E44DE" w14:textId="77777777" w:rsidR="00526115" w:rsidRPr="00E26581" w:rsidRDefault="00526115" w:rsidP="00526115">
      <w:pPr>
        <w:pStyle w:val="NormalHanging12a"/>
      </w:pPr>
      <w:r w:rsidRPr="00E26581">
        <w:t>H.</w:t>
      </w:r>
      <w:r w:rsidRPr="00E26581">
        <w:tab/>
        <w:t xml:space="preserve">budući da EU znatno podupire digitalnu transformaciju Tanzanije, i to ulaganjima u 4G i svjetlovodnu infrastrukturu, e-upravljanje, digitalne vještine i razvoj privatnog sektora, </w:t>
      </w:r>
      <w:r w:rsidRPr="00E26581">
        <w:lastRenderedPageBreak/>
        <w:t>čiji je cilj proširenje pristupa informacijama i poticanje otvorenog digitalnoga gospodarstva; budući da su, međutim, tanzanijske vlasti djelovale u suprotnosti s tim ciljevima tako što su uvele blokade interneta uoči izbora i ponovno usred postizbornih nemira, čime su ugrozile demokratsko sudjelovanje i uzrokovale rizik od zlouporabe digitalne infrastrukture koju podupire EU;</w:t>
      </w:r>
    </w:p>
    <w:p w14:paraId="7244CEBD" w14:textId="670A1B62" w:rsidR="00526115" w:rsidRPr="00E26581" w:rsidRDefault="00526115" w:rsidP="00526115">
      <w:pPr>
        <w:pStyle w:val="NormalHanging12a"/>
      </w:pPr>
      <w:r w:rsidRPr="00E26581">
        <w:t>1.</w:t>
      </w:r>
      <w:r w:rsidRPr="00E26581">
        <w:tab/>
        <w:t>smatra da Nacrt provedbene odluke Komisije prekoračuje provedbene ovlasti predviđene Uredbom (EU) 2021/947;</w:t>
      </w:r>
    </w:p>
    <w:p w14:paraId="54BC1D8C" w14:textId="2CEE375B" w:rsidR="00526115" w:rsidRPr="00E26581" w:rsidRDefault="00526115" w:rsidP="00526115">
      <w:pPr>
        <w:pStyle w:val="NormalHanging12a"/>
      </w:pPr>
      <w:r w:rsidRPr="00E26581">
        <w:t>2.</w:t>
      </w:r>
      <w:r w:rsidRPr="00E26581">
        <w:tab/>
        <w:t xml:space="preserve">smatra da Nacrt provedbene odluke Komisije nije u skladu s pravom Unije jer je </w:t>
      </w:r>
      <w:r w:rsidR="0005785C">
        <w:t>ne</w:t>
      </w:r>
      <w:r w:rsidR="00D01C5D">
        <w:t>spojiv</w:t>
      </w:r>
      <w:r w:rsidRPr="00E26581">
        <w:t xml:space="preserve"> s ciljem Uredbe (EU) 2021/947;</w:t>
      </w:r>
    </w:p>
    <w:p w14:paraId="4FC66B7C" w14:textId="77777777" w:rsidR="00526115" w:rsidRPr="00E26581" w:rsidRDefault="00526115" w:rsidP="00526115">
      <w:pPr>
        <w:pStyle w:val="NormalHanging12a"/>
      </w:pPr>
      <w:r w:rsidRPr="00E26581">
        <w:t>3.</w:t>
      </w:r>
      <w:r w:rsidRPr="00E26581">
        <w:tab/>
        <w:t>pozdravlja činjenicu da je Komisija obustavila postupak donošenja Nacrta provedbene odluke nakon što ju je Europski parlament obavijestio o pitanjima koja ga zabrinjavaju;</w:t>
      </w:r>
    </w:p>
    <w:p w14:paraId="0A1655E8" w14:textId="0D7F0AE6" w:rsidR="00526115" w:rsidRPr="00E26581" w:rsidRDefault="00526115" w:rsidP="00526115">
      <w:pPr>
        <w:pStyle w:val="NormalHanging12a"/>
      </w:pPr>
      <w:r w:rsidRPr="00E26581">
        <w:t>4.</w:t>
      </w:r>
      <w:r w:rsidRPr="00E26581">
        <w:tab/>
        <w:t xml:space="preserve">poziva Komisiju da povuče svoj Nacrt provedbene odluke i da podnese </w:t>
      </w:r>
      <w:r w:rsidR="0005785C">
        <w:t xml:space="preserve">odboru </w:t>
      </w:r>
      <w:r w:rsidRPr="00E26581">
        <w:t xml:space="preserve">novi </w:t>
      </w:r>
      <w:r w:rsidR="0005785C">
        <w:t>nacrt</w:t>
      </w:r>
      <w:r w:rsidRPr="00E26581">
        <w:t xml:space="preserve"> kojim će se u obzir uzeti spomenuta pitanja, osiguravajući pritom da nove izmjene ne utječu negativno na financiranje usmjereno na potporu nevladinim organizacijama i civilnom društvu;</w:t>
      </w:r>
    </w:p>
    <w:p w14:paraId="159A493D" w14:textId="45194E4C" w:rsidR="00E365E1" w:rsidRPr="00E26581" w:rsidRDefault="00526115" w:rsidP="00E26581">
      <w:pPr>
        <w:ind w:left="567" w:hanging="567"/>
      </w:pPr>
      <w:r w:rsidRPr="00E26581">
        <w:t>5.</w:t>
      </w:r>
      <w:r w:rsidRPr="00E26581">
        <w:tab/>
        <w:t>nalaže svojoj predsjednici da ovu Rezoluciju proslijedi Vijeću i Komisiji te vladama i parlamentima država članica.</w:t>
      </w:r>
    </w:p>
    <w:sectPr w:rsidR="00E365E1" w:rsidRPr="00E26581" w:rsidSect="003B6F6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AB9B83" w14:textId="77777777" w:rsidR="005275DC" w:rsidRPr="003B6F6E" w:rsidRDefault="005275DC">
      <w:r w:rsidRPr="003B6F6E">
        <w:separator/>
      </w:r>
    </w:p>
  </w:endnote>
  <w:endnote w:type="continuationSeparator" w:id="0">
    <w:p w14:paraId="404F3B88" w14:textId="77777777" w:rsidR="005275DC" w:rsidRPr="003B6F6E" w:rsidRDefault="005275DC">
      <w:r w:rsidRPr="003B6F6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9553F" w14:textId="77777777" w:rsidR="00064002" w:rsidRPr="003B6F6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CA10F" w14:textId="77777777" w:rsidR="00064002" w:rsidRPr="003B6F6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70E5D" w14:textId="77777777" w:rsidR="00064002" w:rsidRPr="003B6F6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F84F0" w14:textId="77777777" w:rsidR="005275DC" w:rsidRPr="003B6F6E" w:rsidRDefault="005275DC">
      <w:r w:rsidRPr="003B6F6E">
        <w:separator/>
      </w:r>
    </w:p>
  </w:footnote>
  <w:footnote w:type="continuationSeparator" w:id="0">
    <w:p w14:paraId="0F31FF25" w14:textId="77777777" w:rsidR="005275DC" w:rsidRPr="003B6F6E" w:rsidRDefault="005275DC">
      <w:r w:rsidRPr="003B6F6E">
        <w:continuationSeparator/>
      </w:r>
    </w:p>
  </w:footnote>
  <w:footnote w:id="1">
    <w:p w14:paraId="2643F75A" w14:textId="26EBA1BE" w:rsidR="0005785C" w:rsidRPr="0005785C" w:rsidRDefault="0005785C" w:rsidP="0005785C">
      <w:pPr>
        <w:pStyle w:val="FootnoteText"/>
        <w:ind w:left="567" w:hanging="567"/>
        <w:rPr>
          <w:sz w:val="24"/>
          <w:szCs w:val="24"/>
          <w:lang w:val="hr-HR"/>
        </w:rPr>
      </w:pPr>
      <w:r w:rsidRPr="0005785C">
        <w:rPr>
          <w:rStyle w:val="FootnoteReference"/>
          <w:sz w:val="24"/>
          <w:szCs w:val="24"/>
        </w:rPr>
        <w:footnoteRef/>
      </w:r>
      <w:r w:rsidRPr="0005785C">
        <w:rPr>
          <w:sz w:val="24"/>
          <w:szCs w:val="24"/>
          <w:lang w:val="fi-FI"/>
        </w:rPr>
        <w:t xml:space="preserve"> </w:t>
      </w:r>
      <w:r w:rsidRPr="0005785C">
        <w:rPr>
          <w:sz w:val="24"/>
          <w:szCs w:val="24"/>
          <w:lang w:val="hr-HR"/>
        </w:rPr>
        <w:tab/>
        <w:t xml:space="preserve">SL L 209, 14.6.2021., str. 1., ELI: </w:t>
      </w:r>
      <w:hyperlink r:id="rId1" w:tgtFrame="http://data.europa.eu/eli/reg/2021/947/oj" w:history="1">
        <w:r w:rsidRPr="0005785C">
          <w:rPr>
            <w:rStyle w:val="Hyperlink"/>
            <w:sz w:val="24"/>
            <w:szCs w:val="24"/>
            <w:lang w:val="hr-HR"/>
          </w:rPr>
          <w:t>http://data.europa.eu/eli/reg/2021/947/oj.</w:t>
        </w:r>
      </w:hyperlink>
    </w:p>
  </w:footnote>
  <w:footnote w:id="2">
    <w:p w14:paraId="6003E680" w14:textId="6C093A5C" w:rsidR="0005785C" w:rsidRPr="005B1761" w:rsidRDefault="0005785C" w:rsidP="005B1761">
      <w:pPr>
        <w:pStyle w:val="FootnoteText"/>
        <w:ind w:left="567" w:hanging="567"/>
        <w:rPr>
          <w:sz w:val="24"/>
          <w:szCs w:val="24"/>
          <w:lang w:val="hr-HR"/>
        </w:rPr>
      </w:pPr>
      <w:r w:rsidRPr="005B1761">
        <w:rPr>
          <w:rStyle w:val="FootnoteReference"/>
          <w:sz w:val="24"/>
          <w:szCs w:val="24"/>
        </w:rPr>
        <w:footnoteRef/>
      </w:r>
      <w:r w:rsidRPr="005B1761">
        <w:rPr>
          <w:sz w:val="24"/>
          <w:szCs w:val="24"/>
          <w:lang w:val="fi-FI"/>
        </w:rPr>
        <w:t xml:space="preserve"> </w:t>
      </w:r>
      <w:r w:rsidRPr="005B1761">
        <w:rPr>
          <w:sz w:val="24"/>
          <w:szCs w:val="24"/>
          <w:lang w:val="hr-HR"/>
        </w:rPr>
        <w:tab/>
      </w:r>
      <w:r>
        <w:rPr>
          <w:sz w:val="24"/>
          <w:szCs w:val="24"/>
          <w:lang w:val="hu-HU"/>
        </w:rPr>
        <w:t>SL</w:t>
      </w:r>
      <w:r w:rsidRPr="0005785C">
        <w:rPr>
          <w:sz w:val="24"/>
          <w:szCs w:val="24"/>
          <w:lang w:val="hu-HU"/>
        </w:rPr>
        <w:t xml:space="preserve"> L 55, 28.2.2011</w:t>
      </w:r>
      <w:r>
        <w:rPr>
          <w:sz w:val="24"/>
          <w:szCs w:val="24"/>
          <w:lang w:val="hu-HU"/>
        </w:rPr>
        <w:t>.</w:t>
      </w:r>
      <w:r w:rsidRPr="0005785C">
        <w:rPr>
          <w:sz w:val="24"/>
          <w:szCs w:val="24"/>
          <w:lang w:val="hu-HU"/>
        </w:rPr>
        <w:t xml:space="preserve">, </w:t>
      </w:r>
      <w:r>
        <w:rPr>
          <w:sz w:val="24"/>
          <w:szCs w:val="24"/>
          <w:lang w:val="hu-HU"/>
        </w:rPr>
        <w:t>str</w:t>
      </w:r>
      <w:r w:rsidRPr="0005785C">
        <w:rPr>
          <w:sz w:val="24"/>
          <w:szCs w:val="24"/>
          <w:lang w:val="hu-HU"/>
        </w:rPr>
        <w:t>. 13</w:t>
      </w:r>
      <w:r>
        <w:rPr>
          <w:sz w:val="24"/>
          <w:szCs w:val="24"/>
          <w:lang w:val="hu-HU"/>
        </w:rPr>
        <w:t>.</w:t>
      </w:r>
      <w:r w:rsidRPr="0005785C">
        <w:rPr>
          <w:sz w:val="24"/>
          <w:szCs w:val="24"/>
          <w:lang w:val="hu-HU"/>
        </w:rPr>
        <w:t>, ELI:</w:t>
      </w:r>
      <w:r w:rsidRPr="005B1761">
        <w:rPr>
          <w:sz w:val="24"/>
          <w:szCs w:val="24"/>
          <w:lang w:val="fi-FI"/>
        </w:rPr>
        <w:t xml:space="preserve"> </w:t>
      </w:r>
      <w:hyperlink r:id="rId2" w:tooltip="Gives access to this document through its ELI URI." w:history="1">
        <w:r w:rsidRPr="0005785C">
          <w:rPr>
            <w:rStyle w:val="Hyperlink"/>
            <w:sz w:val="24"/>
            <w:szCs w:val="24"/>
            <w:lang w:val="fi-FI"/>
          </w:rPr>
          <w:t>http://data.europa.eu/eli/reg/2011/182/oj</w:t>
        </w:r>
      </w:hyperlink>
      <w:r w:rsidRPr="0005785C">
        <w:rPr>
          <w:sz w:val="24"/>
          <w:szCs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14D18" w14:textId="77777777" w:rsidR="00064002" w:rsidRPr="003B6F6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91974" w14:textId="77777777" w:rsidR="00064002" w:rsidRPr="003B6F6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CABE0" w14:textId="77777777" w:rsidR="00064002" w:rsidRPr="003B6F6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48203928">
    <w:abstractNumId w:val="9"/>
  </w:num>
  <w:num w:numId="2" w16cid:durableId="1396244716">
    <w:abstractNumId w:val="9"/>
  </w:num>
  <w:num w:numId="3" w16cid:durableId="926887015">
    <w:abstractNumId w:val="7"/>
  </w:num>
  <w:num w:numId="4" w16cid:durableId="1814713711">
    <w:abstractNumId w:val="7"/>
  </w:num>
  <w:num w:numId="5" w16cid:durableId="1385448203">
    <w:abstractNumId w:val="6"/>
  </w:num>
  <w:num w:numId="6" w16cid:durableId="89663105">
    <w:abstractNumId w:val="6"/>
  </w:num>
  <w:num w:numId="7" w16cid:durableId="465048324">
    <w:abstractNumId w:val="5"/>
  </w:num>
  <w:num w:numId="8" w16cid:durableId="1295016367">
    <w:abstractNumId w:val="5"/>
  </w:num>
  <w:num w:numId="9" w16cid:durableId="1802992775">
    <w:abstractNumId w:val="4"/>
  </w:num>
  <w:num w:numId="10" w16cid:durableId="205291182">
    <w:abstractNumId w:val="4"/>
  </w:num>
  <w:num w:numId="11" w16cid:durableId="437216936">
    <w:abstractNumId w:val="8"/>
  </w:num>
  <w:num w:numId="12" w16cid:durableId="320281459">
    <w:abstractNumId w:val="8"/>
  </w:num>
  <w:num w:numId="13" w16cid:durableId="297345846">
    <w:abstractNumId w:val="3"/>
  </w:num>
  <w:num w:numId="14" w16cid:durableId="794060602">
    <w:abstractNumId w:val="3"/>
  </w:num>
  <w:num w:numId="15" w16cid:durableId="1896550816">
    <w:abstractNumId w:val="2"/>
  </w:num>
  <w:num w:numId="16" w16cid:durableId="745810954">
    <w:abstractNumId w:val="2"/>
  </w:num>
  <w:num w:numId="17" w16cid:durableId="787161359">
    <w:abstractNumId w:val="1"/>
  </w:num>
  <w:num w:numId="18" w16cid:durableId="1917131286">
    <w:abstractNumId w:val="1"/>
  </w:num>
  <w:num w:numId="19" w16cid:durableId="531384032">
    <w:abstractNumId w:val="0"/>
  </w:num>
  <w:num w:numId="20" w16cid:durableId="409812816">
    <w:abstractNumId w:val="0"/>
  </w:num>
  <w:num w:numId="21" w16cid:durableId="1219826717">
    <w:abstractNumId w:val="9"/>
  </w:num>
  <w:num w:numId="22" w16cid:durableId="520048721">
    <w:abstractNumId w:val="7"/>
  </w:num>
  <w:num w:numId="23" w16cid:durableId="2105805643">
    <w:abstractNumId w:val="6"/>
  </w:num>
  <w:num w:numId="24" w16cid:durableId="843781712">
    <w:abstractNumId w:val="5"/>
  </w:num>
  <w:num w:numId="25" w16cid:durableId="1966544125">
    <w:abstractNumId w:val="4"/>
  </w:num>
  <w:num w:numId="26" w16cid:durableId="1313024027">
    <w:abstractNumId w:val="8"/>
  </w:num>
  <w:num w:numId="27" w16cid:durableId="789055557">
    <w:abstractNumId w:val="3"/>
  </w:num>
  <w:num w:numId="28" w16cid:durableId="96368083">
    <w:abstractNumId w:val="2"/>
  </w:num>
  <w:num w:numId="29" w16cid:durableId="1086345473">
    <w:abstractNumId w:val="1"/>
  </w:num>
  <w:num w:numId="30" w16cid:durableId="1018774800">
    <w:abstractNumId w:val="0"/>
  </w:num>
  <w:num w:numId="31" w16cid:durableId="968625836">
    <w:abstractNumId w:val="9"/>
  </w:num>
  <w:num w:numId="32" w16cid:durableId="12417335">
    <w:abstractNumId w:val="7"/>
  </w:num>
  <w:num w:numId="33" w16cid:durableId="1113328283">
    <w:abstractNumId w:val="6"/>
  </w:num>
  <w:num w:numId="34" w16cid:durableId="1347026997">
    <w:abstractNumId w:val="5"/>
  </w:num>
  <w:num w:numId="35" w16cid:durableId="597953661">
    <w:abstractNumId w:val="4"/>
  </w:num>
  <w:num w:numId="36" w16cid:durableId="1687630259">
    <w:abstractNumId w:val="8"/>
  </w:num>
  <w:num w:numId="37" w16cid:durableId="938637527">
    <w:abstractNumId w:val="3"/>
  </w:num>
  <w:num w:numId="38" w16cid:durableId="1100102319">
    <w:abstractNumId w:val="2"/>
  </w:num>
  <w:num w:numId="39" w16cid:durableId="1349454794">
    <w:abstractNumId w:val="1"/>
  </w:num>
  <w:num w:numId="40" w16cid:durableId="1791361842">
    <w:abstractNumId w:val="0"/>
  </w:num>
  <w:num w:numId="41" w16cid:durableId="1418018096">
    <w:abstractNumId w:val="10"/>
  </w:num>
  <w:num w:numId="42" w16cid:durableId="1351371229">
    <w:abstractNumId w:val="10"/>
  </w:num>
  <w:num w:numId="43" w16cid:durableId="323700146">
    <w:abstractNumId w:val="10"/>
  </w:num>
  <w:num w:numId="44" w16cid:durableId="10681182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05/2025"/>
    <w:docVar w:name="dvlangue" w:val="HR"/>
    <w:docVar w:name="dvnumam" w:val="0"/>
    <w:docVar w:name="dvpe" w:val="779.716"/>
    <w:docVar w:name="dvtitre" w:val="Rezolucija Europskog parlamenta od .... 2025. o Nacrtu provedbene odluke Komisije o financiranju godišnjeg akcijskog plana u korist Ujedinjene Republike Tanzanije za 2025.(D110180/02 – 2025/2979(RSP))"/>
  </w:docVars>
  <w:rsids>
    <w:rsidRoot w:val="005275DC"/>
    <w:rsid w:val="00002272"/>
    <w:rsid w:val="0005785C"/>
    <w:rsid w:val="00064002"/>
    <w:rsid w:val="000677B9"/>
    <w:rsid w:val="000831BA"/>
    <w:rsid w:val="000A42CC"/>
    <w:rsid w:val="000E371A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642EF"/>
    <w:rsid w:val="00395FA1"/>
    <w:rsid w:val="003B6F6E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6115"/>
    <w:rsid w:val="005275DC"/>
    <w:rsid w:val="00545827"/>
    <w:rsid w:val="00560270"/>
    <w:rsid w:val="005B1761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7627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1C5D"/>
    <w:rsid w:val="00D058B8"/>
    <w:rsid w:val="00D56C11"/>
    <w:rsid w:val="00D834A0"/>
    <w:rsid w:val="00D872DF"/>
    <w:rsid w:val="00D91E21"/>
    <w:rsid w:val="00DA7FCD"/>
    <w:rsid w:val="00E2658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2E7532"/>
  <w15:chartTrackingRefBased/>
  <w15:docId w15:val="{5675E091-958B-482A-A828-179C38535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26115"/>
    <w:pPr>
      <w:spacing w:before="480" w:after="240"/>
    </w:pPr>
  </w:style>
  <w:style w:type="paragraph" w:customStyle="1" w:styleId="NormalHanging12a">
    <w:name w:val="NormalHanging12a"/>
    <w:basedOn w:val="Normal"/>
    <w:rsid w:val="00526115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52611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3642EF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11/182/oj" TargetMode="External"/><Relationship Id="rId1" Type="http://schemas.openxmlformats.org/officeDocument/2006/relationships/hyperlink" Target="http://data.europa.eu/eli/reg/2021/94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891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2025-11-27T11:25:00Z</dcterms:created>
  <dcterms:modified xsi:type="dcterms:W3CDTF">2025-11-27T11:25:00Z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B10-0505/2025</vt:lpwstr>
  </property>
  <property fmtid="{D5CDD505-2E9C-101B-9397-08002B2CF9AE}" pid="4" name="&lt;Type&gt;">
    <vt:lpwstr>RR</vt:lpwstr>
  </property>
</Properties>
</file>