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1B68" w14:paraId="5BFE64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567E80" w14:textId="77777777" w:rsidR="00751A4A" w:rsidRPr="007A1B68" w:rsidRDefault="001D7F56" w:rsidP="0010095E">
            <w:pPr>
              <w:pStyle w:val="EPName"/>
            </w:pPr>
            <w:r w:rsidRPr="007A1B68">
              <w:t>Európai Parlament</w:t>
            </w:r>
          </w:p>
          <w:p w14:paraId="313FC593" w14:textId="77777777" w:rsidR="00751A4A" w:rsidRPr="007A1B6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1B68">
              <w:t>2024</w:t>
            </w:r>
            <w:r w:rsidR="00817416" w:rsidRPr="007A1B68">
              <w:t>-202</w:t>
            </w:r>
            <w:r w:rsidRPr="007A1B68">
              <w:t>9</w:t>
            </w:r>
          </w:p>
        </w:tc>
        <w:tc>
          <w:tcPr>
            <w:tcW w:w="2268" w:type="dxa"/>
            <w:shd w:val="clear" w:color="auto" w:fill="auto"/>
          </w:tcPr>
          <w:p w14:paraId="768B6068" w14:textId="77777777" w:rsidR="00751A4A" w:rsidRPr="007A1B68" w:rsidRDefault="00187494" w:rsidP="0010095E">
            <w:pPr>
              <w:pStyle w:val="EPLogo"/>
            </w:pPr>
            <w:r w:rsidRPr="007A1B68">
              <w:rPr>
                <w:noProof/>
                <w:lang w:eastAsia="ja-JP"/>
              </w:rPr>
              <w:drawing>
                <wp:inline distT="0" distB="0" distL="0" distR="0" wp14:anchorId="012F815A" wp14:editId="16821D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749393" w14:textId="77777777" w:rsidR="00D058B8" w:rsidRPr="007A1B68" w:rsidRDefault="00D058B8" w:rsidP="004C5D52">
      <w:pPr>
        <w:pStyle w:val="LineTop"/>
      </w:pPr>
    </w:p>
    <w:p w14:paraId="184E568E" w14:textId="77777777" w:rsidR="00680577" w:rsidRPr="007A1B68" w:rsidRDefault="001D7F56" w:rsidP="00680577">
      <w:pPr>
        <w:pStyle w:val="EPBodyTA1"/>
      </w:pPr>
      <w:r w:rsidRPr="007A1B68">
        <w:t>ELFOGADOTT SZÖVEGEK</w:t>
      </w:r>
    </w:p>
    <w:p w14:paraId="105B4B7F" w14:textId="77777777" w:rsidR="00D058B8" w:rsidRPr="007A1B68" w:rsidRDefault="00D058B8" w:rsidP="00D058B8">
      <w:pPr>
        <w:pStyle w:val="LineBottom"/>
      </w:pPr>
    </w:p>
    <w:p w14:paraId="196C0CAC" w14:textId="5336B41B" w:rsidR="001D7F56" w:rsidRPr="007A1B68" w:rsidRDefault="001D7F56" w:rsidP="001D7F56">
      <w:pPr>
        <w:pStyle w:val="ATHeading1"/>
      </w:pPr>
      <w:bookmarkStart w:id="0" w:name="TANumber"/>
      <w:r w:rsidRPr="007A1B68">
        <w:t>P10_</w:t>
      </w:r>
      <w:proofErr w:type="gramStart"/>
      <w:r w:rsidRPr="007A1B68">
        <w:t>TA(</w:t>
      </w:r>
      <w:proofErr w:type="gramEnd"/>
      <w:r w:rsidRPr="007A1B68">
        <w:t>2025)0</w:t>
      </w:r>
      <w:r w:rsidR="007A1B68" w:rsidRPr="007A1B68">
        <w:t>314</w:t>
      </w:r>
      <w:bookmarkEnd w:id="0"/>
    </w:p>
    <w:p w14:paraId="612EEB8A" w14:textId="1A2164D6" w:rsidR="001D7F56" w:rsidRPr="007A1B68" w:rsidRDefault="00CF1344" w:rsidP="00CF1344">
      <w:pPr>
        <w:pStyle w:val="ATHeading2"/>
      </w:pPr>
      <w:bookmarkStart w:id="1" w:name="title"/>
      <w:r w:rsidRPr="007A1B68">
        <w:t>A Tanzánia 2025. évi támogatására irányuló éves cselekvési terv finanszírozása</w:t>
      </w:r>
      <w:bookmarkEnd w:id="1"/>
    </w:p>
    <w:p w14:paraId="600EEACB" w14:textId="77777777" w:rsidR="001D7F56" w:rsidRPr="007A1B68" w:rsidRDefault="001D7F56" w:rsidP="001D7F56">
      <w:pPr>
        <w:rPr>
          <w:i/>
          <w:vanish/>
        </w:rPr>
      </w:pPr>
      <w:r w:rsidRPr="007A1B68">
        <w:rPr>
          <w:i/>
        </w:rPr>
        <w:fldChar w:fldCharType="begin"/>
      </w:r>
      <w:r w:rsidRPr="007A1B68">
        <w:rPr>
          <w:i/>
        </w:rPr>
        <w:instrText xml:space="preserve"> TC"(</w:instrText>
      </w:r>
      <w:bookmarkStart w:id="2" w:name="DocNumber"/>
      <w:r w:rsidRPr="007A1B68">
        <w:rPr>
          <w:i/>
        </w:rPr>
        <w:instrText>B10-0505/2025</w:instrText>
      </w:r>
      <w:bookmarkEnd w:id="2"/>
      <w:r w:rsidRPr="007A1B68">
        <w:rPr>
          <w:i/>
        </w:rPr>
        <w:instrText xml:space="preserve">)"\l3 \n&gt; \* MERGEFORMAT </w:instrText>
      </w:r>
      <w:r w:rsidRPr="007A1B68">
        <w:rPr>
          <w:i/>
        </w:rPr>
        <w:fldChar w:fldCharType="end"/>
      </w:r>
    </w:p>
    <w:p w14:paraId="37524989" w14:textId="77777777" w:rsidR="001D7F56" w:rsidRPr="007A1B68" w:rsidRDefault="001D7F56" w:rsidP="001D7F56">
      <w:pPr>
        <w:rPr>
          <w:vanish/>
        </w:rPr>
      </w:pPr>
      <w:bookmarkStart w:id="3" w:name="PE"/>
      <w:r w:rsidRPr="007A1B68">
        <w:rPr>
          <w:vanish/>
        </w:rPr>
        <w:t>PE779.716</w:t>
      </w:r>
      <w:bookmarkEnd w:id="3"/>
    </w:p>
    <w:p w14:paraId="6ADBD3CD" w14:textId="485BD137" w:rsidR="001D7F56" w:rsidRPr="007A1B68" w:rsidRDefault="001D7F56" w:rsidP="001D7F56">
      <w:pPr>
        <w:pStyle w:val="ATHeading3"/>
      </w:pPr>
      <w:bookmarkStart w:id="4" w:name="Sujet"/>
      <w:r w:rsidRPr="007A1B68">
        <w:t xml:space="preserve">Az Európai Parlament 2025. </w:t>
      </w:r>
      <w:r w:rsidR="00D34046" w:rsidRPr="007A1B68">
        <w:t>november</w:t>
      </w:r>
      <w:r w:rsidRPr="007A1B68">
        <w:t xml:space="preserve"> </w:t>
      </w:r>
      <w:r w:rsidR="00D34046" w:rsidRPr="007A1B68">
        <w:t>27-</w:t>
      </w:r>
      <w:r w:rsidRPr="007A1B68">
        <w:t>i állásfoglalása a Tanzániai Egyesült Köztársaság 2025-re vonatkozó éves cselekvési tervének finanszírozásáról szóló bizottsági végrehajtási határozat tervezetéről</w:t>
      </w:r>
      <w:bookmarkEnd w:id="4"/>
      <w:r w:rsidRPr="007A1B68">
        <w:t xml:space="preserve"> </w:t>
      </w:r>
      <w:bookmarkStart w:id="5" w:name="References"/>
      <w:r w:rsidRPr="007A1B68">
        <w:t>(D110180/02 – 2025/2979(RSP))</w:t>
      </w:r>
      <w:bookmarkEnd w:id="5"/>
    </w:p>
    <w:p w14:paraId="27520A2D" w14:textId="77777777" w:rsidR="00B10502" w:rsidRPr="007A1B68" w:rsidRDefault="00B10502" w:rsidP="00B10502">
      <w:pPr>
        <w:pStyle w:val="EPComma"/>
      </w:pPr>
      <w:bookmarkStart w:id="6" w:name="TextBodyBegin"/>
      <w:bookmarkEnd w:id="6"/>
      <w:r w:rsidRPr="007A1B68">
        <w:rPr>
          <w:i/>
        </w:rPr>
        <w:t>Az Európai Parlament</w:t>
      </w:r>
      <w:r w:rsidRPr="007A1B68">
        <w:t>,</w:t>
      </w:r>
    </w:p>
    <w:p w14:paraId="115D33E5" w14:textId="77777777" w:rsidR="00B10502" w:rsidRPr="007A1B68" w:rsidRDefault="00B10502" w:rsidP="00D34046">
      <w:pPr>
        <w:pStyle w:val="NormalHanging12a"/>
        <w:widowControl/>
      </w:pPr>
      <w:r w:rsidRPr="007A1B68">
        <w:t>–</w:t>
      </w:r>
      <w:r w:rsidRPr="007A1B68">
        <w:tab/>
        <w:t>tekintettel a Tanzániai Egyesült Köztársaság 2025-re vonatkozó éves cselekvési tervének finanszírozásáról szóló bizottsági végrehajtási határozat tervezetére (D110180/02),</w:t>
      </w:r>
    </w:p>
    <w:p w14:paraId="3F9C9FF9" w14:textId="71DE9293" w:rsidR="00B10502" w:rsidRPr="007A1B68" w:rsidRDefault="00B10502" w:rsidP="00D34046">
      <w:pPr>
        <w:pStyle w:val="NormalHanging12a"/>
        <w:widowControl/>
      </w:pPr>
      <w:r w:rsidRPr="007A1B68">
        <w:t>–</w:t>
      </w:r>
      <w:r w:rsidRPr="007A1B68">
        <w:tab/>
        <w:t>tekintettel a Szomszédsági, Fejlesztési és Nemzetközi Együttműködési Eszköz (Globális Európa) létrehozásáról, a 466/2014/EU európai parlamenti és tanácsi határozat módosításáról és hatályon kívül helyezéséről, valamint az (EU) 2017/1601 európai parlamenti és tanácsi rendelet és a 480/2009/EK, Euratom tanácsi rendelet hatályon kívül helyezéséről szóló, 2021. június 9-i (EU) 2021/947 európai parlamenti és tanácsi rendeletre</w:t>
      </w:r>
      <w:r w:rsidRPr="007A1B68">
        <w:rPr>
          <w:vertAlign w:val="superscript"/>
        </w:rPr>
        <w:footnoteReference w:customMarkFollows="1" w:id="1"/>
        <w:t>1</w:t>
      </w:r>
      <w:r w:rsidRPr="007A1B68">
        <w:t xml:space="preserve"> (NDICI</w:t>
      </w:r>
      <w:r w:rsidR="008B5F98" w:rsidRPr="007A1B68">
        <w:t>–</w:t>
      </w:r>
      <w:r w:rsidRPr="007A1B68">
        <w:t>Globális Európa-rendelet)</w:t>
      </w:r>
      <w:r w:rsidR="00CF1344" w:rsidRPr="007A1B68">
        <w:t xml:space="preserve"> és különösen annak 25. cikkére</w:t>
      </w:r>
      <w:r w:rsidRPr="007A1B68">
        <w:t>,</w:t>
      </w:r>
    </w:p>
    <w:p w14:paraId="11D05937" w14:textId="2AC0EB73" w:rsidR="00CF1344" w:rsidRPr="007A1B68" w:rsidRDefault="00CF1344" w:rsidP="00CF1344">
      <w:pPr>
        <w:pStyle w:val="NormalHanging12a"/>
      </w:pPr>
      <w:r w:rsidRPr="007A1B68">
        <w:t>–</w:t>
      </w:r>
      <w:r w:rsidRPr="007A1B68">
        <w:tab/>
        <w:t>tekintettel az (EU) 2021/947 rendelet 45. cikkében említett bizottság 2025. október 22-i véleményére,</w:t>
      </w:r>
    </w:p>
    <w:p w14:paraId="08C075DA" w14:textId="6B624A6C" w:rsidR="00CF1344" w:rsidRPr="007A1B68" w:rsidRDefault="00CF1344" w:rsidP="00CF1344">
      <w:pPr>
        <w:pStyle w:val="NormalHanging12a"/>
      </w:pPr>
      <w:r w:rsidRPr="007A1B68">
        <w:t>–</w:t>
      </w:r>
      <w:r w:rsidRPr="007A1B68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 11. cikkére</w:t>
      </w:r>
      <w:r w:rsidRPr="007A1B68">
        <w:rPr>
          <w:rStyle w:val="FootnoteReference"/>
        </w:rPr>
        <w:footnoteReference w:id="2"/>
      </w:r>
      <w:r w:rsidRPr="007A1B68">
        <w:t>,</w:t>
      </w:r>
    </w:p>
    <w:p w14:paraId="22FA8D82" w14:textId="77777777" w:rsidR="00B10502" w:rsidRPr="007A1B68" w:rsidRDefault="00B10502" w:rsidP="00D34046">
      <w:pPr>
        <w:pStyle w:val="NormalHanging12a"/>
        <w:widowControl/>
      </w:pPr>
      <w:r w:rsidRPr="007A1B68">
        <w:t>–</w:t>
      </w:r>
      <w:r w:rsidRPr="007A1B68">
        <w:tab/>
        <w:t xml:space="preserve">tekintettel az Európai Parlament 2025. május 8-i állásfoglalására </w:t>
      </w:r>
      <w:proofErr w:type="spellStart"/>
      <w:r w:rsidRPr="007A1B68">
        <w:t>Tundu</w:t>
      </w:r>
      <w:proofErr w:type="spellEnd"/>
      <w:r w:rsidRPr="007A1B68">
        <w:t xml:space="preserve"> </w:t>
      </w:r>
      <w:proofErr w:type="spellStart"/>
      <w:r w:rsidRPr="007A1B68">
        <w:t>Lissunak</w:t>
      </w:r>
      <w:proofErr w:type="spellEnd"/>
      <w:r w:rsidRPr="007A1B68">
        <w:t xml:space="preserve">, a tanzániai fő ellenzéki párt, a </w:t>
      </w:r>
      <w:proofErr w:type="spellStart"/>
      <w:r w:rsidRPr="007A1B68">
        <w:t>Chadema</w:t>
      </w:r>
      <w:proofErr w:type="spellEnd"/>
      <w:r w:rsidRPr="007A1B68">
        <w:t xml:space="preserve"> elnökének letartóztatásáról és kivégzésének veszélyéről,</w:t>
      </w:r>
    </w:p>
    <w:p w14:paraId="011374E5" w14:textId="77777777" w:rsidR="00B10502" w:rsidRPr="007A1B68" w:rsidRDefault="00B10502" w:rsidP="00D34046">
      <w:pPr>
        <w:pStyle w:val="NormalHanging12a"/>
        <w:widowControl/>
      </w:pPr>
      <w:r w:rsidRPr="007A1B68">
        <w:t>–</w:t>
      </w:r>
      <w:r w:rsidRPr="007A1B68">
        <w:tab/>
        <w:t>tekintettel eljárási szabályzata 115. cikkének (2) és (3) bekezdésére,</w:t>
      </w:r>
    </w:p>
    <w:p w14:paraId="7C74852B" w14:textId="682C21FD" w:rsidR="00CF1344" w:rsidRPr="007A1B68" w:rsidRDefault="00CF1344" w:rsidP="00CF1344">
      <w:pPr>
        <w:pStyle w:val="NormalHanging12a"/>
      </w:pPr>
      <w:r w:rsidRPr="007A1B68">
        <w:t>–</w:t>
      </w:r>
      <w:r w:rsidRPr="007A1B68">
        <w:tab/>
      </w:r>
      <w:r w:rsidR="00545442" w:rsidRPr="007A1B68">
        <w:t xml:space="preserve">tekintettel a Külügyi Bizottság és a Fejlesztési Bizottság által az eljárási szabályzat 59. </w:t>
      </w:r>
      <w:r w:rsidR="00545442" w:rsidRPr="007A1B68">
        <w:lastRenderedPageBreak/>
        <w:t>cikke alapján folytatott közös tanácskozásokra</w:t>
      </w:r>
      <w:r w:rsidRPr="007A1B68">
        <w:t>,</w:t>
      </w:r>
    </w:p>
    <w:p w14:paraId="62781F4D" w14:textId="77777777" w:rsidR="00B10502" w:rsidRPr="007A1B68" w:rsidRDefault="00B10502" w:rsidP="00D34046">
      <w:pPr>
        <w:pStyle w:val="NormalHanging12a"/>
        <w:widowControl/>
      </w:pPr>
      <w:r w:rsidRPr="007A1B68">
        <w:t>–</w:t>
      </w:r>
      <w:r w:rsidRPr="007A1B68">
        <w:tab/>
        <w:t>tekintettel a Külügyi Bizottság és a Fejlesztési Bizottság állásfoglalási indítványára,</w:t>
      </w:r>
    </w:p>
    <w:p w14:paraId="3555A9F6" w14:textId="20B33FEA" w:rsidR="00B10502" w:rsidRPr="007A1B68" w:rsidRDefault="00B10502" w:rsidP="00D34046">
      <w:pPr>
        <w:pStyle w:val="NormalHanging12a"/>
        <w:widowControl/>
      </w:pPr>
      <w:r w:rsidRPr="007A1B68">
        <w:t>A.</w:t>
      </w:r>
      <w:r w:rsidRPr="007A1B68">
        <w:tab/>
        <w:t xml:space="preserve">mivel </w:t>
      </w:r>
      <w:r w:rsidR="00B47994" w:rsidRPr="007A1B68">
        <w:t xml:space="preserve">2025. </w:t>
      </w:r>
      <w:r w:rsidRPr="007A1B68">
        <w:t xml:space="preserve">október 22-én az NDICI-bizottság elé terjesztették a </w:t>
      </w:r>
      <w:r w:rsidR="00CF1344" w:rsidRPr="007A1B68">
        <w:t>bizottsági végrehajtási határozat tervezetét</w:t>
      </w:r>
      <w:r w:rsidRPr="007A1B68">
        <w:t>;</w:t>
      </w:r>
    </w:p>
    <w:p w14:paraId="32661145" w14:textId="17A7BE90" w:rsidR="00B10502" w:rsidRPr="007A1B68" w:rsidRDefault="00B10502" w:rsidP="00D34046">
      <w:pPr>
        <w:pStyle w:val="NormalHanging12a"/>
        <w:widowControl/>
      </w:pPr>
      <w:r w:rsidRPr="007A1B68">
        <w:t>B.</w:t>
      </w:r>
      <w:r w:rsidRPr="007A1B68">
        <w:tab/>
        <w:t xml:space="preserve">mivel </w:t>
      </w:r>
      <w:r w:rsidR="00CF1344" w:rsidRPr="007A1B68">
        <w:t xml:space="preserve">a bizottsági végrehajtási határozat tervezete </w:t>
      </w:r>
      <w:r w:rsidRPr="007A1B68">
        <w:t>a Bizottság téves megközelítéséről tanúskodik, amely nem tükrözi teljes mértékben az elmúlt évek demokratikus és emberi jogi hiányosságait Tanzániában, különösen a 2025. októberi csalárd választások óta, amelyeket követően a kormány tüntetéseket vert le, jóval több mint 400 ember halálát okozva, és több száz embert hazaárulással vádolnak;</w:t>
      </w:r>
    </w:p>
    <w:p w14:paraId="10B141CF" w14:textId="77777777" w:rsidR="00B10502" w:rsidRPr="007A1B68" w:rsidRDefault="00B10502" w:rsidP="00D34046">
      <w:pPr>
        <w:pStyle w:val="NormalHanging12a"/>
        <w:widowControl/>
      </w:pPr>
      <w:r w:rsidRPr="007A1B68">
        <w:t>C.</w:t>
      </w:r>
      <w:r w:rsidRPr="007A1B68">
        <w:tab/>
        <w:t>mivel az Afrikai Unió választási megfigyelő missziója határozottan bírálta a tanzániai elnökválasztás lebonyolítását, amelynek során a hivatalban lévő elnököt választották meg, látszólag a szavazatok 98 %-</w:t>
      </w:r>
      <w:proofErr w:type="spellStart"/>
      <w:r w:rsidRPr="007A1B68">
        <w:t>ával</w:t>
      </w:r>
      <w:proofErr w:type="spellEnd"/>
      <w:r w:rsidRPr="007A1B68">
        <w:t>; mivel a tanzániai kormány a 2015-ös választásokkal ellentétben nem hívta meg az európai választási megfigyelő missziót;</w:t>
      </w:r>
    </w:p>
    <w:p w14:paraId="7B366F72" w14:textId="77777777" w:rsidR="00B10502" w:rsidRPr="007A1B68" w:rsidRDefault="00B10502" w:rsidP="00D34046">
      <w:pPr>
        <w:pStyle w:val="NormalHanging12a"/>
        <w:widowControl/>
      </w:pPr>
      <w:r w:rsidRPr="007A1B68">
        <w:t>D.</w:t>
      </w:r>
      <w:r w:rsidRPr="007A1B68">
        <w:tab/>
        <w:t xml:space="preserve">mivel Kaja </w:t>
      </w:r>
      <w:proofErr w:type="spellStart"/>
      <w:r w:rsidRPr="007A1B68">
        <w:t>Kallas</w:t>
      </w:r>
      <w:proofErr w:type="spellEnd"/>
      <w:r w:rsidRPr="007A1B68">
        <w:t>, az Unió külügyi és biztonságpolitikai főképviselője/a Bizottság alelnöke az Európai Unió nevében komoly aggodalmának adott hangot a Tanzániában a választásokat követően elkövetett erőszak miatt, és megjegyezte, hogy „a választások előtti időszakban az egyenlő versenyfeltételek hiánya kapcsán jelentések érkeztek emberrablásokról, eltűnésekről és erőszakos cselekedetekről, amelyek miatt szűkült a polgári és demokratikus tér”;</w:t>
      </w:r>
    </w:p>
    <w:p w14:paraId="725E7307" w14:textId="77777777" w:rsidR="00B10502" w:rsidRPr="007A1B68" w:rsidRDefault="00B10502" w:rsidP="00D34046">
      <w:pPr>
        <w:pStyle w:val="NormalHanging12a"/>
        <w:widowControl/>
      </w:pPr>
      <w:r w:rsidRPr="007A1B68">
        <w:t>E.</w:t>
      </w:r>
      <w:r w:rsidRPr="007A1B68">
        <w:tab/>
        <w:t xml:space="preserve">mivel </w:t>
      </w:r>
      <w:proofErr w:type="spellStart"/>
      <w:r w:rsidRPr="007A1B68">
        <w:t>Tundu</w:t>
      </w:r>
      <w:proofErr w:type="spellEnd"/>
      <w:r w:rsidRPr="007A1B68">
        <w:t xml:space="preserve"> </w:t>
      </w:r>
      <w:proofErr w:type="spellStart"/>
      <w:r w:rsidRPr="007A1B68">
        <w:t>Lissut</w:t>
      </w:r>
      <w:proofErr w:type="spellEnd"/>
      <w:r w:rsidRPr="007A1B68">
        <w:t xml:space="preserve">, Tanzánia fő ellenzéki pártja, a </w:t>
      </w:r>
      <w:proofErr w:type="spellStart"/>
      <w:r w:rsidRPr="007A1B68">
        <w:t>Chadema</w:t>
      </w:r>
      <w:proofErr w:type="spellEnd"/>
      <w:r w:rsidRPr="007A1B68">
        <w:t xml:space="preserve"> vezetőjét 2025. április 9-én letartóztatták, majd hazaárulással, valamint a </w:t>
      </w:r>
      <w:proofErr w:type="spellStart"/>
      <w:r w:rsidRPr="007A1B68">
        <w:t>kiberbűnözésre</w:t>
      </w:r>
      <w:proofErr w:type="spellEnd"/>
      <w:r w:rsidRPr="007A1B68">
        <w:t xml:space="preserve"> vonatkozó jogszabályok szerinti három, hamis információk közzétételével kapcsolatos bűncselekménnyel vádolták meg; mivel Tanzániában a hazaárulás halálbüntetést vonhat maga után; mivel az EU minden körülmények között egyértelműen ellenzi a halálbüntetést; mivel röviddel </w:t>
      </w:r>
      <w:proofErr w:type="spellStart"/>
      <w:r w:rsidRPr="007A1B68">
        <w:t>Lissu</w:t>
      </w:r>
      <w:proofErr w:type="spellEnd"/>
      <w:r w:rsidRPr="007A1B68">
        <w:t xml:space="preserve"> letartóztatását követően a </w:t>
      </w:r>
      <w:proofErr w:type="spellStart"/>
      <w:r w:rsidRPr="007A1B68">
        <w:t>Chademát</w:t>
      </w:r>
      <w:proofErr w:type="spellEnd"/>
      <w:r w:rsidRPr="007A1B68">
        <w:t xml:space="preserve"> kizárták a 2025. októberi elnöki és parlamenti választásokból, az alapján, hogy a párt megtagadta a választási magatartási kódex aláírását, és </w:t>
      </w:r>
      <w:proofErr w:type="spellStart"/>
      <w:r w:rsidRPr="007A1B68">
        <w:t>Luhaga</w:t>
      </w:r>
      <w:proofErr w:type="spellEnd"/>
      <w:r w:rsidRPr="007A1B68">
        <w:t xml:space="preserve"> </w:t>
      </w:r>
      <w:proofErr w:type="spellStart"/>
      <w:r w:rsidRPr="007A1B68">
        <w:t>Mpinát</w:t>
      </w:r>
      <w:proofErr w:type="spellEnd"/>
      <w:r w:rsidRPr="007A1B68">
        <w:t>, a második legnagyobb ellenzéki párt, az „</w:t>
      </w:r>
      <w:proofErr w:type="spellStart"/>
      <w:r w:rsidRPr="007A1B68">
        <w:t>Alliance</w:t>
      </w:r>
      <w:proofErr w:type="spellEnd"/>
      <w:r w:rsidRPr="007A1B68">
        <w:t xml:space="preserve"> </w:t>
      </w:r>
      <w:proofErr w:type="spellStart"/>
      <w:r w:rsidRPr="007A1B68">
        <w:t>for</w:t>
      </w:r>
      <w:proofErr w:type="spellEnd"/>
      <w:r w:rsidRPr="007A1B68">
        <w:t xml:space="preserve"> </w:t>
      </w:r>
      <w:proofErr w:type="spellStart"/>
      <w:r w:rsidRPr="007A1B68">
        <w:t>Change</w:t>
      </w:r>
      <w:proofErr w:type="spellEnd"/>
      <w:r w:rsidRPr="007A1B68">
        <w:t xml:space="preserve"> and </w:t>
      </w:r>
      <w:proofErr w:type="spellStart"/>
      <w:r w:rsidRPr="007A1B68">
        <w:t>Transparency</w:t>
      </w:r>
      <w:proofErr w:type="spellEnd"/>
      <w:r w:rsidRPr="007A1B68">
        <w:t>” (Szövetség a Változásért és az Átláthatóságért / ACT-</w:t>
      </w:r>
      <w:proofErr w:type="spellStart"/>
      <w:r w:rsidRPr="007A1B68">
        <w:t>Wazalendo</w:t>
      </w:r>
      <w:proofErr w:type="spellEnd"/>
      <w:r w:rsidRPr="007A1B68">
        <w:t>) jelöltjét is kizárták a választásokon való részvételből;</w:t>
      </w:r>
    </w:p>
    <w:p w14:paraId="2C6FD53F" w14:textId="184EF35C" w:rsidR="00B10502" w:rsidRPr="007A1B68" w:rsidRDefault="00B10502" w:rsidP="00D34046">
      <w:pPr>
        <w:pStyle w:val="NormalHanging12a"/>
        <w:widowControl/>
      </w:pPr>
      <w:r w:rsidRPr="007A1B68">
        <w:t>F.</w:t>
      </w:r>
      <w:r w:rsidRPr="007A1B68">
        <w:tab/>
        <w:t xml:space="preserve">mivel a tanzániai kormány nem teljesítette az Európai Parlament </w:t>
      </w:r>
      <w:r w:rsidR="008B5F98" w:rsidRPr="007A1B68">
        <w:t xml:space="preserve">2025. </w:t>
      </w:r>
      <w:r w:rsidRPr="007A1B68">
        <w:t xml:space="preserve">május 8-i állásfoglalásában megfogalmazott követelések egyikét sem, beleértve többek között a </w:t>
      </w:r>
      <w:proofErr w:type="spellStart"/>
      <w:r w:rsidRPr="007A1B68">
        <w:t>Lissu</w:t>
      </w:r>
      <w:proofErr w:type="spellEnd"/>
      <w:r w:rsidRPr="007A1B68">
        <w:t xml:space="preserve"> azonnali és feltétel nélküli szabadon bocsátására, az igazságügyi reform végrehajtására, az emberi jogi helyzet javítására és a választási reform előterjesztésére irányuló felhívást;</w:t>
      </w:r>
    </w:p>
    <w:p w14:paraId="5954958C" w14:textId="77777777" w:rsidR="00B10502" w:rsidRPr="007A1B68" w:rsidRDefault="00B10502" w:rsidP="00D34046">
      <w:pPr>
        <w:pStyle w:val="NormalHanging12a"/>
        <w:widowControl/>
      </w:pPr>
      <w:r w:rsidRPr="007A1B68">
        <w:t>G.</w:t>
      </w:r>
      <w:r w:rsidRPr="007A1B68">
        <w:tab/>
        <w:t xml:space="preserve">mivel Tanzánia visszacsúszása a közös értékek, elvek és érdekek előmozdítása iránti elkötelezettsége terén, különösen az emberi jogok, az alapvető szabadságok, a demokrácia, a jogállamiság, a jó kormányzás és a nyitott civil társadalmi tér tekintetében, valamint az ellenzék tagjaival, az emberijog-védőkkel, az őslakos népekkel, az LMBTIQ+-aktivistákkal, az újságírókkal és a civil társadalmi szervezetekkel szembeni fokozódó fellépés, önkényes letartóztatások, erőszak, támadások és zaklatás összeegyeztethetetlen az NDICI – Globális Európáról szóló rendelet szerinti földrajzi programokra vonatkozó programozási elvekkel; mivel a </w:t>
      </w:r>
      <w:r w:rsidRPr="007A1B68">
        <w:lastRenderedPageBreak/>
        <w:t>választásokat követő tanzániai válság közvetlen fenyegetést jelent a demokráciára, a jogállamiságra, az emberi jogokra és az alapvető szabadságokra az országban; mivel minden olyan tervezési és programozási döntés, amely nem veszi figyelembe ezeket a szempontokat, semmissé teszi az ilyen körülmények között elfogadott végrehajtási jogi aktusokat;</w:t>
      </w:r>
    </w:p>
    <w:p w14:paraId="1CF9F686" w14:textId="77777777" w:rsidR="00B10502" w:rsidRPr="007A1B68" w:rsidRDefault="00B10502" w:rsidP="00D34046">
      <w:pPr>
        <w:pStyle w:val="NormalHanging12a"/>
        <w:widowControl/>
      </w:pPr>
      <w:r w:rsidRPr="007A1B68">
        <w:t>H.</w:t>
      </w:r>
      <w:r w:rsidRPr="007A1B68">
        <w:tab/>
        <w:t>mivel az EU jelentősen támogatja Tanzánia digitális átalakulását – a 4G-be és az optikai infrastruktúrába, az e-kormányzásba, a digitális készségekbe és a magánszektor fejlesztésébe történő beruházások révén –, amelyek célja az információkhoz való hozzáférés bővítése és a nyitott digitális gazdaság előmozdítása; mivel azonban a tanzániai hatóságok e célokkal ellentétesen jártak el azáltal, hogy mind a választásokat megelőző időszakban, mind pedig a választásokat követő zavargások közepette letiltották az internet-hozzáférést, és olyan intézkedéseket vezettek be, amelyek aláásták a demokratikus részvételt, és az EU által támogatott digitális infrastruktúrával való visszaélés kockázatát hordozták magukban;</w:t>
      </w:r>
    </w:p>
    <w:p w14:paraId="3C734447" w14:textId="3D58FF8F" w:rsidR="00B10502" w:rsidRPr="007A1B68" w:rsidRDefault="00B10502" w:rsidP="00D34046">
      <w:pPr>
        <w:pStyle w:val="NormalHanging12a"/>
        <w:widowControl/>
      </w:pPr>
      <w:r w:rsidRPr="007A1B68">
        <w:t>1.</w:t>
      </w:r>
      <w:r w:rsidRPr="007A1B68">
        <w:tab/>
        <w:t>úgy véli, hogy a bizottsági végrehajtási határozat tervezete túllépi a</w:t>
      </w:r>
      <w:r w:rsidR="00030E56" w:rsidRPr="007A1B68">
        <w:t>z</w:t>
      </w:r>
      <w:r w:rsidRPr="007A1B68">
        <w:t xml:space="preserve"> </w:t>
      </w:r>
      <w:r w:rsidR="00030E56" w:rsidRPr="007A1B68">
        <w:t xml:space="preserve">(EU) </w:t>
      </w:r>
      <w:r w:rsidRPr="007A1B68">
        <w:t>2021/947</w:t>
      </w:r>
      <w:r w:rsidR="00030E56" w:rsidRPr="007A1B68">
        <w:t xml:space="preserve"> </w:t>
      </w:r>
      <w:r w:rsidRPr="007A1B68">
        <w:t>rendeletben meghatározott végrehajtási hatásköröket;</w:t>
      </w:r>
    </w:p>
    <w:p w14:paraId="2D0F2A37" w14:textId="4FE191FC" w:rsidR="00B10502" w:rsidRPr="007A1B68" w:rsidRDefault="00B10502" w:rsidP="00D34046">
      <w:pPr>
        <w:pStyle w:val="NormalHanging12a"/>
        <w:widowControl/>
      </w:pPr>
      <w:r w:rsidRPr="007A1B68">
        <w:t>2.</w:t>
      </w:r>
      <w:r w:rsidRPr="007A1B68">
        <w:tab/>
        <w:t>úgy véli, hogy a bizottsági végrehajtási határozat tervezete nem felel meg az uniós jognak, mivel nem egyeztethető össze a</w:t>
      </w:r>
      <w:r w:rsidR="00030E56" w:rsidRPr="007A1B68">
        <w:t>z</w:t>
      </w:r>
      <w:r w:rsidRPr="007A1B68">
        <w:t xml:space="preserve"> </w:t>
      </w:r>
      <w:r w:rsidR="00030E56" w:rsidRPr="007A1B68">
        <w:t xml:space="preserve">(EU) </w:t>
      </w:r>
      <w:r w:rsidRPr="007A1B68">
        <w:t>2021/947</w:t>
      </w:r>
      <w:r w:rsidR="00030E56" w:rsidRPr="007A1B68">
        <w:t xml:space="preserve"> </w:t>
      </w:r>
      <w:r w:rsidRPr="007A1B68">
        <w:t>rendelet céljával;</w:t>
      </w:r>
    </w:p>
    <w:p w14:paraId="39D35254" w14:textId="77777777" w:rsidR="00B10502" w:rsidRPr="007A1B68" w:rsidRDefault="00B10502" w:rsidP="00D34046">
      <w:pPr>
        <w:pStyle w:val="NormalHanging12a"/>
        <w:widowControl/>
      </w:pPr>
      <w:r w:rsidRPr="007A1B68">
        <w:t>3.</w:t>
      </w:r>
      <w:r w:rsidRPr="007A1B68">
        <w:tab/>
        <w:t>üdvözli, hogy a Bizottság felfüggesztette a végrehajtási határozat tervezete elfogadásának folyamatát, miután tájékoztatták az Európai Parlament aggályairól;</w:t>
      </w:r>
    </w:p>
    <w:p w14:paraId="7B0A2BE4" w14:textId="703C3AE4" w:rsidR="00B10502" w:rsidRPr="007A1B68" w:rsidRDefault="00B10502" w:rsidP="00D34046">
      <w:pPr>
        <w:pStyle w:val="NormalHanging12a"/>
        <w:widowControl/>
      </w:pPr>
      <w:r w:rsidRPr="007A1B68">
        <w:t>4.</w:t>
      </w:r>
      <w:r w:rsidRPr="007A1B68">
        <w:tab/>
        <w:t xml:space="preserve">felhívja a Bizottságot, hogy vonja vissza végrehajtási határozat tervezetét, és nyújtson be új </w:t>
      </w:r>
      <w:r w:rsidR="00CF1344" w:rsidRPr="007A1B68">
        <w:t>tervezetet a bizottságnak</w:t>
      </w:r>
      <w:r w:rsidRPr="007A1B68">
        <w:t>, amely tiszteletben tartja a felvetett aggályokat, biztosítva ugyanakkor, hogy az új változások ne befolyásolják hátrányosan a nem kormányzati szervezetek és a civil társadalom támogatására irányuló finanszírozást;</w:t>
      </w:r>
    </w:p>
    <w:p w14:paraId="5F66D99F" w14:textId="64488D4D" w:rsidR="00E365E1" w:rsidRPr="00794C2F" w:rsidRDefault="00B10502" w:rsidP="007A1B68">
      <w:pPr>
        <w:pStyle w:val="NormalHanging12a"/>
        <w:widowControl/>
      </w:pPr>
      <w:r w:rsidRPr="007A1B68">
        <w:t>5.</w:t>
      </w:r>
      <w:r w:rsidRPr="007A1B68">
        <w:tab/>
        <w:t>utasítja elnökét, hogy továbbítsa ezt az állásfoglalást a Tanácsnak és a Bizottságnak, valamint a tagállamok kormányainak és parlamentjeinek.</w:t>
      </w:r>
    </w:p>
    <w:sectPr w:rsidR="00E365E1" w:rsidRPr="00794C2F" w:rsidSect="00794C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F8B9C" w14:textId="77777777" w:rsidR="001D7F56" w:rsidRPr="00794C2F" w:rsidRDefault="001D7F56">
      <w:r w:rsidRPr="00794C2F">
        <w:separator/>
      </w:r>
    </w:p>
  </w:endnote>
  <w:endnote w:type="continuationSeparator" w:id="0">
    <w:p w14:paraId="7B0D1839" w14:textId="77777777" w:rsidR="001D7F56" w:rsidRPr="00794C2F" w:rsidRDefault="001D7F56">
      <w:r w:rsidRPr="00794C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E6BFC" w14:textId="77777777" w:rsidR="00064002" w:rsidRPr="00794C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A7CBE" w14:textId="77777777" w:rsidR="00064002" w:rsidRPr="00794C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1318" w14:textId="77777777" w:rsidR="00064002" w:rsidRPr="00794C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16BDD" w14:textId="77777777" w:rsidR="001D7F56" w:rsidRPr="00794C2F" w:rsidRDefault="001D7F56">
      <w:r w:rsidRPr="00794C2F">
        <w:separator/>
      </w:r>
    </w:p>
  </w:footnote>
  <w:footnote w:type="continuationSeparator" w:id="0">
    <w:p w14:paraId="00BF570F" w14:textId="77777777" w:rsidR="001D7F56" w:rsidRPr="00794C2F" w:rsidRDefault="001D7F56">
      <w:r w:rsidRPr="00794C2F">
        <w:continuationSeparator/>
      </w:r>
    </w:p>
  </w:footnote>
  <w:footnote w:id="1">
    <w:p w14:paraId="1B72E01E" w14:textId="0CB5F237" w:rsidR="00B10502" w:rsidRPr="00794C2F" w:rsidRDefault="00B10502" w:rsidP="00794C2F">
      <w:pPr>
        <w:pStyle w:val="FootnoteText"/>
        <w:ind w:left="567" w:hanging="567"/>
        <w:rPr>
          <w:sz w:val="24"/>
          <w:lang w:val="hu-HU"/>
        </w:rPr>
      </w:pPr>
      <w:r w:rsidRPr="00794C2F">
        <w:rPr>
          <w:sz w:val="24"/>
          <w:vertAlign w:val="superscript"/>
          <w:lang w:val="hu-HU"/>
        </w:rPr>
        <w:t>1</w:t>
      </w:r>
      <w:r w:rsidR="00794C2F" w:rsidRPr="00794C2F">
        <w:rPr>
          <w:sz w:val="24"/>
          <w:vertAlign w:val="superscript"/>
          <w:lang w:val="hu-HU"/>
        </w:rPr>
        <w:t xml:space="preserve"> </w:t>
      </w:r>
      <w:r w:rsidR="00794C2F" w:rsidRPr="00794C2F">
        <w:rPr>
          <w:sz w:val="24"/>
          <w:vertAlign w:val="superscript"/>
          <w:lang w:val="hu-HU"/>
        </w:rPr>
        <w:tab/>
      </w:r>
      <w:r w:rsidRPr="00794C2F">
        <w:rPr>
          <w:sz w:val="24"/>
          <w:lang w:val="hu-HU"/>
        </w:rPr>
        <w:t xml:space="preserve">HL L 209., 2021.6.14., 1. o., ELI: </w:t>
      </w:r>
      <w:hyperlink r:id="rId1" w:tgtFrame="http://data.europa.eu/eli/reg/2021/947/oj" w:history="1">
        <w:r w:rsidRPr="00794C2F">
          <w:rPr>
            <w:rStyle w:val="Hyperlink"/>
            <w:sz w:val="24"/>
            <w:lang w:val="hu-HU"/>
          </w:rPr>
          <w:t>http://data.europa.eu/eli/reg/2021/947/oj.</w:t>
        </w:r>
      </w:hyperlink>
    </w:p>
  </w:footnote>
  <w:footnote w:id="2">
    <w:p w14:paraId="5A75E2AB" w14:textId="21D4302A" w:rsidR="00CF1344" w:rsidRPr="00DD6C9A" w:rsidRDefault="00CF1344" w:rsidP="00B85011">
      <w:pPr>
        <w:pStyle w:val="FootnoteText"/>
        <w:ind w:left="567" w:hanging="567"/>
        <w:rPr>
          <w:lang w:val="hu-HU"/>
        </w:rPr>
      </w:pPr>
      <w:r w:rsidRPr="00DD6C9A">
        <w:rPr>
          <w:rStyle w:val="FootnoteReference"/>
          <w:sz w:val="24"/>
          <w:szCs w:val="24"/>
        </w:rPr>
        <w:footnoteRef/>
      </w:r>
      <w:r w:rsidRPr="00DD6C9A">
        <w:rPr>
          <w:sz w:val="24"/>
          <w:szCs w:val="24"/>
          <w:lang w:val="fi-FI"/>
        </w:rPr>
        <w:t xml:space="preserve"> </w:t>
      </w:r>
      <w:r>
        <w:rPr>
          <w:lang w:val="fi-FI"/>
        </w:rPr>
        <w:tab/>
      </w:r>
      <w:r>
        <w:rPr>
          <w:sz w:val="24"/>
          <w:szCs w:val="24"/>
          <w:lang w:val="hu-HU"/>
        </w:rPr>
        <w:t>HL</w:t>
      </w:r>
      <w:r w:rsidRPr="00DD6C9A">
        <w:rPr>
          <w:sz w:val="24"/>
          <w:szCs w:val="24"/>
          <w:lang w:val="hu-HU"/>
        </w:rPr>
        <w:t xml:space="preserve"> L 55</w:t>
      </w:r>
      <w:r w:rsidR="007A1B68">
        <w:rPr>
          <w:sz w:val="24"/>
          <w:szCs w:val="24"/>
          <w:lang w:val="hu-HU"/>
        </w:rPr>
        <w:t>.</w:t>
      </w:r>
      <w:r w:rsidRPr="00DD6C9A">
        <w:rPr>
          <w:sz w:val="24"/>
          <w:szCs w:val="24"/>
          <w:lang w:val="hu-HU"/>
        </w:rPr>
        <w:t>, 2011</w:t>
      </w:r>
      <w:r>
        <w:rPr>
          <w:sz w:val="24"/>
          <w:szCs w:val="24"/>
          <w:lang w:val="hu-HU"/>
        </w:rPr>
        <w:t>.2.28.</w:t>
      </w:r>
      <w:r w:rsidRPr="00DD6C9A">
        <w:rPr>
          <w:sz w:val="24"/>
          <w:szCs w:val="24"/>
          <w:lang w:val="hu-HU"/>
        </w:rPr>
        <w:t>, 13</w:t>
      </w:r>
      <w:r>
        <w:rPr>
          <w:sz w:val="24"/>
          <w:szCs w:val="24"/>
          <w:lang w:val="hu-HU"/>
        </w:rPr>
        <w:t>. o.</w:t>
      </w:r>
      <w:r w:rsidRPr="00DD6C9A">
        <w:rPr>
          <w:sz w:val="24"/>
          <w:szCs w:val="24"/>
          <w:lang w:val="hu-HU"/>
        </w:rPr>
        <w:t xml:space="preserve">, ELI: </w:t>
      </w:r>
      <w:hyperlink r:id="rId2" w:tooltip="Gives access to this document through its ELI URI." w:history="1">
        <w:r w:rsidRPr="00DD6C9A">
          <w:rPr>
            <w:rStyle w:val="Hyperlink"/>
            <w:sz w:val="24"/>
            <w:szCs w:val="24"/>
            <w:lang w:val="fi-FI"/>
          </w:rPr>
          <w:t>http://data.europa.eu/eli/reg/2011/182/oj</w:t>
        </w:r>
      </w:hyperlink>
      <w:r w:rsidRPr="00DD6C9A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60C60" w14:textId="77777777" w:rsidR="00064002" w:rsidRPr="00794C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B993" w14:textId="77777777" w:rsidR="00064002" w:rsidRPr="00794C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E756D" w14:textId="77777777" w:rsidR="00064002" w:rsidRPr="00794C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0073663">
    <w:abstractNumId w:val="9"/>
  </w:num>
  <w:num w:numId="2" w16cid:durableId="1292511952">
    <w:abstractNumId w:val="9"/>
  </w:num>
  <w:num w:numId="3" w16cid:durableId="553662718">
    <w:abstractNumId w:val="7"/>
  </w:num>
  <w:num w:numId="4" w16cid:durableId="1431395708">
    <w:abstractNumId w:val="7"/>
  </w:num>
  <w:num w:numId="5" w16cid:durableId="713966608">
    <w:abstractNumId w:val="6"/>
  </w:num>
  <w:num w:numId="6" w16cid:durableId="1875654618">
    <w:abstractNumId w:val="6"/>
  </w:num>
  <w:num w:numId="7" w16cid:durableId="127170739">
    <w:abstractNumId w:val="5"/>
  </w:num>
  <w:num w:numId="8" w16cid:durableId="1831827125">
    <w:abstractNumId w:val="5"/>
  </w:num>
  <w:num w:numId="9" w16cid:durableId="260843739">
    <w:abstractNumId w:val="4"/>
  </w:num>
  <w:num w:numId="10" w16cid:durableId="1802722675">
    <w:abstractNumId w:val="4"/>
  </w:num>
  <w:num w:numId="11" w16cid:durableId="959263171">
    <w:abstractNumId w:val="8"/>
  </w:num>
  <w:num w:numId="12" w16cid:durableId="961573372">
    <w:abstractNumId w:val="8"/>
  </w:num>
  <w:num w:numId="13" w16cid:durableId="1922564334">
    <w:abstractNumId w:val="3"/>
  </w:num>
  <w:num w:numId="14" w16cid:durableId="74862427">
    <w:abstractNumId w:val="3"/>
  </w:num>
  <w:num w:numId="15" w16cid:durableId="1783723918">
    <w:abstractNumId w:val="2"/>
  </w:num>
  <w:num w:numId="16" w16cid:durableId="353927019">
    <w:abstractNumId w:val="2"/>
  </w:num>
  <w:num w:numId="17" w16cid:durableId="1782214134">
    <w:abstractNumId w:val="1"/>
  </w:num>
  <w:num w:numId="18" w16cid:durableId="613248911">
    <w:abstractNumId w:val="1"/>
  </w:num>
  <w:num w:numId="19" w16cid:durableId="2141651578">
    <w:abstractNumId w:val="0"/>
  </w:num>
  <w:num w:numId="20" w16cid:durableId="1103695974">
    <w:abstractNumId w:val="0"/>
  </w:num>
  <w:num w:numId="21" w16cid:durableId="2089229855">
    <w:abstractNumId w:val="9"/>
  </w:num>
  <w:num w:numId="22" w16cid:durableId="1018503398">
    <w:abstractNumId w:val="7"/>
  </w:num>
  <w:num w:numId="23" w16cid:durableId="85687747">
    <w:abstractNumId w:val="6"/>
  </w:num>
  <w:num w:numId="24" w16cid:durableId="869491878">
    <w:abstractNumId w:val="5"/>
  </w:num>
  <w:num w:numId="25" w16cid:durableId="1181163645">
    <w:abstractNumId w:val="4"/>
  </w:num>
  <w:num w:numId="26" w16cid:durableId="1143431472">
    <w:abstractNumId w:val="8"/>
  </w:num>
  <w:num w:numId="27" w16cid:durableId="1009020898">
    <w:abstractNumId w:val="3"/>
  </w:num>
  <w:num w:numId="28" w16cid:durableId="98304564">
    <w:abstractNumId w:val="2"/>
  </w:num>
  <w:num w:numId="29" w16cid:durableId="697782974">
    <w:abstractNumId w:val="1"/>
  </w:num>
  <w:num w:numId="30" w16cid:durableId="1486820639">
    <w:abstractNumId w:val="0"/>
  </w:num>
  <w:num w:numId="31" w16cid:durableId="1669556586">
    <w:abstractNumId w:val="9"/>
  </w:num>
  <w:num w:numId="32" w16cid:durableId="195197919">
    <w:abstractNumId w:val="7"/>
  </w:num>
  <w:num w:numId="33" w16cid:durableId="1173060445">
    <w:abstractNumId w:val="6"/>
  </w:num>
  <w:num w:numId="34" w16cid:durableId="1371031061">
    <w:abstractNumId w:val="5"/>
  </w:num>
  <w:num w:numId="35" w16cid:durableId="1605572538">
    <w:abstractNumId w:val="4"/>
  </w:num>
  <w:num w:numId="36" w16cid:durableId="36440233">
    <w:abstractNumId w:val="8"/>
  </w:num>
  <w:num w:numId="37" w16cid:durableId="61297126">
    <w:abstractNumId w:val="3"/>
  </w:num>
  <w:num w:numId="38" w16cid:durableId="2119568709">
    <w:abstractNumId w:val="2"/>
  </w:num>
  <w:num w:numId="39" w16cid:durableId="831259179">
    <w:abstractNumId w:val="1"/>
  </w:num>
  <w:num w:numId="40" w16cid:durableId="1410344736">
    <w:abstractNumId w:val="0"/>
  </w:num>
  <w:num w:numId="41" w16cid:durableId="1304383772">
    <w:abstractNumId w:val="10"/>
  </w:num>
  <w:num w:numId="42" w16cid:durableId="539588949">
    <w:abstractNumId w:val="10"/>
  </w:num>
  <w:num w:numId="43" w16cid:durableId="216671795">
    <w:abstractNumId w:val="10"/>
  </w:num>
  <w:num w:numId="44" w16cid:durableId="103621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5/2025"/>
    <w:docVar w:name="dvlangue" w:val="HU"/>
    <w:docVar w:name="dvnumam" w:val="0"/>
    <w:docVar w:name="dvpe" w:val="779.716"/>
    <w:docVar w:name="dvtitre" w:val="Az Európai Parlament 2025.  ...-i állásfoglalása a Tanzániai Egyesült Köztársaság 2025-re vonatkozó éves cselekvési tervének finanszírozásáról szóló bizottsági végrehajtási határozat tervezetéről(D110180/02 – 2025/2979(RSP))"/>
  </w:docVars>
  <w:rsids>
    <w:rsidRoot w:val="001D7F56"/>
    <w:rsid w:val="00002272"/>
    <w:rsid w:val="00030E56"/>
    <w:rsid w:val="00064002"/>
    <w:rsid w:val="000677B9"/>
    <w:rsid w:val="000831BA"/>
    <w:rsid w:val="000A42CC"/>
    <w:rsid w:val="000E7DD9"/>
    <w:rsid w:val="0010095E"/>
    <w:rsid w:val="00125B37"/>
    <w:rsid w:val="00170111"/>
    <w:rsid w:val="00187494"/>
    <w:rsid w:val="001D7F5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442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C2F"/>
    <w:rsid w:val="007A1B68"/>
    <w:rsid w:val="007D1690"/>
    <w:rsid w:val="007E22AD"/>
    <w:rsid w:val="00817416"/>
    <w:rsid w:val="00842779"/>
    <w:rsid w:val="00865F67"/>
    <w:rsid w:val="00881A7B"/>
    <w:rsid w:val="008840E5"/>
    <w:rsid w:val="00887B3E"/>
    <w:rsid w:val="008B5F98"/>
    <w:rsid w:val="008C2041"/>
    <w:rsid w:val="008C2AC6"/>
    <w:rsid w:val="008F617F"/>
    <w:rsid w:val="00930C23"/>
    <w:rsid w:val="0093193B"/>
    <w:rsid w:val="009509D8"/>
    <w:rsid w:val="00950B64"/>
    <w:rsid w:val="00981893"/>
    <w:rsid w:val="009D32FA"/>
    <w:rsid w:val="00A1687D"/>
    <w:rsid w:val="00A43E52"/>
    <w:rsid w:val="00A4678D"/>
    <w:rsid w:val="00A778C7"/>
    <w:rsid w:val="00AB441E"/>
    <w:rsid w:val="00AB6293"/>
    <w:rsid w:val="00AE0928"/>
    <w:rsid w:val="00AF3B82"/>
    <w:rsid w:val="00B10502"/>
    <w:rsid w:val="00B12E95"/>
    <w:rsid w:val="00B22876"/>
    <w:rsid w:val="00B47994"/>
    <w:rsid w:val="00B558F0"/>
    <w:rsid w:val="00B8501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344"/>
    <w:rsid w:val="00D058B8"/>
    <w:rsid w:val="00D26C83"/>
    <w:rsid w:val="00D34046"/>
    <w:rsid w:val="00D56C11"/>
    <w:rsid w:val="00D834A0"/>
    <w:rsid w:val="00D872DF"/>
    <w:rsid w:val="00D91E21"/>
    <w:rsid w:val="00D95140"/>
    <w:rsid w:val="00DA7FCD"/>
    <w:rsid w:val="00E365E1"/>
    <w:rsid w:val="00E820A4"/>
    <w:rsid w:val="00E83A4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9D287"/>
  <w15:chartTrackingRefBased/>
  <w15:docId w15:val="{1700EDBF-0AEC-49EF-AF7E-75845246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10502"/>
    <w:pPr>
      <w:spacing w:before="480" w:after="240"/>
    </w:pPr>
  </w:style>
  <w:style w:type="paragraph" w:customStyle="1" w:styleId="NormalHanging12a">
    <w:name w:val="NormalHanging12a"/>
    <w:basedOn w:val="Normal"/>
    <w:rsid w:val="00B10502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1050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34046"/>
    <w:rPr>
      <w:sz w:val="24"/>
      <w:lang w:val="hu-HU"/>
    </w:rPr>
  </w:style>
  <w:style w:type="character" w:styleId="CommentReference">
    <w:name w:val="annotation reference"/>
    <w:basedOn w:val="DefaultParagraphFont"/>
    <w:rsid w:val="00CF13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1344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CF1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21/94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2025-11-27T13:05:00Z</dcterms:created>
  <dcterms:modified xsi:type="dcterms:W3CDTF">2025-11-27T13:05:00Z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B10-0505/2025</vt:lpwstr>
  </property>
  <property fmtid="{D5CDD505-2E9C-101B-9397-08002B2CF9AE}" pid="4" name="&lt;Type&gt;">
    <vt:lpwstr>RR</vt:lpwstr>
  </property>
</Properties>
</file>