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55E2" w14:paraId="6E117D57" w14:textId="77777777" w:rsidTr="0010095E">
        <w:trPr>
          <w:trHeight w:hRule="exact" w:val="1418"/>
        </w:trPr>
        <w:tc>
          <w:tcPr>
            <w:tcW w:w="6804" w:type="dxa"/>
            <w:shd w:val="clear" w:color="auto" w:fill="auto"/>
            <w:vAlign w:val="center"/>
          </w:tcPr>
          <w:p w14:paraId="2833867B" w14:textId="77777777" w:rsidR="00751A4A" w:rsidRPr="006A55E2" w:rsidRDefault="00DD63E5" w:rsidP="0010095E">
            <w:pPr>
              <w:pStyle w:val="EPName"/>
            </w:pPr>
            <w:r w:rsidRPr="006A55E2">
              <w:t>Eiropas Parlaments</w:t>
            </w:r>
          </w:p>
          <w:p w14:paraId="5BBAE536" w14:textId="77777777" w:rsidR="00751A4A" w:rsidRPr="006A55E2" w:rsidRDefault="005F1B17" w:rsidP="005F1B17">
            <w:pPr>
              <w:pStyle w:val="EPTerm"/>
              <w:rPr>
                <w:rStyle w:val="HideTWBExt"/>
                <w:noProof w:val="0"/>
                <w:vanish w:val="0"/>
                <w:color w:val="auto"/>
              </w:rPr>
            </w:pPr>
            <w:r w:rsidRPr="006A55E2">
              <w:t>2024</w:t>
            </w:r>
            <w:r w:rsidR="00817416" w:rsidRPr="006A55E2">
              <w:t>-202</w:t>
            </w:r>
            <w:r w:rsidRPr="006A55E2">
              <w:t>9</w:t>
            </w:r>
          </w:p>
        </w:tc>
        <w:tc>
          <w:tcPr>
            <w:tcW w:w="2268" w:type="dxa"/>
            <w:shd w:val="clear" w:color="auto" w:fill="auto"/>
          </w:tcPr>
          <w:p w14:paraId="2BF8423A" w14:textId="77777777" w:rsidR="00751A4A" w:rsidRPr="006A55E2" w:rsidRDefault="00187494" w:rsidP="0010095E">
            <w:pPr>
              <w:pStyle w:val="EPLogo"/>
            </w:pPr>
            <w:r w:rsidRPr="006A55E2">
              <w:rPr>
                <w:noProof/>
                <w:lang w:eastAsia="ja-JP"/>
              </w:rPr>
              <w:drawing>
                <wp:inline distT="0" distB="0" distL="0" distR="0" wp14:anchorId="6AAA6ECC" wp14:editId="276966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025D61" w14:textId="77777777" w:rsidR="00D058B8" w:rsidRPr="006A55E2" w:rsidRDefault="00D058B8" w:rsidP="004C5D52">
      <w:pPr>
        <w:pStyle w:val="LineTop"/>
      </w:pPr>
    </w:p>
    <w:p w14:paraId="65C525EE" w14:textId="77777777" w:rsidR="00680577" w:rsidRPr="006A55E2" w:rsidRDefault="00DD63E5" w:rsidP="00680577">
      <w:pPr>
        <w:pStyle w:val="EPBodyTA1"/>
      </w:pPr>
      <w:r w:rsidRPr="006A55E2">
        <w:t>PIEŅEMTIE TEKSTI</w:t>
      </w:r>
    </w:p>
    <w:p w14:paraId="574D178B" w14:textId="77777777" w:rsidR="00D058B8" w:rsidRPr="006A55E2" w:rsidRDefault="00D058B8" w:rsidP="00D058B8">
      <w:pPr>
        <w:pStyle w:val="LineBottom"/>
      </w:pPr>
    </w:p>
    <w:p w14:paraId="438D018B" w14:textId="3A2CA484" w:rsidR="00DD63E5" w:rsidRPr="006A55E2" w:rsidRDefault="00DD63E5" w:rsidP="00DD63E5">
      <w:pPr>
        <w:pStyle w:val="ATHeading1"/>
      </w:pPr>
      <w:bookmarkStart w:id="0" w:name="TANumber"/>
      <w:r w:rsidRPr="006A55E2">
        <w:t>P10_TA(2025)0</w:t>
      </w:r>
      <w:bookmarkEnd w:id="0"/>
      <w:r w:rsidR="00020F6A">
        <w:t>314</w:t>
      </w:r>
    </w:p>
    <w:p w14:paraId="1381075E" w14:textId="6AE0E3C5" w:rsidR="00DD63E5" w:rsidRPr="000677DC" w:rsidRDefault="000677DC" w:rsidP="000677DC">
      <w:pPr>
        <w:pStyle w:val="ATHeading2"/>
      </w:pPr>
      <w:r w:rsidRPr="000677DC">
        <w:rPr>
          <w:bCs/>
        </w:rPr>
        <w:t>2025. gada rīcības plāna</w:t>
      </w:r>
      <w:r>
        <w:rPr>
          <w:bCs/>
        </w:rPr>
        <w:t xml:space="preserve"> </w:t>
      </w:r>
      <w:r w:rsidRPr="000677DC">
        <w:rPr>
          <w:bCs/>
        </w:rPr>
        <w:t>finansēšana Tanzānijas atbalstam</w:t>
      </w:r>
    </w:p>
    <w:p w14:paraId="58045AC4" w14:textId="77777777" w:rsidR="00DD63E5" w:rsidRPr="006A55E2" w:rsidRDefault="00DD63E5" w:rsidP="00DD63E5">
      <w:pPr>
        <w:rPr>
          <w:i/>
          <w:vanish/>
        </w:rPr>
      </w:pPr>
      <w:r w:rsidRPr="006A55E2">
        <w:rPr>
          <w:i/>
        </w:rPr>
        <w:fldChar w:fldCharType="begin"/>
      </w:r>
      <w:r w:rsidRPr="006A55E2">
        <w:rPr>
          <w:i/>
        </w:rPr>
        <w:instrText xml:space="preserve"> TC"(</w:instrText>
      </w:r>
      <w:bookmarkStart w:id="1" w:name="DocNumber"/>
      <w:r w:rsidRPr="006A55E2">
        <w:rPr>
          <w:i/>
        </w:rPr>
        <w:instrText>B10-0505/2025</w:instrText>
      </w:r>
      <w:bookmarkEnd w:id="1"/>
      <w:r w:rsidRPr="006A55E2">
        <w:rPr>
          <w:i/>
        </w:rPr>
        <w:instrText xml:space="preserve">)"\l3 \n&gt; \* MERGEFORMAT </w:instrText>
      </w:r>
      <w:r w:rsidRPr="006A55E2">
        <w:rPr>
          <w:i/>
        </w:rPr>
        <w:fldChar w:fldCharType="end"/>
      </w:r>
    </w:p>
    <w:p w14:paraId="3A1B0531" w14:textId="77777777" w:rsidR="00DD63E5" w:rsidRPr="006A55E2" w:rsidRDefault="00DD63E5" w:rsidP="00DD63E5">
      <w:pPr>
        <w:rPr>
          <w:vanish/>
        </w:rPr>
      </w:pPr>
      <w:bookmarkStart w:id="2" w:name="PE"/>
      <w:r w:rsidRPr="006A55E2">
        <w:rPr>
          <w:vanish/>
        </w:rPr>
        <w:t>PE779.716</w:t>
      </w:r>
      <w:bookmarkEnd w:id="2"/>
    </w:p>
    <w:p w14:paraId="4785879F" w14:textId="2264DF5D" w:rsidR="008D2F47" w:rsidRPr="006A55E2" w:rsidRDefault="00DD63E5" w:rsidP="000677DC">
      <w:pPr>
        <w:pStyle w:val="ATHeading3"/>
      </w:pPr>
      <w:bookmarkStart w:id="3" w:name="Sujet"/>
      <w:r w:rsidRPr="006A55E2">
        <w:t xml:space="preserve">Eiropas Parlamenta 2025. gada </w:t>
      </w:r>
      <w:r w:rsidR="00811329">
        <w:t>27</w:t>
      </w:r>
      <w:r w:rsidRPr="006A55E2">
        <w:t xml:space="preserve">. </w:t>
      </w:r>
      <w:r w:rsidR="00811329">
        <w:t>novembra</w:t>
      </w:r>
      <w:r w:rsidRPr="006A55E2">
        <w:t xml:space="preserve"> rezolūcija par projektu Komisijas īstenošanas lēmumam par ikgadējā rīcības plāna finansēšanu Tanzānijas Savienotās Republikas labā 2025. gadā</w:t>
      </w:r>
      <w:bookmarkEnd w:id="3"/>
      <w:r w:rsidRPr="006A55E2">
        <w:t xml:space="preserve"> </w:t>
      </w:r>
      <w:bookmarkStart w:id="4" w:name="References"/>
      <w:r w:rsidRPr="006A55E2">
        <w:t>(D110180/02 – 2025/2979(RSP))</w:t>
      </w:r>
      <w:bookmarkStart w:id="5" w:name="TextBodyBegin"/>
      <w:bookmarkEnd w:id="4"/>
      <w:bookmarkEnd w:id="5"/>
    </w:p>
    <w:p w14:paraId="68B0BA3F" w14:textId="77777777" w:rsidR="008D2F47" w:rsidRPr="006A55E2" w:rsidRDefault="008D2F47" w:rsidP="008D2F47">
      <w:pPr>
        <w:pStyle w:val="EPComma"/>
      </w:pPr>
      <w:r w:rsidRPr="006A55E2">
        <w:rPr>
          <w:i/>
        </w:rPr>
        <w:t>Eiropas Parlaments</w:t>
      </w:r>
      <w:r w:rsidRPr="006A55E2">
        <w:t>,</w:t>
      </w:r>
    </w:p>
    <w:p w14:paraId="5EE5FAC5" w14:textId="77777777" w:rsidR="008D2F47" w:rsidRPr="006A55E2" w:rsidRDefault="008D2F47" w:rsidP="008D2F47">
      <w:pPr>
        <w:pStyle w:val="NormalHanging12a"/>
      </w:pPr>
      <w:r w:rsidRPr="006A55E2">
        <w:t>–</w:t>
      </w:r>
      <w:r w:rsidRPr="006A55E2">
        <w:tab/>
        <w:t>ņemot vērā projektu Komisijas īstenošanas lēmumam par ikgadējā rīcības plāna finansēšanu Tanzānijas Savienotās Republikas labā 2025. gadā (D110180/02),</w:t>
      </w:r>
    </w:p>
    <w:p w14:paraId="37D24962" w14:textId="64B9DF68" w:rsidR="008D2F47" w:rsidRDefault="008D2F47" w:rsidP="008D2F47">
      <w:pPr>
        <w:pStyle w:val="NormalHanging12a"/>
      </w:pPr>
      <w:r w:rsidRPr="006A55E2">
        <w:t>–</w:t>
      </w:r>
      <w:r w:rsidRPr="006A55E2">
        <w:tab/>
        <w:t xml:space="preserve">ņemot vērā Eiropas Parlamenta un Padomes 2021. gada 9. jūnija Regulu </w:t>
      </w:r>
      <w:r w:rsidR="00682980">
        <w:t xml:space="preserve">(ES) </w:t>
      </w:r>
      <w:r w:rsidRPr="006A55E2">
        <w:t xml:space="preserve">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6A55E2">
        <w:rPr>
          <w:i/>
        </w:rPr>
        <w:t>Euratom</w:t>
      </w:r>
      <w:r w:rsidRPr="006A55E2">
        <w:t>) Nr. 480/2009</w:t>
      </w:r>
      <w:r w:rsidR="00682980">
        <w:rPr>
          <w:rStyle w:val="FootnoteReference"/>
        </w:rPr>
        <w:footnoteReference w:id="1"/>
      </w:r>
      <w:r w:rsidRPr="006A55E2">
        <w:t xml:space="preserve"> (</w:t>
      </w:r>
      <w:r w:rsidRPr="006A55E2">
        <w:rPr>
          <w:i/>
        </w:rPr>
        <w:t>NDICI</w:t>
      </w:r>
      <w:r w:rsidRPr="006A55E2">
        <w:t xml:space="preserve"> — "Eiropa pasaulē" regula),</w:t>
      </w:r>
      <w:r w:rsidR="00682980">
        <w:t xml:space="preserve"> </w:t>
      </w:r>
      <w:r w:rsidR="00682980" w:rsidRPr="00D277F7">
        <w:t xml:space="preserve">un jo īpaši </w:t>
      </w:r>
      <w:r w:rsidR="00085899">
        <w:t xml:space="preserve">tās </w:t>
      </w:r>
      <w:r w:rsidR="00682980" w:rsidRPr="00D277F7">
        <w:t>25. pantu</w:t>
      </w:r>
      <w:r w:rsidR="00682980">
        <w:t>,</w:t>
      </w:r>
    </w:p>
    <w:p w14:paraId="1DA02737" w14:textId="0D02F80E" w:rsidR="00682980" w:rsidRDefault="00682980" w:rsidP="00682980">
      <w:pPr>
        <w:pStyle w:val="NormalHanging12a"/>
      </w:pPr>
      <w:r w:rsidRPr="00D277F7">
        <w:t>–</w:t>
      </w:r>
      <w:r w:rsidRPr="00D277F7">
        <w:tab/>
        <w:t xml:space="preserve">ņemot vērā </w:t>
      </w:r>
      <w:r>
        <w:t>Regulas</w:t>
      </w:r>
      <w:r w:rsidRPr="00D277F7">
        <w:t xml:space="preserve"> </w:t>
      </w:r>
      <w:r>
        <w:t xml:space="preserve">(ES) </w:t>
      </w:r>
      <w:r w:rsidRPr="006A55E2">
        <w:t>2021/947</w:t>
      </w:r>
      <w:r>
        <w:t xml:space="preserve"> 45</w:t>
      </w:r>
      <w:r w:rsidRPr="00D277F7">
        <w:t>. pantā noteiktās komitejas 202</w:t>
      </w:r>
      <w:r>
        <w:t>5</w:t>
      </w:r>
      <w:r w:rsidRPr="00D277F7">
        <w:t xml:space="preserve">. gada </w:t>
      </w:r>
      <w:r>
        <w:t>22</w:t>
      </w:r>
      <w:r w:rsidRPr="00D277F7">
        <w:t>. </w:t>
      </w:r>
      <w:r>
        <w:t>okto</w:t>
      </w:r>
      <w:r w:rsidRPr="00D277F7">
        <w:t>bra atzinumu,</w:t>
      </w:r>
    </w:p>
    <w:p w14:paraId="3CFF124F" w14:textId="45364517" w:rsidR="00682980" w:rsidRPr="00D277F7" w:rsidRDefault="00682980" w:rsidP="00020F6A">
      <w:pPr>
        <w:pStyle w:val="NormalHanging12a"/>
      </w:pPr>
      <w:r w:rsidRPr="00D277F7">
        <w:t>–</w:t>
      </w:r>
      <w:r w:rsidRPr="00D277F7">
        <w:tab/>
        <w:t xml:space="preserve">ņemot vērā 11. pantu Eiropas Parlamenta un Padomes 2011. gada 16. februāra Regulā </w:t>
      </w:r>
      <w:bookmarkStart w:id="6" w:name="_Hlk335642125"/>
      <w:r w:rsidRPr="00D277F7">
        <w:t>(ES) Nr. 182/2011</w:t>
      </w:r>
      <w:bookmarkEnd w:id="6"/>
      <w:r w:rsidRPr="00D277F7">
        <w:t>, ar ko nosaka normas un vispārīgus principus par dalībvalstu kontroles mehānismiem, kuri attiecas uz Komisijas īstenošanas pilnvaru izmantošanu</w:t>
      </w:r>
      <w:r>
        <w:rPr>
          <w:rStyle w:val="FootnoteReference"/>
        </w:rPr>
        <w:footnoteReference w:id="2"/>
      </w:r>
      <w:r w:rsidRPr="00D277F7">
        <w:t>,</w:t>
      </w:r>
    </w:p>
    <w:p w14:paraId="14F37C8C" w14:textId="77777777" w:rsidR="008D2F47" w:rsidRPr="006A55E2" w:rsidRDefault="008D2F47" w:rsidP="008D2F47">
      <w:pPr>
        <w:pStyle w:val="NormalHanging12a"/>
      </w:pPr>
      <w:r w:rsidRPr="006A55E2">
        <w:t>–</w:t>
      </w:r>
      <w:r w:rsidRPr="006A55E2">
        <w:tab/>
        <w:t xml:space="preserve">ņemot vērā Eiropas Parlamenta 2025. gada 8. maija rezolūciju par Tanzānijas opozīcijas lielākās partijas "Chadema" priekšsēdētāja </w:t>
      </w:r>
      <w:r w:rsidRPr="006A55E2">
        <w:rPr>
          <w:i/>
        </w:rPr>
        <w:t>Tundu Lissu</w:t>
      </w:r>
      <w:r w:rsidRPr="006A55E2">
        <w:t xml:space="preserve"> apcietināšanu un iespējamo sodīšanu ar nāvi,</w:t>
      </w:r>
    </w:p>
    <w:p w14:paraId="5BFDB384" w14:textId="77777777" w:rsidR="008D2F47" w:rsidRDefault="008D2F47" w:rsidP="008D2F47">
      <w:pPr>
        <w:pStyle w:val="NormalHanging12a"/>
      </w:pPr>
      <w:r w:rsidRPr="006A55E2">
        <w:t>–</w:t>
      </w:r>
      <w:r w:rsidRPr="006A55E2">
        <w:tab/>
        <w:t>ņemot vērā Reglamenta 115. panta 2. un 3. punktu,</w:t>
      </w:r>
    </w:p>
    <w:p w14:paraId="392300CE" w14:textId="480FC681" w:rsidR="006F76D0" w:rsidRPr="006A55E2" w:rsidRDefault="006F76D0" w:rsidP="008D2F47">
      <w:pPr>
        <w:pStyle w:val="NormalHanging12a"/>
      </w:pPr>
      <w:r w:rsidRPr="006A55E2">
        <w:t>–</w:t>
      </w:r>
      <w:r w:rsidRPr="006A55E2">
        <w:tab/>
      </w:r>
      <w:r>
        <w:t xml:space="preserve">ņemot vērā </w:t>
      </w:r>
      <w:r w:rsidRPr="006A55E2">
        <w:t>Ārlietu komitejas un Attīstības komitejas</w:t>
      </w:r>
      <w:r>
        <w:t xml:space="preserve"> kopīgās apspriedes saskaņā ar Reglamenta 59. pantu,</w:t>
      </w:r>
    </w:p>
    <w:p w14:paraId="2EDCB2AF" w14:textId="77777777" w:rsidR="008D2F47" w:rsidRPr="006A55E2" w:rsidRDefault="008D2F47" w:rsidP="008D2F47">
      <w:pPr>
        <w:pStyle w:val="NormalHanging12a"/>
      </w:pPr>
      <w:r w:rsidRPr="006A55E2">
        <w:lastRenderedPageBreak/>
        <w:t>–</w:t>
      </w:r>
      <w:r w:rsidRPr="006A55E2">
        <w:tab/>
        <w:t>ņemot vērā Ārlietu komitejas un Attīstības komitejas rezolūcijas priekšlikumu,</w:t>
      </w:r>
    </w:p>
    <w:p w14:paraId="63BFB458" w14:textId="48B0D14C" w:rsidR="008D2F47" w:rsidRPr="006A55E2" w:rsidRDefault="008D2F47" w:rsidP="008D2F47">
      <w:pPr>
        <w:pStyle w:val="NormalHanging12a"/>
      </w:pPr>
      <w:r w:rsidRPr="006A55E2">
        <w:t>A.</w:t>
      </w:r>
      <w:r w:rsidRPr="006A55E2">
        <w:tab/>
        <w:t xml:space="preserve">tā kā </w:t>
      </w:r>
      <w:r w:rsidR="006F76D0">
        <w:t xml:space="preserve">2025. gada </w:t>
      </w:r>
      <w:r w:rsidRPr="006A55E2">
        <w:t xml:space="preserve">22. oktobrī </w:t>
      </w:r>
      <w:r w:rsidRPr="006A55E2">
        <w:rPr>
          <w:i/>
        </w:rPr>
        <w:t>NDICI</w:t>
      </w:r>
      <w:r w:rsidRPr="006A55E2">
        <w:t xml:space="preserve"> komitejai tika iesniegts </w:t>
      </w:r>
      <w:r w:rsidR="006F76D0" w:rsidRPr="006F76D0">
        <w:t>Komisijas īstenošanas lēmuma projekts</w:t>
      </w:r>
      <w:r w:rsidRPr="006A55E2">
        <w:t>;</w:t>
      </w:r>
    </w:p>
    <w:p w14:paraId="4C768CD4" w14:textId="425A2B0C" w:rsidR="008D2F47" w:rsidRPr="006A55E2" w:rsidRDefault="008D2F47" w:rsidP="008D2F47">
      <w:pPr>
        <w:pStyle w:val="NormalHanging12a"/>
      </w:pPr>
      <w:r w:rsidRPr="006A55E2">
        <w:t>B.</w:t>
      </w:r>
      <w:r w:rsidRPr="006A55E2">
        <w:tab/>
        <w:t xml:space="preserve">tā kā </w:t>
      </w:r>
      <w:r w:rsidR="006F76D0" w:rsidRPr="006F76D0">
        <w:t>Komisijas īstenošanas lēmuma projekts</w:t>
      </w:r>
      <w:r w:rsidRPr="006A55E2">
        <w:t xml:space="preserve"> liecina par Komisijas maldinošu pieeju, kas nepilnīgi atspoguļo demokrātijas un cilvēktiesību trūkumus Tanzānijā pēdējo gadu laikā, jo īpaši kopš krāpnieciskajām vēlēšanām 2025. gada oktobrī, pēc kurām valdība apspieda demonstrācijas, kuru rezultātā gāja bojā vairāk nekā 400 cilvēku un simtiem cilvēku ir apsūdzēti nodevībā;</w:t>
      </w:r>
    </w:p>
    <w:p w14:paraId="7B057A54" w14:textId="77777777" w:rsidR="008D2F47" w:rsidRPr="006A55E2" w:rsidRDefault="008D2F47" w:rsidP="008D2F47">
      <w:pPr>
        <w:pStyle w:val="NormalHanging12a"/>
      </w:pPr>
      <w:r w:rsidRPr="006A55E2">
        <w:t>C.</w:t>
      </w:r>
      <w:r w:rsidRPr="006A55E2">
        <w:tab/>
        <w:t>tā kā Āfrikas Savienības vēlēšanu novērošanas misija ir asi kritizējusi Tanzānijas prezidenta vēlēšanu norisi, kurās esošais prezidents tika ievēlēts ar šķietami 98 % balsu; tā kā Tanzānijas valdība, atšķirībā no 2015. gada vēlēšanām, neuzaicināja Eiropas vēlēšanu novērošanas misiju;</w:t>
      </w:r>
    </w:p>
    <w:p w14:paraId="1C32D623" w14:textId="77777777" w:rsidR="008D2F47" w:rsidRPr="006A55E2" w:rsidRDefault="008D2F47" w:rsidP="008D2F47">
      <w:pPr>
        <w:pStyle w:val="NormalHanging12a"/>
      </w:pPr>
      <w:r w:rsidRPr="006A55E2">
        <w:t>D.</w:t>
      </w:r>
      <w:r w:rsidRPr="006A55E2">
        <w:tab/>
        <w:t xml:space="preserve">tā kā Savienības Augstā pārstāve ārlietās un drošības politikas jautājumos/Komisijas priekšsēdētājas vietniece </w:t>
      </w:r>
      <w:r w:rsidRPr="006A55E2">
        <w:rPr>
          <w:i/>
        </w:rPr>
        <w:t>Kaja Kallassa</w:t>
      </w:r>
      <w:r w:rsidRPr="006A55E2">
        <w:t xml:space="preserve"> Eiropas Savienības vārdā pauda nopietnas bažas par vardarbību pēc vēlēšanām Tanzānijā un norādīja, ka "vienlīdzīgu konkurences apstākļu trūkumu pirms vēlēšanām iezīmēja ziņojumi par nolaupīšanām, pazušanām un vardarbību, kas ierobežo pilsonisko un demokrātisko telpu";</w:t>
      </w:r>
    </w:p>
    <w:p w14:paraId="654DCCA9" w14:textId="77777777" w:rsidR="008D2F47" w:rsidRPr="006A55E2" w:rsidRDefault="008D2F47" w:rsidP="008D2F47">
      <w:pPr>
        <w:pStyle w:val="NormalHanging12a"/>
      </w:pPr>
      <w:r w:rsidRPr="006A55E2">
        <w:t>E.</w:t>
      </w:r>
      <w:r w:rsidRPr="006A55E2">
        <w:tab/>
        <w:t xml:space="preserve">tā kā Tanzānijas galvenās opozīcijas partijas "Chadema" līderis </w:t>
      </w:r>
      <w:r w:rsidRPr="006A55E2">
        <w:rPr>
          <w:i/>
        </w:rPr>
        <w:t>Tundu Lissu</w:t>
      </w:r>
      <w:r w:rsidRPr="006A55E2">
        <w:t xml:space="preserve"> tika arestēts 2025. gada 9. aprīlī un vēlāk apsūdzēts nodevībā, kā arī trīs pārkāpumos par nepatiesas informācijas publicēšanu saskaņā ar tiesību aktiem kibernoziedzības jomā; tā kā par valsts nodevību Tanzānijā var piespriest nāvessodu; tā kā ES nepārprotami iebilst pret nāvessodu jebkādos apstākļos; tā kā neilgi pēc </w:t>
      </w:r>
      <w:r w:rsidRPr="006A55E2">
        <w:rPr>
          <w:i/>
        </w:rPr>
        <w:t>Lissu</w:t>
      </w:r>
      <w:r w:rsidRPr="006A55E2">
        <w:t xml:space="preserve"> aresta "Chadema" tika diskvalificēta no 2025. gada oktobra prezidenta un parlamenta vēlēšanām, jo partija atteicās parakstīt vēlēšanu rīcības kodeksu, arī otrās lielākās opozīcijas partijas "Pārmaiņu un pārredzamības alianse" (</w:t>
      </w:r>
      <w:r w:rsidRPr="006A55E2">
        <w:rPr>
          <w:i/>
        </w:rPr>
        <w:t>ACT-Wazalendo</w:t>
      </w:r>
      <w:r w:rsidRPr="006A55E2">
        <w:t xml:space="preserve">) kandidāts </w:t>
      </w:r>
      <w:r w:rsidRPr="006A55E2">
        <w:rPr>
          <w:i/>
        </w:rPr>
        <w:t>Luhaga Mpina</w:t>
      </w:r>
      <w:r w:rsidRPr="006A55E2">
        <w:t xml:space="preserve"> tika diskvalificēts no kandidēšanas;</w:t>
      </w:r>
    </w:p>
    <w:p w14:paraId="74B16853" w14:textId="6A1DBC16" w:rsidR="008D2F47" w:rsidRPr="006A55E2" w:rsidRDefault="008D2F47" w:rsidP="008D2F47">
      <w:pPr>
        <w:pStyle w:val="NormalHanging12a"/>
      </w:pPr>
      <w:r w:rsidRPr="006A55E2">
        <w:t>F.</w:t>
      </w:r>
      <w:r w:rsidRPr="006A55E2">
        <w:tab/>
        <w:t xml:space="preserve">tā kā Tanzānijas valdība nav izpildījusi nevienu no Eiropas Parlamenta </w:t>
      </w:r>
      <w:r w:rsidR="006F76D0">
        <w:t xml:space="preserve">2025. gada </w:t>
      </w:r>
      <w:r w:rsidRPr="006A55E2">
        <w:t xml:space="preserve">8. maija rezolūcijā izvirzītajām prasībām, tostarp aicinājumu nekavējoties un bez nosacījumiem atbrīvot </w:t>
      </w:r>
      <w:r w:rsidRPr="006A55E2">
        <w:rPr>
          <w:i/>
        </w:rPr>
        <w:t>T. Lissu</w:t>
      </w:r>
      <w:r w:rsidRPr="006A55E2">
        <w:t>, īstenot tiesu sistēmas reformu, uzlabot cilvēktiesību situāciju un ierosināt vēlēšanu reformu;</w:t>
      </w:r>
    </w:p>
    <w:p w14:paraId="54FC3ECC" w14:textId="77777777" w:rsidR="008D2F47" w:rsidRPr="006A55E2" w:rsidRDefault="008D2F47" w:rsidP="008D2F47">
      <w:pPr>
        <w:pStyle w:val="NormalHanging12a"/>
      </w:pPr>
      <w:r w:rsidRPr="006A55E2">
        <w:t>G.</w:t>
      </w:r>
      <w:r w:rsidRPr="006A55E2">
        <w:tab/>
        <w:t xml:space="preserve">tā kā Tanzānijas atkāpšanās no apņemšanās veicināt kopējās vērtības, principus un intereses, jo īpaši attiecībā uz cilvēktiesībām, pamatbrīvībām, demokrātiju, tiesiskumu, labu pārvaldību un atvērtu pilsonisko telpu, kā arī pieaugošās represijas, patvaļīgi aresti, vardarbība, uzbrukumi un vajāšana pret opozīcijas locekļiem, cilvēktiesību aizstāvjiem, pamatiedzīvotājiem, </w:t>
      </w:r>
      <w:r w:rsidRPr="006A55E2">
        <w:rPr>
          <w:i/>
        </w:rPr>
        <w:t>LGBTIQ</w:t>
      </w:r>
      <w:r w:rsidRPr="006A55E2">
        <w:t xml:space="preserve">+ aktīvistiem, žurnālistiem un pilsoniskās sabiedrības organizācijām neatbilst regulā </w:t>
      </w:r>
      <w:r w:rsidRPr="006A55E2">
        <w:rPr>
          <w:i/>
        </w:rPr>
        <w:t>NDICI-</w:t>
      </w:r>
      <w:r w:rsidRPr="006A55E2">
        <w:t xml:space="preserve"> — "Eiropa pasaulē" noteiktajiem ģeogrāfisko programmu plānošanas principiem; tā kā pēcvēlēšanu krīze Tanzānijā rada tiešus draudus demokrātijai, tiesiskumam, cilvēktiesībām vai pamatbrīvībām valstī; tā kā jebkādi plānošanas un programmēšanas lēmumi, kuros šie aspekti netiek ņemti vērā, padara šādos apstākļos pieņemtus īstenošanas aktus par spēkā neesošiem;</w:t>
      </w:r>
    </w:p>
    <w:p w14:paraId="6C0201AE" w14:textId="77777777" w:rsidR="008D2F47" w:rsidRPr="006A55E2" w:rsidRDefault="008D2F47" w:rsidP="008D2F47">
      <w:pPr>
        <w:pStyle w:val="NormalHanging12a"/>
      </w:pPr>
      <w:r w:rsidRPr="006A55E2">
        <w:t>H.</w:t>
      </w:r>
      <w:r w:rsidRPr="006A55E2">
        <w:tab/>
        <w:t xml:space="preserve">tā kā ES sniedz ievērojamu atbalstu Tanzānijas digitālajai pārveidei, veicot ieguldījumus 4G un optiskās šķiedras infrastruktūrā, e-pārvaldībā, digitālajās prasmēs un privātā sektora attīstībā, nolūkā paplašināt piekļuvi informācijai un veicināt atvērtu </w:t>
      </w:r>
      <w:r w:rsidRPr="006A55E2">
        <w:lastRenderedPageBreak/>
        <w:t>digitālo ekonomiku; tā kā Tanzānijas iestādes tomēr ir rīkojušās pretēji šiem mērķiem, nosakot interneta atslēgšanas ierobežojumus gan pirms vēlēšanām, gan pēcvēlēšanu nemieru laikā, un šie pasākumi apdraudēja demokrātisko līdzdalību un radīja risku ļaunprātīgi izmantot ES atbalstīto digitālo infrastruktūru;</w:t>
      </w:r>
    </w:p>
    <w:p w14:paraId="24076DCB" w14:textId="6A43DF5A" w:rsidR="008D2F47" w:rsidRPr="006A55E2" w:rsidRDefault="008D2F47" w:rsidP="008D2F47">
      <w:pPr>
        <w:pStyle w:val="NormalHanging12a"/>
      </w:pPr>
      <w:r w:rsidRPr="006A55E2">
        <w:t>1.</w:t>
      </w:r>
      <w:r w:rsidRPr="006A55E2">
        <w:tab/>
        <w:t>uzskata, ka Komisijas īstenošanas lēmuma projekts pārsniedz Regulā (E</w:t>
      </w:r>
      <w:r w:rsidR="006F76D0">
        <w:t>S</w:t>
      </w:r>
      <w:r w:rsidRPr="006A55E2">
        <w:t>) 2021/947 paredzētās īstenošanas pilnvaras;</w:t>
      </w:r>
    </w:p>
    <w:p w14:paraId="4C0BC8B5" w14:textId="00731868" w:rsidR="008D2F47" w:rsidRDefault="008D2F47" w:rsidP="008D2F47">
      <w:pPr>
        <w:pStyle w:val="NormalHanging12a"/>
      </w:pPr>
      <w:bookmarkStart w:id="7" w:name="_Hlk215144906"/>
      <w:r w:rsidRPr="006A55E2">
        <w:t>2.</w:t>
      </w:r>
      <w:r w:rsidRPr="006A55E2">
        <w:tab/>
        <w:t xml:space="preserve">uzskata, ka Komisijas īstenošanas lēmuma projekts neatbilst Savienības </w:t>
      </w:r>
      <w:r w:rsidRPr="00020F6A">
        <w:t>tiesību aktiem,</w:t>
      </w:r>
      <w:r w:rsidRPr="006A55E2">
        <w:t xml:space="preserve"> jo tas nav saderīgs ar Regulas (</w:t>
      </w:r>
      <w:r w:rsidR="006F76D0" w:rsidRPr="006A55E2">
        <w:t>E</w:t>
      </w:r>
      <w:r w:rsidR="006F76D0">
        <w:t>S</w:t>
      </w:r>
      <w:r w:rsidRPr="006A55E2">
        <w:t>) 2021/947 mērķi;</w:t>
      </w:r>
    </w:p>
    <w:bookmarkEnd w:id="7"/>
    <w:p w14:paraId="7B1F97ED" w14:textId="77777777" w:rsidR="008D2F47" w:rsidRPr="006A55E2" w:rsidRDefault="008D2F47" w:rsidP="008D2F47">
      <w:pPr>
        <w:pStyle w:val="NormalHanging12a"/>
      </w:pPr>
      <w:r w:rsidRPr="006A55E2">
        <w:t>3.</w:t>
      </w:r>
      <w:r w:rsidRPr="006A55E2">
        <w:tab/>
        <w:t>atzinīgi vērtē to, ka Komisija apturēja īstenošanas lēmuma projekta pieņemšanas procesu pēc tam, kad saņēma informāciju par Eiropas Parlamenta paustajām bažām;</w:t>
      </w:r>
    </w:p>
    <w:p w14:paraId="06144694" w14:textId="334B66D9" w:rsidR="008D2F47" w:rsidRDefault="008D2F47" w:rsidP="008D2F47">
      <w:pPr>
        <w:pStyle w:val="NormalHanging12a"/>
      </w:pPr>
      <w:bookmarkStart w:id="8" w:name="_Hlk215145064"/>
      <w:r w:rsidRPr="006A55E2">
        <w:t>4.</w:t>
      </w:r>
      <w:r w:rsidRPr="006A55E2">
        <w:tab/>
      </w:r>
      <w:r w:rsidR="00020F6A" w:rsidRPr="00DF4F5B">
        <w:t xml:space="preserve">prasa Komisijai </w:t>
      </w:r>
      <w:r w:rsidRPr="00B756F5">
        <w:t xml:space="preserve">atsaukt īstenošanas lēmuma projektu un iesniegt </w:t>
      </w:r>
      <w:r w:rsidR="006F76D0" w:rsidRPr="00DF4F5B">
        <w:t>komitejai jaunu projektu</w:t>
      </w:r>
      <w:r w:rsidRPr="00B756F5">
        <w:t>, kurā</w:t>
      </w:r>
      <w:r w:rsidRPr="006A55E2">
        <w:t xml:space="preserve"> ņemtas vērā paustās bažas, vienlaikus nodrošinot, ka jebkādas jaunas izmaiņas nelabvēlīgi neietekmē NVO un pilsoniskās sabiedrības atbalstam paredzēto finansējumu;</w:t>
      </w:r>
    </w:p>
    <w:bookmarkEnd w:id="8"/>
    <w:p w14:paraId="52E44965" w14:textId="72D9B4BB" w:rsidR="006A55E2" w:rsidRPr="006A55E2" w:rsidRDefault="008D2F47" w:rsidP="006A55E2">
      <w:pPr>
        <w:pStyle w:val="NormalHanging12a"/>
      </w:pPr>
      <w:r w:rsidRPr="006A55E2">
        <w:t>5.</w:t>
      </w:r>
      <w:r w:rsidRPr="006A55E2">
        <w:tab/>
        <w:t>uzdod priekšsēdētājai šo rezolūciju nosūtīt Padomei un Komisijai, kā arī dalībvalstu valdībām un parlamentiem.</w:t>
      </w:r>
    </w:p>
    <w:p w14:paraId="5D053B75" w14:textId="6E15DE3E" w:rsidR="00E365E1" w:rsidRPr="006A55E2" w:rsidRDefault="00E365E1" w:rsidP="00DD63E5"/>
    <w:sectPr w:rsidR="00E365E1" w:rsidRPr="006A55E2" w:rsidSect="006A55E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8928D" w14:textId="77777777" w:rsidR="00DD63E5" w:rsidRPr="006A55E2" w:rsidRDefault="00DD63E5">
      <w:r w:rsidRPr="006A55E2">
        <w:separator/>
      </w:r>
    </w:p>
  </w:endnote>
  <w:endnote w:type="continuationSeparator" w:id="0">
    <w:p w14:paraId="02F10DDE" w14:textId="77777777" w:rsidR="00DD63E5" w:rsidRPr="006A55E2" w:rsidRDefault="00DD63E5">
      <w:r w:rsidRPr="006A55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2095D" w14:textId="77777777" w:rsidR="00064002" w:rsidRPr="006A55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ABC5" w14:textId="77777777" w:rsidR="00064002" w:rsidRPr="006A55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80A6" w14:textId="77777777" w:rsidR="00064002" w:rsidRPr="006A55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D80E4" w14:textId="77777777" w:rsidR="00DD63E5" w:rsidRPr="006A55E2" w:rsidRDefault="00DD63E5">
      <w:r w:rsidRPr="006A55E2">
        <w:separator/>
      </w:r>
    </w:p>
  </w:footnote>
  <w:footnote w:type="continuationSeparator" w:id="0">
    <w:p w14:paraId="4E9A33F6" w14:textId="77777777" w:rsidR="00DD63E5" w:rsidRPr="006A55E2" w:rsidRDefault="00DD63E5">
      <w:r w:rsidRPr="006A55E2">
        <w:continuationSeparator/>
      </w:r>
    </w:p>
  </w:footnote>
  <w:footnote w:id="1">
    <w:p w14:paraId="6F0B08A3" w14:textId="1F0C48EB" w:rsidR="00682980" w:rsidRPr="00020F6A" w:rsidRDefault="00682980">
      <w:pPr>
        <w:pStyle w:val="FootnoteText"/>
        <w:rPr>
          <w:lang w:val="lv-LV"/>
        </w:rPr>
      </w:pPr>
      <w:r>
        <w:rPr>
          <w:rStyle w:val="FootnoteReference"/>
        </w:rPr>
        <w:footnoteRef/>
      </w:r>
      <w:r w:rsidRPr="00020F6A">
        <w:rPr>
          <w:lang w:val="fi-FI"/>
        </w:rPr>
        <w:t xml:space="preserve"> </w:t>
      </w:r>
      <w:r>
        <w:rPr>
          <w:lang w:val="lv-LV"/>
        </w:rPr>
        <w:tab/>
      </w:r>
      <w:r w:rsidRPr="006A55E2">
        <w:rPr>
          <w:sz w:val="24"/>
          <w:lang w:val="lv-LV"/>
        </w:rPr>
        <w:t xml:space="preserve">OV L 209, 14.6.2021., 1. lpp., ELI: </w:t>
      </w:r>
      <w:hyperlink r:id="rId1" w:tgtFrame="http://data.europa.eu/eli/reg/2021/947/oj" w:history="1">
        <w:r w:rsidRPr="006A55E2">
          <w:rPr>
            <w:rStyle w:val="Hyperlink"/>
            <w:sz w:val="24"/>
            <w:lang w:val="lv-LV"/>
          </w:rPr>
          <w:t>http://data.europa.eu/eli/reg/2021/947/oj.</w:t>
        </w:r>
      </w:hyperlink>
    </w:p>
  </w:footnote>
  <w:footnote w:id="2">
    <w:p w14:paraId="4E054E0F" w14:textId="0E59DA9C" w:rsidR="00682980" w:rsidRPr="00020F6A" w:rsidRDefault="00682980">
      <w:pPr>
        <w:pStyle w:val="FootnoteText"/>
        <w:rPr>
          <w:lang w:val="lv-LV"/>
        </w:rPr>
      </w:pPr>
      <w:r>
        <w:rPr>
          <w:rStyle w:val="FootnoteReference"/>
        </w:rPr>
        <w:footnoteRef/>
      </w:r>
      <w:r w:rsidRPr="00020F6A">
        <w:rPr>
          <w:lang w:val="fi-FI"/>
        </w:rPr>
        <w:t xml:space="preserve"> </w:t>
      </w:r>
      <w:r>
        <w:rPr>
          <w:lang w:val="lv-LV"/>
        </w:rPr>
        <w:tab/>
      </w:r>
      <w:r w:rsidRPr="00F81304">
        <w:rPr>
          <w:sz w:val="24"/>
          <w:szCs w:val="24"/>
          <w:lang w:val="hu-HU"/>
        </w:rPr>
        <w:t>O</w:t>
      </w:r>
      <w:r>
        <w:rPr>
          <w:sz w:val="24"/>
          <w:szCs w:val="24"/>
          <w:lang w:val="hu-HU"/>
        </w:rPr>
        <w:t>V</w:t>
      </w:r>
      <w:r w:rsidRPr="00F81304">
        <w:rPr>
          <w:sz w:val="24"/>
          <w:szCs w:val="24"/>
          <w:lang w:val="hu-HU"/>
        </w:rPr>
        <w:t xml:space="preserve"> L 55, 28.2.2011</w:t>
      </w:r>
      <w:r>
        <w:rPr>
          <w:sz w:val="24"/>
          <w:szCs w:val="24"/>
          <w:lang w:val="hu-HU"/>
        </w:rPr>
        <w:t>.</w:t>
      </w:r>
      <w:r w:rsidRPr="00F81304">
        <w:rPr>
          <w:sz w:val="24"/>
          <w:szCs w:val="24"/>
          <w:lang w:val="hu-HU"/>
        </w:rPr>
        <w:t>, 13</w:t>
      </w:r>
      <w:r>
        <w:rPr>
          <w:sz w:val="24"/>
          <w:szCs w:val="24"/>
          <w:lang w:val="hu-HU"/>
        </w:rPr>
        <w:t>. lpp.</w:t>
      </w:r>
      <w:r w:rsidRPr="00F81304">
        <w:rPr>
          <w:sz w:val="24"/>
          <w:szCs w:val="24"/>
          <w:lang w:val="hu-HU"/>
        </w:rPr>
        <w:t xml:space="preserve">, ELI: </w:t>
      </w:r>
      <w:hyperlink r:id="rId2" w:tooltip="Gives access to this document through its ELI URI." w:history="1">
        <w:r w:rsidRPr="00F81304">
          <w:rPr>
            <w:rStyle w:val="Hyperlink"/>
            <w:sz w:val="24"/>
            <w:szCs w:val="24"/>
            <w:lang w:val="fi-FI"/>
          </w:rPr>
          <w:t>http://data.europa.eu/eli/reg/2011/182/oj</w:t>
        </w:r>
      </w:hyperlink>
      <w:r>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A82AB" w14:textId="77777777" w:rsidR="00064002" w:rsidRPr="006A55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A57D" w14:textId="77777777" w:rsidR="00064002" w:rsidRPr="006A55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50BF" w14:textId="77777777" w:rsidR="00064002" w:rsidRPr="006A55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8734145">
    <w:abstractNumId w:val="9"/>
  </w:num>
  <w:num w:numId="2" w16cid:durableId="477384227">
    <w:abstractNumId w:val="9"/>
  </w:num>
  <w:num w:numId="3" w16cid:durableId="803542720">
    <w:abstractNumId w:val="7"/>
  </w:num>
  <w:num w:numId="4" w16cid:durableId="2071877255">
    <w:abstractNumId w:val="7"/>
  </w:num>
  <w:num w:numId="5" w16cid:durableId="1487820133">
    <w:abstractNumId w:val="6"/>
  </w:num>
  <w:num w:numId="6" w16cid:durableId="1361198574">
    <w:abstractNumId w:val="6"/>
  </w:num>
  <w:num w:numId="7" w16cid:durableId="692852050">
    <w:abstractNumId w:val="5"/>
  </w:num>
  <w:num w:numId="8" w16cid:durableId="2050951584">
    <w:abstractNumId w:val="5"/>
  </w:num>
  <w:num w:numId="9" w16cid:durableId="1626961144">
    <w:abstractNumId w:val="4"/>
  </w:num>
  <w:num w:numId="10" w16cid:durableId="2031760928">
    <w:abstractNumId w:val="4"/>
  </w:num>
  <w:num w:numId="11" w16cid:durableId="343945285">
    <w:abstractNumId w:val="8"/>
  </w:num>
  <w:num w:numId="12" w16cid:durableId="2042319548">
    <w:abstractNumId w:val="8"/>
  </w:num>
  <w:num w:numId="13" w16cid:durableId="1694723972">
    <w:abstractNumId w:val="3"/>
  </w:num>
  <w:num w:numId="14" w16cid:durableId="1889564374">
    <w:abstractNumId w:val="3"/>
  </w:num>
  <w:num w:numId="15" w16cid:durableId="1867593561">
    <w:abstractNumId w:val="2"/>
  </w:num>
  <w:num w:numId="16" w16cid:durableId="1091318439">
    <w:abstractNumId w:val="2"/>
  </w:num>
  <w:num w:numId="17" w16cid:durableId="2018147238">
    <w:abstractNumId w:val="1"/>
  </w:num>
  <w:num w:numId="18" w16cid:durableId="1497840117">
    <w:abstractNumId w:val="1"/>
  </w:num>
  <w:num w:numId="19" w16cid:durableId="104232072">
    <w:abstractNumId w:val="0"/>
  </w:num>
  <w:num w:numId="20" w16cid:durableId="650134410">
    <w:abstractNumId w:val="0"/>
  </w:num>
  <w:num w:numId="21" w16cid:durableId="1970626262">
    <w:abstractNumId w:val="9"/>
  </w:num>
  <w:num w:numId="22" w16cid:durableId="888034968">
    <w:abstractNumId w:val="7"/>
  </w:num>
  <w:num w:numId="23" w16cid:durableId="602684932">
    <w:abstractNumId w:val="6"/>
  </w:num>
  <w:num w:numId="24" w16cid:durableId="1805392510">
    <w:abstractNumId w:val="5"/>
  </w:num>
  <w:num w:numId="25" w16cid:durableId="1403869087">
    <w:abstractNumId w:val="4"/>
  </w:num>
  <w:num w:numId="26" w16cid:durableId="1738043790">
    <w:abstractNumId w:val="8"/>
  </w:num>
  <w:num w:numId="27" w16cid:durableId="1355304616">
    <w:abstractNumId w:val="3"/>
  </w:num>
  <w:num w:numId="28" w16cid:durableId="1612978983">
    <w:abstractNumId w:val="2"/>
  </w:num>
  <w:num w:numId="29" w16cid:durableId="1618295771">
    <w:abstractNumId w:val="1"/>
  </w:num>
  <w:num w:numId="30" w16cid:durableId="791557073">
    <w:abstractNumId w:val="0"/>
  </w:num>
  <w:num w:numId="31" w16cid:durableId="1072653609">
    <w:abstractNumId w:val="9"/>
  </w:num>
  <w:num w:numId="32" w16cid:durableId="1723940782">
    <w:abstractNumId w:val="7"/>
  </w:num>
  <w:num w:numId="33" w16cid:durableId="2069567010">
    <w:abstractNumId w:val="6"/>
  </w:num>
  <w:num w:numId="34" w16cid:durableId="1778259096">
    <w:abstractNumId w:val="5"/>
  </w:num>
  <w:num w:numId="35" w16cid:durableId="234903372">
    <w:abstractNumId w:val="4"/>
  </w:num>
  <w:num w:numId="36" w16cid:durableId="478234594">
    <w:abstractNumId w:val="8"/>
  </w:num>
  <w:num w:numId="37" w16cid:durableId="1776561825">
    <w:abstractNumId w:val="3"/>
  </w:num>
  <w:num w:numId="38" w16cid:durableId="1821920795">
    <w:abstractNumId w:val="2"/>
  </w:num>
  <w:num w:numId="39" w16cid:durableId="1048064793">
    <w:abstractNumId w:val="1"/>
  </w:num>
  <w:num w:numId="40" w16cid:durableId="1126853586">
    <w:abstractNumId w:val="0"/>
  </w:num>
  <w:num w:numId="41" w16cid:durableId="336856611">
    <w:abstractNumId w:val="10"/>
  </w:num>
  <w:num w:numId="42" w16cid:durableId="1957446385">
    <w:abstractNumId w:val="10"/>
  </w:num>
  <w:num w:numId="43" w16cid:durableId="1322924174">
    <w:abstractNumId w:val="10"/>
  </w:num>
  <w:num w:numId="44" w16cid:durableId="1957787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LV"/>
    <w:docVar w:name="dvnumam" w:val="0"/>
    <w:docVar w:name="dvpe" w:val="779.716"/>
    <w:docVar w:name="dvtitre" w:val="Eiropas Parlamenta 2025. gada XX. XXX  rezolūcija par projektu Komisijas īstenošanas lēmumam par ikgadējā rīcības plāna finansēšanu Tanzānijas Savienotās Republikas labā 2025. gadā(D110180/02 – 2025/2979(RSP))"/>
  </w:docVars>
  <w:rsids>
    <w:rsidRoot w:val="00DD63E5"/>
    <w:rsid w:val="00002272"/>
    <w:rsid w:val="00020F6A"/>
    <w:rsid w:val="00064002"/>
    <w:rsid w:val="000677B9"/>
    <w:rsid w:val="000677DC"/>
    <w:rsid w:val="000831BA"/>
    <w:rsid w:val="00085899"/>
    <w:rsid w:val="000A42CC"/>
    <w:rsid w:val="000E7DD9"/>
    <w:rsid w:val="0010095E"/>
    <w:rsid w:val="00125B37"/>
    <w:rsid w:val="00187494"/>
    <w:rsid w:val="001F32AE"/>
    <w:rsid w:val="00226052"/>
    <w:rsid w:val="002767FF"/>
    <w:rsid w:val="002B18FE"/>
    <w:rsid w:val="002B5493"/>
    <w:rsid w:val="00343214"/>
    <w:rsid w:val="00361C00"/>
    <w:rsid w:val="0039172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2980"/>
    <w:rsid w:val="006A55E2"/>
    <w:rsid w:val="006F74FA"/>
    <w:rsid w:val="006F76D0"/>
    <w:rsid w:val="00731ADD"/>
    <w:rsid w:val="00734777"/>
    <w:rsid w:val="00747932"/>
    <w:rsid w:val="00751A4A"/>
    <w:rsid w:val="00756632"/>
    <w:rsid w:val="00762C74"/>
    <w:rsid w:val="00786EC0"/>
    <w:rsid w:val="007B4398"/>
    <w:rsid w:val="007D1690"/>
    <w:rsid w:val="007E22AD"/>
    <w:rsid w:val="00811329"/>
    <w:rsid w:val="00817416"/>
    <w:rsid w:val="00842779"/>
    <w:rsid w:val="00865F67"/>
    <w:rsid w:val="00881A7B"/>
    <w:rsid w:val="008840E5"/>
    <w:rsid w:val="00887B3E"/>
    <w:rsid w:val="008C2AC6"/>
    <w:rsid w:val="008D2F4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6F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3E5"/>
    <w:rsid w:val="00DF4F5B"/>
    <w:rsid w:val="00E227D3"/>
    <w:rsid w:val="00E365E1"/>
    <w:rsid w:val="00E820A4"/>
    <w:rsid w:val="00EB006A"/>
    <w:rsid w:val="00EB4772"/>
    <w:rsid w:val="00ED169E"/>
    <w:rsid w:val="00ED4235"/>
    <w:rsid w:val="00F04346"/>
    <w:rsid w:val="00F075DC"/>
    <w:rsid w:val="00F149E9"/>
    <w:rsid w:val="00F5134D"/>
    <w:rsid w:val="00F74202"/>
    <w:rsid w:val="00F87713"/>
    <w:rsid w:val="00FB4360"/>
    <w:rsid w:val="00FC03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E4AF2"/>
  <w15:chartTrackingRefBased/>
  <w15:docId w15:val="{1E884016-CE4E-4547-9F12-CF8F7771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2F47"/>
    <w:pPr>
      <w:spacing w:before="480" w:after="240"/>
    </w:pPr>
  </w:style>
  <w:style w:type="paragraph" w:customStyle="1" w:styleId="NormalHanging12a">
    <w:name w:val="NormalHanging12a"/>
    <w:basedOn w:val="Normal"/>
    <w:rsid w:val="008D2F47"/>
    <w:pPr>
      <w:spacing w:after="240"/>
      <w:ind w:left="567" w:hanging="567"/>
    </w:pPr>
  </w:style>
  <w:style w:type="paragraph" w:customStyle="1" w:styleId="NormalBold">
    <w:name w:val="NormalBold"/>
    <w:basedOn w:val="Normal"/>
    <w:rsid w:val="008D2F47"/>
    <w:rPr>
      <w:b/>
    </w:rPr>
  </w:style>
  <w:style w:type="character" w:styleId="Hyperlink">
    <w:name w:val="Hyperlink"/>
    <w:basedOn w:val="DefaultParagraphFont"/>
    <w:unhideWhenUsed/>
    <w:rsid w:val="008D2F47"/>
    <w:rPr>
      <w:color w:val="0563C1" w:themeColor="hyperlink"/>
      <w:u w:val="single"/>
    </w:rPr>
  </w:style>
  <w:style w:type="paragraph" w:styleId="Revision">
    <w:name w:val="Revision"/>
    <w:hidden/>
    <w:uiPriority w:val="99"/>
    <w:semiHidden/>
    <w:rsid w:val="00811329"/>
    <w:rPr>
      <w:sz w:val="24"/>
      <w:lang w:val="lv-LV"/>
    </w:rPr>
  </w:style>
  <w:style w:type="paragraph" w:customStyle="1" w:styleId="Visa">
    <w:name w:val="Visa"/>
    <w:basedOn w:val="Normal"/>
    <w:rsid w:val="00811329"/>
    <w:pPr>
      <w:tabs>
        <w:tab w:val="left" w:pos="357"/>
      </w:tabs>
      <w:spacing w:after="240"/>
      <w:ind w:left="357" w:hanging="357"/>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2026-01-21T15:50:00Z</dcterms:created>
  <dcterms:modified xsi:type="dcterms:W3CDTF">2026-01-21T15:50:00Z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P10_TA(2025)0314_</vt:lpwstr>
  </property>
  <property fmtid="{D5CDD505-2E9C-101B-9397-08002B2CF9AE}" pid="4" name="&lt;Type&gt;">
    <vt:lpwstr>RR</vt:lpwstr>
  </property>
</Properties>
</file>