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815C7" w14:paraId="1B30A94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E9E155" w14:textId="77777777" w:rsidR="00751A4A" w:rsidRPr="00E815C7" w:rsidRDefault="00FE317B" w:rsidP="0010095E">
            <w:pPr>
              <w:pStyle w:val="EPName"/>
            </w:pPr>
            <w:r w:rsidRPr="00E815C7">
              <w:t>Parlamento Europeu</w:t>
            </w:r>
          </w:p>
          <w:p w14:paraId="3B76482E" w14:textId="77777777" w:rsidR="00751A4A" w:rsidRPr="00E815C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815C7">
              <w:t>2024</w:t>
            </w:r>
            <w:r w:rsidR="00817416" w:rsidRPr="00E815C7">
              <w:t>-202</w:t>
            </w:r>
            <w:r w:rsidRPr="00E815C7">
              <w:t>9</w:t>
            </w:r>
          </w:p>
        </w:tc>
        <w:tc>
          <w:tcPr>
            <w:tcW w:w="2268" w:type="dxa"/>
            <w:shd w:val="clear" w:color="auto" w:fill="auto"/>
          </w:tcPr>
          <w:p w14:paraId="43BBEAEF" w14:textId="77777777" w:rsidR="00751A4A" w:rsidRPr="00E815C7" w:rsidRDefault="00187494" w:rsidP="0010095E">
            <w:pPr>
              <w:pStyle w:val="EPLogo"/>
            </w:pPr>
            <w:r w:rsidRPr="00E815C7">
              <w:rPr>
                <w:noProof/>
                <w:lang w:eastAsia="ja-JP"/>
              </w:rPr>
              <w:drawing>
                <wp:inline distT="0" distB="0" distL="0" distR="0" wp14:anchorId="081A9CE1" wp14:editId="00011E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DB6D40" w14:textId="77777777" w:rsidR="00D058B8" w:rsidRPr="00E815C7" w:rsidRDefault="00D058B8" w:rsidP="004C5D52">
      <w:pPr>
        <w:pStyle w:val="LineTop"/>
      </w:pPr>
    </w:p>
    <w:p w14:paraId="60FB0345" w14:textId="77777777" w:rsidR="00680577" w:rsidRPr="00E815C7" w:rsidRDefault="00FE317B" w:rsidP="00680577">
      <w:pPr>
        <w:pStyle w:val="EPBodyTA1"/>
      </w:pPr>
      <w:r w:rsidRPr="00E815C7">
        <w:t>TEXTOS APROVADOS</w:t>
      </w:r>
    </w:p>
    <w:p w14:paraId="18B951CC" w14:textId="77777777" w:rsidR="00D058B8" w:rsidRPr="00E815C7" w:rsidRDefault="00D058B8" w:rsidP="00D058B8">
      <w:pPr>
        <w:pStyle w:val="LineBottom"/>
      </w:pPr>
    </w:p>
    <w:p w14:paraId="1883CFE3" w14:textId="6761D4C8" w:rsidR="00FE317B" w:rsidRPr="00E815C7" w:rsidRDefault="00FE317B" w:rsidP="00FE317B">
      <w:pPr>
        <w:pStyle w:val="ATHeading1"/>
      </w:pPr>
      <w:bookmarkStart w:id="0" w:name="TANumber"/>
      <w:r w:rsidRPr="00E815C7">
        <w:t>P10_TA(2025)0</w:t>
      </w:r>
      <w:bookmarkEnd w:id="0"/>
      <w:r w:rsidR="00E815C7" w:rsidRPr="00E815C7">
        <w:t>314</w:t>
      </w:r>
    </w:p>
    <w:p w14:paraId="698A3DE5" w14:textId="17E87395" w:rsidR="00FE317B" w:rsidRPr="00E815C7" w:rsidRDefault="00605616" w:rsidP="00FE317B">
      <w:pPr>
        <w:pStyle w:val="ATHeading2"/>
      </w:pPr>
      <w:bookmarkStart w:id="1" w:name="title"/>
      <w:r w:rsidRPr="00E815C7">
        <w:t>F</w:t>
      </w:r>
      <w:r w:rsidR="00FE317B" w:rsidRPr="00E815C7">
        <w:t>inanciamento do plano de ação a favor</w:t>
      </w:r>
      <w:r w:rsidRPr="00E815C7">
        <w:t xml:space="preserve"> </w:t>
      </w:r>
      <w:r w:rsidR="00FE317B" w:rsidRPr="00E815C7">
        <w:t>da Tanzânia para 2025</w:t>
      </w:r>
      <w:bookmarkEnd w:id="1"/>
    </w:p>
    <w:p w14:paraId="777567CF" w14:textId="77777777" w:rsidR="00FE317B" w:rsidRPr="00E815C7" w:rsidRDefault="00FE317B" w:rsidP="00FE317B">
      <w:pPr>
        <w:rPr>
          <w:i/>
          <w:vanish/>
        </w:rPr>
      </w:pPr>
      <w:r w:rsidRPr="00E815C7">
        <w:rPr>
          <w:i/>
        </w:rPr>
        <w:fldChar w:fldCharType="begin"/>
      </w:r>
      <w:r w:rsidRPr="00E815C7">
        <w:rPr>
          <w:i/>
        </w:rPr>
        <w:instrText xml:space="preserve"> TC"(</w:instrText>
      </w:r>
      <w:bookmarkStart w:id="2" w:name="DocNumber"/>
      <w:r w:rsidRPr="00E815C7">
        <w:rPr>
          <w:i/>
        </w:rPr>
        <w:instrText>B10-0505/2025</w:instrText>
      </w:r>
      <w:bookmarkEnd w:id="2"/>
      <w:r w:rsidRPr="00E815C7">
        <w:rPr>
          <w:i/>
        </w:rPr>
        <w:instrText xml:space="preserve">)"\l3 \n&gt; \* MERGEFORMAT </w:instrText>
      </w:r>
      <w:r w:rsidRPr="00E815C7">
        <w:rPr>
          <w:i/>
        </w:rPr>
        <w:fldChar w:fldCharType="end"/>
      </w:r>
    </w:p>
    <w:p w14:paraId="6E1C666F" w14:textId="77777777" w:rsidR="00FE317B" w:rsidRPr="00E815C7" w:rsidRDefault="00FE317B" w:rsidP="00FE317B">
      <w:pPr>
        <w:rPr>
          <w:vanish/>
        </w:rPr>
      </w:pPr>
      <w:bookmarkStart w:id="3" w:name="PE"/>
      <w:r w:rsidRPr="00E815C7">
        <w:rPr>
          <w:vanish/>
        </w:rPr>
        <w:t>PE779.716</w:t>
      </w:r>
      <w:bookmarkEnd w:id="3"/>
    </w:p>
    <w:p w14:paraId="5E6E951A" w14:textId="15DBD923" w:rsidR="00FE317B" w:rsidRPr="00E815C7" w:rsidRDefault="00FE317B" w:rsidP="00FE317B">
      <w:pPr>
        <w:pStyle w:val="ATHeading3"/>
      </w:pPr>
      <w:bookmarkStart w:id="4" w:name="Sujet"/>
      <w:r w:rsidRPr="00E815C7">
        <w:t xml:space="preserve">Resolução do Parlamento Europeu, de </w:t>
      </w:r>
      <w:r w:rsidR="00605616" w:rsidRPr="00E815C7">
        <w:t>27</w:t>
      </w:r>
      <w:r w:rsidRPr="00E815C7">
        <w:t xml:space="preserve"> de </w:t>
      </w:r>
      <w:r w:rsidR="00605616" w:rsidRPr="00E815C7">
        <w:t xml:space="preserve">novembro </w:t>
      </w:r>
      <w:r w:rsidRPr="00E815C7">
        <w:t>de 2025, sobre o projeto de decisão de execução da Comissão relativa ao financiamento do plano de ação anual a favor da República Unida da Tanzânia para 2025</w:t>
      </w:r>
      <w:bookmarkEnd w:id="4"/>
      <w:r w:rsidRPr="00E815C7">
        <w:t xml:space="preserve"> </w:t>
      </w:r>
      <w:bookmarkStart w:id="5" w:name="References"/>
      <w:r w:rsidRPr="00E815C7">
        <w:t>(D110180/02 – 2025/2979(RSP))</w:t>
      </w:r>
      <w:bookmarkEnd w:id="5"/>
    </w:p>
    <w:p w14:paraId="33DA94A4" w14:textId="77777777" w:rsidR="008E63D0" w:rsidRPr="00E815C7" w:rsidRDefault="008E63D0" w:rsidP="008E63D0">
      <w:pPr>
        <w:pStyle w:val="EPComma"/>
      </w:pPr>
      <w:bookmarkStart w:id="6" w:name="TextBodyBegin"/>
      <w:bookmarkEnd w:id="6"/>
      <w:r w:rsidRPr="00E815C7">
        <w:rPr>
          <w:i/>
          <w:iCs/>
        </w:rPr>
        <w:t>O Parlamento Europeu,</w:t>
      </w:r>
    </w:p>
    <w:p w14:paraId="63851BB0" w14:textId="77777777" w:rsidR="008E63D0" w:rsidRPr="00E815C7" w:rsidRDefault="008E63D0" w:rsidP="008E63D0">
      <w:pPr>
        <w:pStyle w:val="NormalHanging12a"/>
      </w:pPr>
      <w:r w:rsidRPr="00E815C7">
        <w:t>–</w:t>
      </w:r>
      <w:r w:rsidRPr="00E815C7">
        <w:tab/>
        <w:t>Tendo em conta o projeto de decisão de execução da Comissão relativa ao financiamento do plano de ação anual a favor da República Unida da Tanzânia para 2025 (D110180/02),</w:t>
      </w:r>
    </w:p>
    <w:p w14:paraId="04840D0D" w14:textId="4D78E331" w:rsidR="008E63D0" w:rsidRPr="00E815C7" w:rsidRDefault="008E63D0" w:rsidP="008E63D0">
      <w:pPr>
        <w:pStyle w:val="NormalHanging12a"/>
      </w:pPr>
      <w:r w:rsidRPr="00E815C7">
        <w:t>–</w:t>
      </w:r>
      <w:r w:rsidRPr="00E815C7">
        <w:tab/>
        <w:t xml:space="preserve">Tendo em conta o Regulamento </w:t>
      </w:r>
      <w:r w:rsidR="00605616" w:rsidRPr="00E815C7">
        <w:t>(UE)</w:t>
      </w:r>
      <w:r w:rsidRPr="00E815C7">
        <w:t xml:space="preserve"> 2021/947 do Parlamento Europeu e do Conselho, de 9 de junho de 2021, que cria o Instrumento de Vizinhança, de Cooperação para o Desenvolvimento e de Cooperação Internacional –– Europa Global, e que altera e revoga a Decisão n.º 466/2014/UE do Parlamento Europeu e do Conselho e revoga o Regulamento (UE) 2017/1601 do Parlamento Europeu e do Conselho e o Regulamento (CE, Euratom) n.º 480/2009</w:t>
      </w:r>
      <w:r w:rsidR="00605616" w:rsidRPr="00E815C7">
        <w:t xml:space="preserve"> do Conselho</w:t>
      </w:r>
      <w:r w:rsidR="00815EB5" w:rsidRPr="00E815C7">
        <w:rPr>
          <w:rStyle w:val="FootnoteReference"/>
        </w:rPr>
        <w:footnoteReference w:id="1"/>
      </w:r>
      <w:r w:rsidRPr="00E815C7">
        <w:t xml:space="preserve"> (Regulamento IVCDCI — Europa Global),</w:t>
      </w:r>
      <w:r w:rsidR="00605616" w:rsidRPr="00E815C7">
        <w:t xml:space="preserve"> nomeadamente o artigo 25.º,</w:t>
      </w:r>
    </w:p>
    <w:p w14:paraId="74155477" w14:textId="6366A1C1" w:rsidR="00605616" w:rsidRPr="00E815C7" w:rsidRDefault="00605616" w:rsidP="008E63D0">
      <w:pPr>
        <w:pStyle w:val="NormalHanging12a"/>
      </w:pPr>
      <w:r w:rsidRPr="00E815C7">
        <w:t>–</w:t>
      </w:r>
      <w:r w:rsidRPr="00E815C7">
        <w:tab/>
        <w:t>Tendo em conta o parecer emitido em 22 de outubro de 2025 pelo comité a que se refere o artigo 45.º do Regulamento (UE) 20</w:t>
      </w:r>
      <w:r w:rsidR="001E63B8">
        <w:t>21</w:t>
      </w:r>
      <w:r w:rsidRPr="00E815C7">
        <w:t>/947,</w:t>
      </w:r>
    </w:p>
    <w:p w14:paraId="71722C77" w14:textId="178085B9" w:rsidR="00605616" w:rsidRPr="00E815C7" w:rsidRDefault="00605616" w:rsidP="008E63D0">
      <w:pPr>
        <w:pStyle w:val="NormalHanging12a"/>
      </w:pPr>
      <w:r w:rsidRPr="00E815C7">
        <w:t>–</w:t>
      </w:r>
      <w:r w:rsidRPr="00E815C7">
        <w:tab/>
        <w:t>Tendo em conta o artigo 11.º do Regulamento (UE) n.º 182/2011 do Parlamento Europeu e do Conselho, de 16 de fevereiro de 2011, que estabelece as regras e os princípios gerais relativos aos mecanismos de controlo pelos Estados-Membros do exercício das competências de execução pela Comissão</w:t>
      </w:r>
      <w:r w:rsidR="00815EB5" w:rsidRPr="00E815C7">
        <w:rPr>
          <w:rStyle w:val="FootnoteReference"/>
        </w:rPr>
        <w:footnoteReference w:id="2"/>
      </w:r>
      <w:r w:rsidRPr="00E815C7">
        <w:t>,</w:t>
      </w:r>
    </w:p>
    <w:p w14:paraId="5920EFE3" w14:textId="77777777" w:rsidR="008E63D0" w:rsidRPr="00E815C7" w:rsidRDefault="008E63D0" w:rsidP="008E63D0">
      <w:pPr>
        <w:pStyle w:val="NormalHanging12a"/>
      </w:pPr>
      <w:r w:rsidRPr="00E815C7">
        <w:t>–</w:t>
      </w:r>
      <w:r w:rsidRPr="00E815C7">
        <w:tab/>
        <w:t xml:space="preserve">Tendo em conta a Resolução do Parlamento Europeu, de 8 de maio de 2025, intitulada «Detenção e risco de execução de </w:t>
      </w:r>
      <w:proofErr w:type="spellStart"/>
      <w:r w:rsidRPr="00E815C7">
        <w:t>Tundu</w:t>
      </w:r>
      <w:proofErr w:type="spellEnd"/>
      <w:r w:rsidRPr="00E815C7">
        <w:t xml:space="preserve"> </w:t>
      </w:r>
      <w:proofErr w:type="spellStart"/>
      <w:r w:rsidRPr="00E815C7">
        <w:t>Lissu</w:t>
      </w:r>
      <w:proofErr w:type="spellEnd"/>
      <w:r w:rsidRPr="00E815C7">
        <w:t xml:space="preserve">, presidente do </w:t>
      </w:r>
      <w:proofErr w:type="spellStart"/>
      <w:r w:rsidRPr="00E815C7">
        <w:t>Chadema</w:t>
      </w:r>
      <w:proofErr w:type="spellEnd"/>
      <w:r w:rsidRPr="00E815C7">
        <w:t>, o principal partido da oposição na Tanzânia»,</w:t>
      </w:r>
    </w:p>
    <w:p w14:paraId="5F9FBB0B" w14:textId="77777777" w:rsidR="008E63D0" w:rsidRPr="00E815C7" w:rsidRDefault="008E63D0" w:rsidP="008E63D0">
      <w:pPr>
        <w:pStyle w:val="NormalHanging12a"/>
      </w:pPr>
      <w:r w:rsidRPr="00E815C7">
        <w:t>–</w:t>
      </w:r>
      <w:r w:rsidRPr="00E815C7">
        <w:tab/>
        <w:t>Tendo em conta o artigo 115.º, n.</w:t>
      </w:r>
      <w:r w:rsidRPr="00E815C7">
        <w:rPr>
          <w:vertAlign w:val="superscript"/>
        </w:rPr>
        <w:t>os</w:t>
      </w:r>
      <w:r w:rsidRPr="00E815C7">
        <w:t xml:space="preserve"> 2 e 3, do seu Regimento,</w:t>
      </w:r>
    </w:p>
    <w:p w14:paraId="76058561" w14:textId="2E2FFE92" w:rsidR="00DC1A51" w:rsidRPr="00E815C7" w:rsidRDefault="00DC1A51" w:rsidP="008E63D0">
      <w:pPr>
        <w:pStyle w:val="NormalHanging12a"/>
      </w:pPr>
      <w:r w:rsidRPr="00E815C7">
        <w:t>–</w:t>
      </w:r>
      <w:r w:rsidRPr="00E815C7">
        <w:tab/>
        <w:t>Tendo em conta as deliberações conjuntas da Comissão dos Assuntos Externos e da Comissão do Desenvolvimento, nos termos do artigo 59.º do seu Regimento,</w:t>
      </w:r>
    </w:p>
    <w:p w14:paraId="0DD77E33" w14:textId="77777777" w:rsidR="008E63D0" w:rsidRPr="00E815C7" w:rsidRDefault="008E63D0" w:rsidP="008E63D0">
      <w:pPr>
        <w:pStyle w:val="NormalHanging12a"/>
      </w:pPr>
      <w:r w:rsidRPr="00E815C7">
        <w:lastRenderedPageBreak/>
        <w:t>–</w:t>
      </w:r>
      <w:r w:rsidRPr="00E815C7">
        <w:tab/>
        <w:t>Tendo em conta a proposta de resolução da Comissão dos Assuntos Externos e da Comissão do Desenvolvimento,</w:t>
      </w:r>
    </w:p>
    <w:p w14:paraId="1F111EE8" w14:textId="42E2B2F3" w:rsidR="008E63D0" w:rsidRPr="00E815C7" w:rsidRDefault="008E63D0" w:rsidP="008E63D0">
      <w:pPr>
        <w:pStyle w:val="NormalHanging12a"/>
      </w:pPr>
      <w:r w:rsidRPr="00E815C7">
        <w:t>A.</w:t>
      </w:r>
      <w:r w:rsidRPr="00E815C7">
        <w:tab/>
        <w:t>Considerando que, em 22 de outubro</w:t>
      </w:r>
      <w:r w:rsidR="00DC1A51" w:rsidRPr="00E815C7">
        <w:t xml:space="preserve"> de 2025</w:t>
      </w:r>
      <w:r w:rsidRPr="00E815C7">
        <w:t xml:space="preserve">, </w:t>
      </w:r>
      <w:r w:rsidR="001A5528" w:rsidRPr="00E815C7">
        <w:t>a decisão de execução da Comissão</w:t>
      </w:r>
      <w:r w:rsidRPr="00E815C7">
        <w:t xml:space="preserve"> foi apresentad</w:t>
      </w:r>
      <w:r w:rsidR="001A5528" w:rsidRPr="00E815C7">
        <w:t>a</w:t>
      </w:r>
      <w:r w:rsidRPr="00E815C7">
        <w:t xml:space="preserve"> ao Comité IVCDCI;</w:t>
      </w:r>
    </w:p>
    <w:p w14:paraId="6EDB5C7B" w14:textId="0DF7FC95" w:rsidR="008E63D0" w:rsidRPr="00E815C7" w:rsidRDefault="008E63D0" w:rsidP="008E63D0">
      <w:pPr>
        <w:pStyle w:val="NormalHanging12a"/>
      </w:pPr>
      <w:r w:rsidRPr="00E815C7">
        <w:t>B.</w:t>
      </w:r>
      <w:r w:rsidRPr="00E815C7">
        <w:tab/>
        <w:t>Considerando que</w:t>
      </w:r>
      <w:r w:rsidR="00D36037" w:rsidRPr="00E815C7">
        <w:t xml:space="preserve"> a decisão de execução da Comissão</w:t>
      </w:r>
      <w:r w:rsidRPr="00E815C7">
        <w:t xml:space="preserve"> revela uma estratégia errada por parte da Comissão, que não reflete suficientemente as deficiências registadas na Tanzânia nos últimos anos em matéria de democracia e direitos humanos, em particular desde as eleições fraudulentas de outubro de 2025, na sequência das quais o governo reprimiu manifestações, causando a morte de mais de 400 pessoas e acusando centenas de traição;</w:t>
      </w:r>
    </w:p>
    <w:p w14:paraId="7077CF58" w14:textId="7DA18D9B" w:rsidR="008E63D0" w:rsidRPr="00E815C7" w:rsidRDefault="008E63D0" w:rsidP="008E63D0">
      <w:pPr>
        <w:pStyle w:val="NormalHanging12a"/>
      </w:pPr>
      <w:r w:rsidRPr="00E815C7">
        <w:t>C.</w:t>
      </w:r>
      <w:r w:rsidRPr="00E815C7">
        <w:tab/>
        <w:t>Considerando que a missão de observação eleitoral da União Africana criticou veementemente o processo das eleições presidenciais na Tanzânia, nas quais o Presidente em exercício foi eleito com uma votação aparente de 98 % dos votos</w:t>
      </w:r>
      <w:r w:rsidR="00D36037" w:rsidRPr="00E815C7">
        <w:t>; considerando que</w:t>
      </w:r>
      <w:r w:rsidRPr="00E815C7">
        <w:t>, ao contrário do que aconteceu nas eleições de 2015, o Governo da Tanzânia não convidou nenhuma missão europeia de observação eleitoral a observar as eleições;</w:t>
      </w:r>
    </w:p>
    <w:p w14:paraId="3F5A5C21" w14:textId="77777777" w:rsidR="008E63D0" w:rsidRPr="00E815C7" w:rsidRDefault="008E63D0" w:rsidP="008E63D0">
      <w:pPr>
        <w:pStyle w:val="NormalHanging12a"/>
      </w:pPr>
      <w:r w:rsidRPr="00E815C7">
        <w:t>D.</w:t>
      </w:r>
      <w:r w:rsidRPr="00E815C7">
        <w:tab/>
        <w:t xml:space="preserve">Considerando que </w:t>
      </w:r>
      <w:proofErr w:type="spellStart"/>
      <w:r w:rsidRPr="00E815C7">
        <w:t>Kaja</w:t>
      </w:r>
      <w:proofErr w:type="spellEnd"/>
      <w:r w:rsidRPr="00E815C7">
        <w:t xml:space="preserve"> </w:t>
      </w:r>
      <w:proofErr w:type="spellStart"/>
      <w:r w:rsidRPr="00E815C7">
        <w:t>Kallas</w:t>
      </w:r>
      <w:proofErr w:type="spellEnd"/>
      <w:r w:rsidRPr="00E815C7">
        <w:t>, a alta representante da União para os Negócios Estrangeiros e a Política de Segurança/vice-presidente da Comissão, manifestou, em nome da União Europeia, a sua profunda preocupação com a violência pós-eleitoral na Tanzânia e observou que «a ausência de condições de concorrência equitativas durante o período pré-eleitoral foi acompanhada por relatos de raptos, desaparecimentos e violência, limitando o espaço cívico e democrático»;</w:t>
      </w:r>
    </w:p>
    <w:p w14:paraId="088D2CE4" w14:textId="6A93E525" w:rsidR="008E63D0" w:rsidRPr="00E815C7" w:rsidRDefault="008E63D0" w:rsidP="008E63D0">
      <w:pPr>
        <w:pStyle w:val="NormalHanging12a"/>
      </w:pPr>
      <w:r w:rsidRPr="00E815C7">
        <w:t>E.</w:t>
      </w:r>
      <w:r w:rsidRPr="00E815C7">
        <w:tab/>
        <w:t xml:space="preserve">Considerando que </w:t>
      </w:r>
      <w:proofErr w:type="spellStart"/>
      <w:r w:rsidRPr="00E815C7">
        <w:t>Tundu</w:t>
      </w:r>
      <w:proofErr w:type="spellEnd"/>
      <w:r w:rsidRPr="00E815C7">
        <w:t xml:space="preserve"> </w:t>
      </w:r>
      <w:proofErr w:type="spellStart"/>
      <w:r w:rsidRPr="00E815C7">
        <w:t>Lissu</w:t>
      </w:r>
      <w:proofErr w:type="spellEnd"/>
      <w:r w:rsidRPr="00E815C7">
        <w:t xml:space="preserve">, líder do </w:t>
      </w:r>
      <w:proofErr w:type="spellStart"/>
      <w:r w:rsidRPr="00E815C7">
        <w:t>Chadema</w:t>
      </w:r>
      <w:proofErr w:type="spellEnd"/>
      <w:r w:rsidRPr="00E815C7">
        <w:t>, o principal partido da oposição da Tanzânia, foi detido em 9 de abril de 2025 e posteriormente acusado de traição e de três crimes relacionados com a publicação de informações falsas ao abrigo da lei sobre cibercriminalidade</w:t>
      </w:r>
      <w:r w:rsidR="00D36037" w:rsidRPr="00E815C7">
        <w:t>; considerando que</w:t>
      </w:r>
      <w:r w:rsidRPr="00E815C7">
        <w:t>, na Tanzânia, o crime de traição pode ser punido com a pena de morte</w:t>
      </w:r>
      <w:r w:rsidR="00D36037" w:rsidRPr="00E815C7">
        <w:t>; considerando que</w:t>
      </w:r>
      <w:r w:rsidRPr="00E815C7">
        <w:t xml:space="preserve"> a UE se opõe categoricamente à aplicação da pena de morte em todas as circunstâncias</w:t>
      </w:r>
      <w:r w:rsidR="00D36037" w:rsidRPr="00E815C7">
        <w:t>; considerando que</w:t>
      </w:r>
      <w:r w:rsidRPr="00E815C7">
        <w:t xml:space="preserve">, pouco depois da detenção de </w:t>
      </w:r>
      <w:proofErr w:type="spellStart"/>
      <w:r w:rsidRPr="00E815C7">
        <w:t>Tundu</w:t>
      </w:r>
      <w:proofErr w:type="spellEnd"/>
      <w:r w:rsidRPr="00E815C7">
        <w:t xml:space="preserve"> </w:t>
      </w:r>
      <w:proofErr w:type="spellStart"/>
      <w:r w:rsidRPr="00E815C7">
        <w:t>Lissu</w:t>
      </w:r>
      <w:proofErr w:type="spellEnd"/>
      <w:r w:rsidRPr="00E815C7">
        <w:t xml:space="preserve">, o </w:t>
      </w:r>
      <w:proofErr w:type="spellStart"/>
      <w:r w:rsidRPr="00E815C7">
        <w:t>Chadema</w:t>
      </w:r>
      <w:proofErr w:type="spellEnd"/>
      <w:r w:rsidRPr="00E815C7">
        <w:t xml:space="preserve"> foi excluído das eleições presidenciais e legislativas de outubro de 2025, por se ter recusado a assinar um código de conduta eleitoral, e que </w:t>
      </w:r>
      <w:proofErr w:type="spellStart"/>
      <w:r w:rsidRPr="00E815C7">
        <w:t>Luhaga</w:t>
      </w:r>
      <w:proofErr w:type="spellEnd"/>
      <w:r w:rsidRPr="00E815C7">
        <w:t xml:space="preserve"> </w:t>
      </w:r>
      <w:proofErr w:type="spellStart"/>
      <w:r w:rsidRPr="00E815C7">
        <w:t>Mpina</w:t>
      </w:r>
      <w:proofErr w:type="spellEnd"/>
      <w:r w:rsidRPr="00E815C7">
        <w:t>, o candidato do segundo maior partido da oposição, a Aliança para a Mudança e a Transparência (ACT-</w:t>
      </w:r>
      <w:proofErr w:type="spellStart"/>
      <w:r w:rsidRPr="00E815C7">
        <w:t>Wazalendo</w:t>
      </w:r>
      <w:proofErr w:type="spellEnd"/>
      <w:r w:rsidRPr="00E815C7">
        <w:t>), foi igualmente excluído das eleições;</w:t>
      </w:r>
    </w:p>
    <w:p w14:paraId="2AFFE492" w14:textId="55A58134" w:rsidR="008E63D0" w:rsidRPr="00E815C7" w:rsidRDefault="008E63D0" w:rsidP="008E63D0">
      <w:pPr>
        <w:pStyle w:val="NormalHanging12a"/>
      </w:pPr>
      <w:r w:rsidRPr="00E815C7">
        <w:t>F.</w:t>
      </w:r>
      <w:r w:rsidRPr="00E815C7">
        <w:tab/>
        <w:t>Considerando que o Governo da Tanzânia não cumpriu nenhuma das exigências formuladas pelo Parlamento Europeu na sua resolução de 8 de maio</w:t>
      </w:r>
      <w:r w:rsidR="00E45C2C" w:rsidRPr="00E815C7">
        <w:t xml:space="preserve"> de 2025</w:t>
      </w:r>
      <w:r w:rsidRPr="00E815C7">
        <w:t xml:space="preserve">, incluindo, nomeadamente, a libertação imediata e incondicional de </w:t>
      </w:r>
      <w:proofErr w:type="spellStart"/>
      <w:r w:rsidRPr="00E815C7">
        <w:t>Tundu</w:t>
      </w:r>
      <w:proofErr w:type="spellEnd"/>
      <w:r w:rsidRPr="00E815C7">
        <w:t xml:space="preserve"> </w:t>
      </w:r>
      <w:proofErr w:type="spellStart"/>
      <w:r w:rsidRPr="00E815C7">
        <w:t>Lissu</w:t>
      </w:r>
      <w:proofErr w:type="spellEnd"/>
      <w:r w:rsidRPr="00E815C7">
        <w:t>, a reforma do sistema judicial, a melhoria da situação dos direitos humanos e uma reforma eleitoral;</w:t>
      </w:r>
    </w:p>
    <w:p w14:paraId="35F0824B" w14:textId="695AE721" w:rsidR="008E63D0" w:rsidRPr="00E815C7" w:rsidRDefault="008E63D0" w:rsidP="008E63D0">
      <w:pPr>
        <w:pStyle w:val="NormalHanging12a"/>
      </w:pPr>
      <w:r w:rsidRPr="00E815C7">
        <w:t>G.</w:t>
      </w:r>
      <w:r w:rsidRPr="00E815C7">
        <w:tab/>
        <w:t>Considerando que a Tanzânia recuou no compromisso que assumiu em prol de valores, princípios e interesses comuns, em particular no que diz respeito aos direitos humanos, às liberdades fundamentais, à democracia, ao Estado de direito, à boa governação e a um espaço cívico aberto, e que a escalada da repressão, das detenções arbitrárias, da violência, dos ataques e assédio contra membros da oposição, defensores dos direitos humanos, povos indígenas, ativistas LGBTIQ +, jornalistas e organizações da sociedade civil são incompatíveis com os princípios de programação dos programas geográficos ao abrigo do Regulamento IVCDCI — Europa Global</w:t>
      </w:r>
      <w:r w:rsidR="00D36037" w:rsidRPr="00E815C7">
        <w:t>; considerando que</w:t>
      </w:r>
      <w:r w:rsidRPr="00E815C7">
        <w:t xml:space="preserve"> a crise pós-</w:t>
      </w:r>
      <w:r w:rsidRPr="00E815C7">
        <w:lastRenderedPageBreak/>
        <w:t>eleitoral na Tanzânia constitui uma ameaça imediata à democracia, ao Estado de direito, aos direitos humanos e às liberdades fundamentais no país</w:t>
      </w:r>
      <w:r w:rsidR="00D36037" w:rsidRPr="00E815C7">
        <w:t>; considerando que</w:t>
      </w:r>
      <w:r w:rsidRPr="00E815C7">
        <w:t xml:space="preserve"> todas as decisões de planeamento e programação que não tenham em conta estes aspetos invalidam os atos de execução adotados nessas circunstâncias;</w:t>
      </w:r>
    </w:p>
    <w:p w14:paraId="66C33523" w14:textId="5F61D88B" w:rsidR="008E63D0" w:rsidRPr="00E815C7" w:rsidRDefault="008E63D0" w:rsidP="008E63D0">
      <w:pPr>
        <w:pStyle w:val="NormalHanging12a"/>
      </w:pPr>
      <w:r w:rsidRPr="00E815C7">
        <w:t>H.</w:t>
      </w:r>
      <w:r w:rsidRPr="00E815C7">
        <w:tab/>
        <w:t>Considerando que a UE presta um apoio considerável à transição digital na Tanzânia — investindo em infraestruturas 4G e de fibra ótica, governação eletrónica, competências digitais e desenvolvimento do setor privado — com o objetivo de melhorar o acesso à informação e promover uma economia digital aberta</w:t>
      </w:r>
      <w:r w:rsidR="00D36037" w:rsidRPr="00E815C7">
        <w:t>; considerando que</w:t>
      </w:r>
      <w:r w:rsidRPr="00E815C7">
        <w:t>, no entanto, as autoridades tanzanianas agiram de forma contrária a estes objetivos, impondo cortes na Internet antes das eleições e durante os distúrbios pós-eleitorais, e que estas medidas enfraqueceram a participação democrática e criaram condições propícias à utilização indevida da infraestrutura digital apoiada pela UE;</w:t>
      </w:r>
    </w:p>
    <w:p w14:paraId="69DA5AE6" w14:textId="76CC68FC" w:rsidR="008E63D0" w:rsidRPr="00E815C7" w:rsidRDefault="008E63D0" w:rsidP="008E63D0">
      <w:pPr>
        <w:pStyle w:val="NormalHanging12a"/>
      </w:pPr>
      <w:r w:rsidRPr="00E815C7">
        <w:t>1.</w:t>
      </w:r>
      <w:r w:rsidRPr="00E815C7">
        <w:tab/>
        <w:t>Considera que o projeto de decisão de execução da Comissão excede as competências de execução previstas no Regulamento (</w:t>
      </w:r>
      <w:r w:rsidR="00E45C2C" w:rsidRPr="00E815C7">
        <w:t>U</w:t>
      </w:r>
      <w:r w:rsidRPr="00E815C7">
        <w:t>E) 2021/947;</w:t>
      </w:r>
    </w:p>
    <w:p w14:paraId="78DE2BED" w14:textId="1233FA16" w:rsidR="008E63D0" w:rsidRPr="00E815C7" w:rsidRDefault="008E63D0" w:rsidP="008E63D0">
      <w:pPr>
        <w:pStyle w:val="NormalHanging12a"/>
      </w:pPr>
      <w:r w:rsidRPr="00E815C7">
        <w:t>2.</w:t>
      </w:r>
      <w:r w:rsidRPr="00E815C7">
        <w:tab/>
        <w:t xml:space="preserve">Considera que o projeto de decisão de execução da Comissão não está em conformidade com o Direito da União, na medida em que é </w:t>
      </w:r>
      <w:r w:rsidR="00E45C2C" w:rsidRPr="00E815C7">
        <w:t>in</w:t>
      </w:r>
      <w:r w:rsidRPr="00E815C7">
        <w:t>compatível com o Regulamento (</w:t>
      </w:r>
      <w:r w:rsidR="00E45C2C" w:rsidRPr="00E815C7">
        <w:t>U</w:t>
      </w:r>
      <w:r w:rsidRPr="00E815C7">
        <w:t>E) 2021/947;</w:t>
      </w:r>
    </w:p>
    <w:p w14:paraId="7E482565" w14:textId="77777777" w:rsidR="008E63D0" w:rsidRPr="00E815C7" w:rsidRDefault="008E63D0" w:rsidP="008E63D0">
      <w:pPr>
        <w:pStyle w:val="NormalHanging12a"/>
      </w:pPr>
      <w:r w:rsidRPr="00E815C7">
        <w:t>3.</w:t>
      </w:r>
      <w:r w:rsidRPr="00E815C7">
        <w:tab/>
        <w:t>Congratula-se com o facto de a Comissão ter suspendido o processo de adoção do projeto de decisão de execução assim que foi informada das preocupações manifestadas pelo Parlamento Europeu;</w:t>
      </w:r>
    </w:p>
    <w:p w14:paraId="30CF8F19" w14:textId="3F4AE2A0" w:rsidR="008E63D0" w:rsidRPr="00E815C7" w:rsidRDefault="008E63D0" w:rsidP="008E63D0">
      <w:pPr>
        <w:pStyle w:val="NormalHanging12a"/>
      </w:pPr>
      <w:r w:rsidRPr="00E815C7">
        <w:t>4.</w:t>
      </w:r>
      <w:r w:rsidRPr="00E815C7">
        <w:tab/>
      </w:r>
      <w:r w:rsidR="00E45C2C" w:rsidRPr="00E815C7">
        <w:t>Solicita à</w:t>
      </w:r>
      <w:r w:rsidRPr="00E815C7">
        <w:t xml:space="preserve"> Comissão </w:t>
      </w:r>
      <w:r w:rsidR="00E45C2C" w:rsidRPr="00E815C7">
        <w:t>que</w:t>
      </w:r>
      <w:r w:rsidRPr="00E815C7">
        <w:t xml:space="preserve"> retir</w:t>
      </w:r>
      <w:r w:rsidR="00E45C2C" w:rsidRPr="00E815C7">
        <w:t>e</w:t>
      </w:r>
      <w:r w:rsidRPr="00E815C7">
        <w:t xml:space="preserve"> o seu projeto de decisão de execução e </w:t>
      </w:r>
      <w:r w:rsidR="00E45C2C" w:rsidRPr="00E815C7">
        <w:t>que</w:t>
      </w:r>
      <w:r w:rsidRPr="00E815C7">
        <w:t xml:space="preserve"> apresent</w:t>
      </w:r>
      <w:r w:rsidR="00E45C2C" w:rsidRPr="00E815C7">
        <w:t>e</w:t>
      </w:r>
      <w:r w:rsidRPr="00E815C7">
        <w:t xml:space="preserve"> um nov</w:t>
      </w:r>
      <w:r w:rsidR="00E45C2C" w:rsidRPr="00E815C7">
        <w:t>o</w:t>
      </w:r>
      <w:r w:rsidRPr="00E815C7">
        <w:t xml:space="preserve"> </w:t>
      </w:r>
      <w:r w:rsidR="00E45C2C" w:rsidRPr="00E815C7">
        <w:t xml:space="preserve">projeto ao comité </w:t>
      </w:r>
      <w:r w:rsidRPr="00E815C7">
        <w:t>que tenha em conta as preocupações manifestadas, garantindo ainda que as novas alterações não afetem negativamente o financiamento destinado a apoiar as ONG e a sociedade civil;</w:t>
      </w:r>
    </w:p>
    <w:p w14:paraId="30AAE4BF" w14:textId="36E4E353" w:rsidR="00E365E1" w:rsidRPr="00E815C7" w:rsidRDefault="008E63D0" w:rsidP="00086001">
      <w:pPr>
        <w:pStyle w:val="NormalHanging12a"/>
      </w:pPr>
      <w:r w:rsidRPr="00E815C7">
        <w:t>5.</w:t>
      </w:r>
      <w:r w:rsidRPr="00E815C7">
        <w:tab/>
        <w:t xml:space="preserve">Encarrega a sua Presidente de transmitir a presente resolução ao Conselho, à Comissão, </w:t>
      </w:r>
      <w:r w:rsidR="00A2153A" w:rsidRPr="00E815C7">
        <w:t>e</w:t>
      </w:r>
      <w:r w:rsidRPr="00E815C7">
        <w:t xml:space="preserve"> aos governos e parlamentos dos Estados-Membros.</w:t>
      </w:r>
    </w:p>
    <w:sectPr w:rsidR="00E365E1" w:rsidRPr="00E815C7" w:rsidSect="005772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D4209" w14:textId="77777777" w:rsidR="00FE317B" w:rsidRPr="0057725A" w:rsidRDefault="00FE317B">
      <w:r w:rsidRPr="0057725A">
        <w:separator/>
      </w:r>
    </w:p>
  </w:endnote>
  <w:endnote w:type="continuationSeparator" w:id="0">
    <w:p w14:paraId="34B694E2" w14:textId="77777777" w:rsidR="00FE317B" w:rsidRPr="0057725A" w:rsidRDefault="00FE317B">
      <w:r w:rsidRPr="005772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23DF1" w14:textId="77777777" w:rsidR="00064002" w:rsidRPr="005772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0AA1E" w14:textId="77777777" w:rsidR="00064002" w:rsidRPr="005772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00A2AA" w14:textId="77777777" w:rsidR="00064002" w:rsidRPr="005772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0FCCC" w14:textId="77777777" w:rsidR="00FE317B" w:rsidRPr="0057725A" w:rsidRDefault="00FE317B">
      <w:r w:rsidRPr="0057725A">
        <w:separator/>
      </w:r>
    </w:p>
  </w:footnote>
  <w:footnote w:type="continuationSeparator" w:id="0">
    <w:p w14:paraId="68B9D2AE" w14:textId="77777777" w:rsidR="00FE317B" w:rsidRPr="0057725A" w:rsidRDefault="00FE317B">
      <w:r w:rsidRPr="0057725A">
        <w:continuationSeparator/>
      </w:r>
    </w:p>
  </w:footnote>
  <w:footnote w:id="1">
    <w:p w14:paraId="72B7FA30" w14:textId="165FA0B8" w:rsidR="00815EB5" w:rsidRPr="00086001" w:rsidRDefault="00815EB5" w:rsidP="00815EB5">
      <w:pPr>
        <w:pStyle w:val="FootnoteText"/>
        <w:ind w:left="567" w:hanging="567"/>
        <w:rPr>
          <w:sz w:val="24"/>
          <w:szCs w:val="24"/>
          <w:lang w:val="fi-FI"/>
        </w:rPr>
      </w:pPr>
      <w:r w:rsidRPr="00086001">
        <w:rPr>
          <w:rStyle w:val="FootnoteReference"/>
          <w:sz w:val="24"/>
          <w:szCs w:val="24"/>
          <w:lang w:val="pt-PT"/>
        </w:rPr>
        <w:footnoteRef/>
      </w:r>
      <w:r w:rsidRPr="00086001">
        <w:rPr>
          <w:sz w:val="24"/>
          <w:szCs w:val="24"/>
          <w:vertAlign w:val="superscript"/>
          <w:lang w:val="fi-FI"/>
        </w:rPr>
        <w:t xml:space="preserve"> </w:t>
      </w:r>
      <w:r w:rsidRPr="00086001">
        <w:rPr>
          <w:sz w:val="24"/>
          <w:szCs w:val="24"/>
          <w:vertAlign w:val="superscript"/>
          <w:lang w:val="fi-FI"/>
        </w:rPr>
        <w:tab/>
      </w:r>
      <w:r w:rsidRPr="00086001">
        <w:rPr>
          <w:sz w:val="24"/>
          <w:szCs w:val="24"/>
          <w:lang w:val="fi-FI"/>
        </w:rPr>
        <w:t xml:space="preserve">JO L 209 de 14.6.2021, p. 1, ELI: </w:t>
      </w:r>
      <w:hyperlink r:id="rId1" w:tgtFrame="http://data.europa.eu/eli/reg/2021/947/oj" w:history="1">
        <w:r w:rsidRPr="00086001">
          <w:rPr>
            <w:rStyle w:val="Hyperlink"/>
            <w:sz w:val="24"/>
            <w:szCs w:val="24"/>
            <w:lang w:val="fi-FI"/>
          </w:rPr>
          <w:t>http://data.europa.eu/eli/reg/2021/947/oj.</w:t>
        </w:r>
      </w:hyperlink>
    </w:p>
  </w:footnote>
  <w:footnote w:id="2">
    <w:p w14:paraId="3896D330" w14:textId="2C589FD8" w:rsidR="00815EB5" w:rsidRPr="00086001" w:rsidRDefault="00815EB5" w:rsidP="00086001">
      <w:pPr>
        <w:pStyle w:val="FootnoteText"/>
        <w:ind w:left="567" w:hanging="567"/>
        <w:rPr>
          <w:sz w:val="24"/>
          <w:szCs w:val="24"/>
          <w:lang w:val="fi-FI"/>
        </w:rPr>
      </w:pPr>
      <w:r w:rsidRPr="00086001">
        <w:rPr>
          <w:rStyle w:val="FootnoteReference"/>
          <w:sz w:val="24"/>
          <w:szCs w:val="24"/>
          <w:lang w:val="pt-PT"/>
        </w:rPr>
        <w:footnoteRef/>
      </w:r>
      <w:r w:rsidRPr="00086001">
        <w:rPr>
          <w:sz w:val="24"/>
          <w:szCs w:val="24"/>
          <w:lang w:val="fi-FI"/>
        </w:rPr>
        <w:t xml:space="preserve"> </w:t>
      </w:r>
      <w:r w:rsidRPr="00086001">
        <w:rPr>
          <w:sz w:val="24"/>
          <w:szCs w:val="24"/>
          <w:lang w:val="fi-FI"/>
        </w:rPr>
        <w:tab/>
        <w:t xml:space="preserve">JO L 55 de 28.2.2011, p. 13, ELI: </w:t>
      </w:r>
      <w:hyperlink r:id="rId2" w:history="1">
        <w:r w:rsidRPr="00086001">
          <w:rPr>
            <w:rStyle w:val="Hyperlink"/>
            <w:sz w:val="24"/>
            <w:szCs w:val="24"/>
            <w:lang w:val="fi-FI"/>
          </w:rPr>
          <w:t>http://data.europa.eu/eli/reg/2011/182/oj</w:t>
        </w:r>
      </w:hyperlink>
      <w:r w:rsidRPr="00086001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3CBCE" w14:textId="77777777" w:rsidR="00064002" w:rsidRPr="005772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C0A04" w14:textId="77777777" w:rsidR="00064002" w:rsidRPr="005772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C463B6" w14:textId="77777777" w:rsidR="00064002" w:rsidRPr="005772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8287645">
    <w:abstractNumId w:val="9"/>
  </w:num>
  <w:num w:numId="2" w16cid:durableId="432363467">
    <w:abstractNumId w:val="9"/>
  </w:num>
  <w:num w:numId="3" w16cid:durableId="1918132952">
    <w:abstractNumId w:val="7"/>
  </w:num>
  <w:num w:numId="4" w16cid:durableId="468208660">
    <w:abstractNumId w:val="7"/>
  </w:num>
  <w:num w:numId="5" w16cid:durableId="1261371549">
    <w:abstractNumId w:val="6"/>
  </w:num>
  <w:num w:numId="6" w16cid:durableId="255939304">
    <w:abstractNumId w:val="6"/>
  </w:num>
  <w:num w:numId="7" w16cid:durableId="173108418">
    <w:abstractNumId w:val="5"/>
  </w:num>
  <w:num w:numId="8" w16cid:durableId="2095976216">
    <w:abstractNumId w:val="5"/>
  </w:num>
  <w:num w:numId="9" w16cid:durableId="497308465">
    <w:abstractNumId w:val="4"/>
  </w:num>
  <w:num w:numId="10" w16cid:durableId="637608177">
    <w:abstractNumId w:val="4"/>
  </w:num>
  <w:num w:numId="11" w16cid:durableId="2113817178">
    <w:abstractNumId w:val="8"/>
  </w:num>
  <w:num w:numId="12" w16cid:durableId="667485493">
    <w:abstractNumId w:val="8"/>
  </w:num>
  <w:num w:numId="13" w16cid:durableId="924799879">
    <w:abstractNumId w:val="3"/>
  </w:num>
  <w:num w:numId="14" w16cid:durableId="1433864930">
    <w:abstractNumId w:val="3"/>
  </w:num>
  <w:num w:numId="15" w16cid:durableId="1246568916">
    <w:abstractNumId w:val="2"/>
  </w:num>
  <w:num w:numId="16" w16cid:durableId="2017265694">
    <w:abstractNumId w:val="2"/>
  </w:num>
  <w:num w:numId="17" w16cid:durableId="1587110055">
    <w:abstractNumId w:val="1"/>
  </w:num>
  <w:num w:numId="18" w16cid:durableId="1422608115">
    <w:abstractNumId w:val="1"/>
  </w:num>
  <w:num w:numId="19" w16cid:durableId="781804018">
    <w:abstractNumId w:val="0"/>
  </w:num>
  <w:num w:numId="20" w16cid:durableId="1589073226">
    <w:abstractNumId w:val="0"/>
  </w:num>
  <w:num w:numId="21" w16cid:durableId="193160465">
    <w:abstractNumId w:val="9"/>
  </w:num>
  <w:num w:numId="22" w16cid:durableId="1993365637">
    <w:abstractNumId w:val="7"/>
  </w:num>
  <w:num w:numId="23" w16cid:durableId="1905480682">
    <w:abstractNumId w:val="6"/>
  </w:num>
  <w:num w:numId="24" w16cid:durableId="1325203994">
    <w:abstractNumId w:val="5"/>
  </w:num>
  <w:num w:numId="25" w16cid:durableId="2024353807">
    <w:abstractNumId w:val="4"/>
  </w:num>
  <w:num w:numId="26" w16cid:durableId="1484659566">
    <w:abstractNumId w:val="8"/>
  </w:num>
  <w:num w:numId="27" w16cid:durableId="1424911571">
    <w:abstractNumId w:val="3"/>
  </w:num>
  <w:num w:numId="28" w16cid:durableId="1529832654">
    <w:abstractNumId w:val="2"/>
  </w:num>
  <w:num w:numId="29" w16cid:durableId="308361359">
    <w:abstractNumId w:val="1"/>
  </w:num>
  <w:num w:numId="30" w16cid:durableId="301038244">
    <w:abstractNumId w:val="0"/>
  </w:num>
  <w:num w:numId="31" w16cid:durableId="1747459177">
    <w:abstractNumId w:val="9"/>
  </w:num>
  <w:num w:numId="32" w16cid:durableId="385110599">
    <w:abstractNumId w:val="7"/>
  </w:num>
  <w:num w:numId="33" w16cid:durableId="1714040057">
    <w:abstractNumId w:val="6"/>
  </w:num>
  <w:num w:numId="34" w16cid:durableId="527334711">
    <w:abstractNumId w:val="5"/>
  </w:num>
  <w:num w:numId="35" w16cid:durableId="477108314">
    <w:abstractNumId w:val="4"/>
  </w:num>
  <w:num w:numId="36" w16cid:durableId="157693769">
    <w:abstractNumId w:val="8"/>
  </w:num>
  <w:num w:numId="37" w16cid:durableId="1261528411">
    <w:abstractNumId w:val="3"/>
  </w:num>
  <w:num w:numId="38" w16cid:durableId="1058897389">
    <w:abstractNumId w:val="2"/>
  </w:num>
  <w:num w:numId="39" w16cid:durableId="1541745048">
    <w:abstractNumId w:val="1"/>
  </w:num>
  <w:num w:numId="40" w16cid:durableId="2126725813">
    <w:abstractNumId w:val="0"/>
  </w:num>
  <w:num w:numId="41" w16cid:durableId="89085146">
    <w:abstractNumId w:val="10"/>
  </w:num>
  <w:num w:numId="42" w16cid:durableId="1273391605">
    <w:abstractNumId w:val="10"/>
  </w:num>
  <w:num w:numId="43" w16cid:durableId="851257252">
    <w:abstractNumId w:val="10"/>
  </w:num>
  <w:num w:numId="44" w16cid:durableId="2866700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5/2025"/>
    <w:docVar w:name="dvlangue" w:val="PT"/>
    <w:docVar w:name="dvnumam" w:val="0"/>
    <w:docVar w:name="dvpe" w:val="779.716"/>
    <w:docVar w:name="dvtitre" w:val="Resolução do Parlamento Europeu, de ... de ... de 2025,_x000d__x000a_ sobre o projeto de decisão de execução da Comissão relativa ao financiamento do plano de ação anual a favor da República Unida da Tanzânia para 2025(D110180/02 – 2025/2979(RSP))"/>
  </w:docVars>
  <w:rsids>
    <w:rsidRoot w:val="00FE317B"/>
    <w:rsid w:val="00002272"/>
    <w:rsid w:val="000438CF"/>
    <w:rsid w:val="000536DF"/>
    <w:rsid w:val="00064002"/>
    <w:rsid w:val="000677B9"/>
    <w:rsid w:val="000831BA"/>
    <w:rsid w:val="00086001"/>
    <w:rsid w:val="000A42CC"/>
    <w:rsid w:val="000E7DD9"/>
    <w:rsid w:val="0010095E"/>
    <w:rsid w:val="00125B37"/>
    <w:rsid w:val="00187494"/>
    <w:rsid w:val="001A5528"/>
    <w:rsid w:val="001E63B8"/>
    <w:rsid w:val="001F32AE"/>
    <w:rsid w:val="002767FF"/>
    <w:rsid w:val="002B18FE"/>
    <w:rsid w:val="002B5493"/>
    <w:rsid w:val="00343214"/>
    <w:rsid w:val="00361C00"/>
    <w:rsid w:val="00395FA1"/>
    <w:rsid w:val="003B155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25A"/>
    <w:rsid w:val="005C2568"/>
    <w:rsid w:val="005F1B17"/>
    <w:rsid w:val="006037C0"/>
    <w:rsid w:val="0060561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5EB5"/>
    <w:rsid w:val="00817416"/>
    <w:rsid w:val="00842779"/>
    <w:rsid w:val="00865F67"/>
    <w:rsid w:val="00881A7B"/>
    <w:rsid w:val="008840E5"/>
    <w:rsid w:val="00887B3E"/>
    <w:rsid w:val="008C2AC6"/>
    <w:rsid w:val="008E63D0"/>
    <w:rsid w:val="00930C23"/>
    <w:rsid w:val="0093193B"/>
    <w:rsid w:val="009509D8"/>
    <w:rsid w:val="00950B64"/>
    <w:rsid w:val="00981893"/>
    <w:rsid w:val="00A1687D"/>
    <w:rsid w:val="00A2153A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037"/>
    <w:rsid w:val="00D56C11"/>
    <w:rsid w:val="00D834A0"/>
    <w:rsid w:val="00D872DF"/>
    <w:rsid w:val="00D91E21"/>
    <w:rsid w:val="00DA7FCD"/>
    <w:rsid w:val="00DC1A51"/>
    <w:rsid w:val="00E365E1"/>
    <w:rsid w:val="00E45C2C"/>
    <w:rsid w:val="00E815C7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17C289"/>
  <w15:chartTrackingRefBased/>
  <w15:docId w15:val="{BA1A6EAF-42F7-49F2-A468-ADBCF602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E63D0"/>
    <w:pPr>
      <w:spacing w:before="480" w:after="240"/>
    </w:pPr>
  </w:style>
  <w:style w:type="paragraph" w:customStyle="1" w:styleId="NormalHanging12a">
    <w:name w:val="NormalHanging12a"/>
    <w:basedOn w:val="Normal"/>
    <w:rsid w:val="008E63D0"/>
    <w:pPr>
      <w:spacing w:after="240"/>
      <w:ind w:left="567" w:hanging="567"/>
    </w:pPr>
  </w:style>
  <w:style w:type="character" w:styleId="Hyperlink">
    <w:name w:val="Hyperlink"/>
    <w:basedOn w:val="DefaultParagraphFont"/>
    <w:unhideWhenUsed/>
    <w:rsid w:val="008E63D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605616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815E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815E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1/182/oj" TargetMode="External"/><Relationship Id="rId1" Type="http://schemas.openxmlformats.org/officeDocument/2006/relationships/hyperlink" Target="http://data.europa.eu/eli/reg/2021/94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1121</Words>
  <Characters>6136</Characters>
  <Application>Microsoft Office Word</Application>
  <DocSecurity>0</DocSecurity>
  <Lines>146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PEREIRA Dulce</cp:lastModifiedBy>
  <cp:revision>2</cp:revision>
  <cp:lastPrinted>2004-11-19T15:42:00Z</cp:lastPrinted>
  <dcterms:created xsi:type="dcterms:W3CDTF">2026-01-20T14:57:00Z</dcterms:created>
  <dcterms:modified xsi:type="dcterms:W3CDTF">2026-01-20T14:57:00Z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B10-0505/2025</vt:lpwstr>
  </property>
  <property fmtid="{D5CDD505-2E9C-101B-9397-08002B2CF9AE}" pid="4" name="&lt;Type&gt;">
    <vt:lpwstr>RR</vt:lpwstr>
  </property>
</Properties>
</file>