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158A" w14:paraId="5039C9A2" w14:textId="77777777" w:rsidTr="0010095E">
        <w:trPr>
          <w:trHeight w:hRule="exact" w:val="1418"/>
        </w:trPr>
        <w:tc>
          <w:tcPr>
            <w:tcW w:w="6804" w:type="dxa"/>
            <w:shd w:val="clear" w:color="auto" w:fill="auto"/>
            <w:vAlign w:val="center"/>
          </w:tcPr>
          <w:p w14:paraId="590ECC29" w14:textId="77777777" w:rsidR="00751A4A" w:rsidRPr="0004158A" w:rsidRDefault="008A59A8" w:rsidP="0010095E">
            <w:pPr>
              <w:pStyle w:val="EPName"/>
            </w:pPr>
            <w:r w:rsidRPr="0004158A">
              <w:t>Parlement européen</w:t>
            </w:r>
          </w:p>
          <w:p w14:paraId="27BB2A65" w14:textId="77777777" w:rsidR="00751A4A" w:rsidRPr="0004158A" w:rsidRDefault="005F1B17" w:rsidP="005F1B17">
            <w:pPr>
              <w:pStyle w:val="EPTerm"/>
              <w:rPr>
                <w:rStyle w:val="HideTWBExt"/>
                <w:noProof w:val="0"/>
                <w:vanish w:val="0"/>
                <w:color w:val="auto"/>
              </w:rPr>
            </w:pPr>
            <w:r w:rsidRPr="0004158A">
              <w:t>2024</w:t>
            </w:r>
            <w:r w:rsidR="00817416" w:rsidRPr="0004158A">
              <w:t>-202</w:t>
            </w:r>
            <w:r w:rsidRPr="0004158A">
              <w:t>9</w:t>
            </w:r>
          </w:p>
        </w:tc>
        <w:tc>
          <w:tcPr>
            <w:tcW w:w="2268" w:type="dxa"/>
            <w:shd w:val="clear" w:color="auto" w:fill="auto"/>
          </w:tcPr>
          <w:p w14:paraId="525634F0" w14:textId="77777777" w:rsidR="00751A4A" w:rsidRPr="0004158A" w:rsidRDefault="00187494" w:rsidP="0010095E">
            <w:pPr>
              <w:pStyle w:val="EPLogo"/>
            </w:pPr>
            <w:r w:rsidRPr="0004158A">
              <w:rPr>
                <w:noProof/>
                <w:lang w:eastAsia="ja-JP"/>
              </w:rPr>
              <w:drawing>
                <wp:inline distT="0" distB="0" distL="0" distR="0" wp14:anchorId="47F5C39E" wp14:editId="3A5E50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F91BA6" w14:textId="77777777" w:rsidR="00D058B8" w:rsidRPr="0004158A" w:rsidRDefault="00D058B8" w:rsidP="004C5D52">
      <w:pPr>
        <w:pStyle w:val="LineTop"/>
      </w:pPr>
    </w:p>
    <w:p w14:paraId="16A69A4E" w14:textId="77777777" w:rsidR="00680577" w:rsidRPr="0004158A" w:rsidRDefault="008A59A8" w:rsidP="00680577">
      <w:pPr>
        <w:pStyle w:val="EPBodyTA1"/>
      </w:pPr>
      <w:r w:rsidRPr="0004158A">
        <w:t>TEXTES ADOPTÉS</w:t>
      </w:r>
    </w:p>
    <w:p w14:paraId="107A6480" w14:textId="77777777" w:rsidR="00D058B8" w:rsidRPr="0004158A" w:rsidRDefault="00D058B8" w:rsidP="00D058B8">
      <w:pPr>
        <w:pStyle w:val="LineBottom"/>
      </w:pPr>
    </w:p>
    <w:p w14:paraId="426E44E3" w14:textId="762F0232" w:rsidR="008A59A8" w:rsidRPr="0004158A" w:rsidRDefault="008A59A8" w:rsidP="008A59A8">
      <w:pPr>
        <w:pStyle w:val="ATHeading1"/>
      </w:pPr>
      <w:bookmarkStart w:id="0" w:name="TANumber"/>
      <w:r w:rsidRPr="0004158A">
        <w:t>P10_TA(2025)0</w:t>
      </w:r>
      <w:r w:rsidR="004D1024">
        <w:t>315</w:t>
      </w:r>
      <w:bookmarkEnd w:id="0"/>
    </w:p>
    <w:p w14:paraId="1B558FC2" w14:textId="4C518DB6" w:rsidR="008A59A8" w:rsidRPr="0004158A" w:rsidRDefault="00C61E7D" w:rsidP="008A59A8">
      <w:pPr>
        <w:pStyle w:val="ATHeading2"/>
      </w:pPr>
      <w:bookmarkStart w:id="1" w:name="title"/>
      <w:r w:rsidRPr="00C61E7D">
        <w:t>Clause de sauvegarde bilatérale prévue par l’accord de partenariat UE-Mercosur et l’accord intérimaire UE-Mercosur sur le commerce pour les produits agricoles</w:t>
      </w:r>
      <w:bookmarkEnd w:id="1"/>
    </w:p>
    <w:p w14:paraId="3C78D068" w14:textId="77777777" w:rsidR="008A59A8" w:rsidRPr="0004158A" w:rsidRDefault="008A59A8" w:rsidP="008A59A8">
      <w:pPr>
        <w:rPr>
          <w:i/>
          <w:vanish/>
        </w:rPr>
      </w:pPr>
      <w:r w:rsidRPr="0004158A">
        <w:rPr>
          <w:i/>
        </w:rPr>
        <w:fldChar w:fldCharType="begin"/>
      </w:r>
      <w:r w:rsidRPr="0004158A">
        <w:rPr>
          <w:i/>
        </w:rPr>
        <w:instrText xml:space="preserve"> TC"(</w:instrText>
      </w:r>
      <w:bookmarkStart w:id="2" w:name="DocNumber"/>
      <w:r w:rsidRPr="0004158A">
        <w:rPr>
          <w:i/>
        </w:rPr>
        <w:instrText>A10-0254/2025</w:instrText>
      </w:r>
      <w:bookmarkEnd w:id="2"/>
      <w:r w:rsidRPr="0004158A">
        <w:rPr>
          <w:i/>
        </w:rPr>
        <w:instrText xml:space="preserve"> - Rapporteur: Gabriel Mato)"\l3 \n&gt; \* MERGEFORMAT </w:instrText>
      </w:r>
      <w:r w:rsidRPr="0004158A">
        <w:rPr>
          <w:i/>
        </w:rPr>
        <w:fldChar w:fldCharType="end"/>
      </w:r>
    </w:p>
    <w:p w14:paraId="01DFF1D6" w14:textId="77777777" w:rsidR="008A59A8" w:rsidRPr="0004158A" w:rsidRDefault="008A59A8" w:rsidP="008A59A8">
      <w:pPr>
        <w:rPr>
          <w:vanish/>
        </w:rPr>
      </w:pPr>
      <w:bookmarkStart w:id="3" w:name="Commission"/>
      <w:r w:rsidRPr="0004158A">
        <w:rPr>
          <w:vanish/>
        </w:rPr>
        <w:t>Commission du commerce international</w:t>
      </w:r>
      <w:bookmarkEnd w:id="3"/>
    </w:p>
    <w:p w14:paraId="074D603C" w14:textId="77777777" w:rsidR="008A59A8" w:rsidRPr="0004158A" w:rsidRDefault="008A59A8" w:rsidP="008A59A8">
      <w:pPr>
        <w:rPr>
          <w:vanish/>
        </w:rPr>
      </w:pPr>
      <w:bookmarkStart w:id="4" w:name="PE"/>
      <w:r w:rsidRPr="0004158A">
        <w:rPr>
          <w:vanish/>
        </w:rPr>
        <w:t>PE779.615</w:t>
      </w:r>
      <w:bookmarkEnd w:id="4"/>
    </w:p>
    <w:p w14:paraId="3E7187D6" w14:textId="366442B8" w:rsidR="008A59A8" w:rsidRPr="0004158A" w:rsidRDefault="006D75C6" w:rsidP="008A59A8">
      <w:pPr>
        <w:pStyle w:val="ATHeading3"/>
      </w:pPr>
      <w:bookmarkStart w:id="5" w:name="Sujet"/>
      <w:r w:rsidRPr="006D75C6">
        <w:t>Amendements du Parlement européen, adoptés le</w:t>
      </w:r>
      <w:r w:rsidR="008A59A8" w:rsidRPr="0004158A">
        <w:t xml:space="preserve"> </w:t>
      </w:r>
      <w:r w:rsidR="00C61E7D">
        <w:t>16</w:t>
      </w:r>
      <w:r w:rsidR="00BE71D4">
        <w:t xml:space="preserve"> décembre</w:t>
      </w:r>
      <w:r w:rsidR="008A59A8" w:rsidRPr="0004158A">
        <w:t xml:space="preserve"> 2025</w:t>
      </w:r>
      <w:r>
        <w:t>,</w:t>
      </w:r>
      <w:r w:rsidR="008A59A8" w:rsidRPr="0004158A">
        <w:t xml:space="preserve"> </w:t>
      </w:r>
      <w:r>
        <w:t>à</w:t>
      </w:r>
      <w:r w:rsidR="008A59A8" w:rsidRPr="0004158A">
        <w:t xml:space="preserve"> la proposition de règlement du Parlement européen et du Conseil portant mise en œuvre de la clause de sauvegarde bilatérale prévue par l’accord de partenariat UE-Mercosur et l’accord intérimaire UE-Mercosur sur le commerce pour les produits agricoles</w:t>
      </w:r>
      <w:bookmarkEnd w:id="5"/>
      <w:r w:rsidR="008A59A8" w:rsidRPr="0004158A">
        <w:t xml:space="preserve"> </w:t>
      </w:r>
      <w:bookmarkStart w:id="6" w:name="References"/>
      <w:r w:rsidR="008A59A8" w:rsidRPr="0004158A">
        <w:t>(COM(2025)0639 – C10-0247/2025 – 2025/0322(COD))</w:t>
      </w:r>
      <w:bookmarkEnd w:id="6"/>
      <w:r>
        <w:rPr>
          <w:rStyle w:val="FootnoteReference"/>
        </w:rPr>
        <w:footnoteReference w:id="1"/>
      </w:r>
    </w:p>
    <w:p w14:paraId="7FF892CA" w14:textId="27A27294" w:rsidR="00EB3BDF" w:rsidRPr="0004158A" w:rsidRDefault="00EB3BDF" w:rsidP="00EB3BDF">
      <w:pPr>
        <w:widowControl/>
      </w:pPr>
      <w:r w:rsidRPr="0004158A">
        <w:rPr>
          <w:b/>
        </w:rPr>
        <w:t>(Procédure législative ordinaire: première lecture)</w:t>
      </w:r>
      <w:r w:rsidRPr="0004158A">
        <w:br w:type="page"/>
      </w:r>
    </w:p>
    <w:p w14:paraId="39F1B02F" w14:textId="77777777" w:rsidR="006D75C6" w:rsidRPr="00FB62BD" w:rsidRDefault="006D75C6" w:rsidP="006D75C6">
      <w:pPr>
        <w:pStyle w:val="AmNumberTabs"/>
      </w:pPr>
      <w:r>
        <w:lastRenderedPageBreak/>
        <w:t>Amendement</w:t>
      </w:r>
      <w:r>
        <w:tab/>
      </w:r>
      <w:r>
        <w:tab/>
        <w:t>81</w:t>
      </w:r>
    </w:p>
    <w:p w14:paraId="0800C123" w14:textId="77777777" w:rsidR="006D75C6" w:rsidRPr="00FB62BD" w:rsidRDefault="006D75C6" w:rsidP="006D75C6">
      <w:pPr>
        <w:pStyle w:val="NormalBold12b"/>
      </w:pPr>
      <w:r>
        <w:t>Proposition de règlement</w:t>
      </w:r>
    </w:p>
    <w:p w14:paraId="1FFE08D3" w14:textId="77777777" w:rsidR="006D75C6" w:rsidRPr="00FB62BD" w:rsidRDefault="006D75C6" w:rsidP="006D75C6">
      <w:pPr>
        <w:pStyle w:val="NormalBold"/>
      </w:pPr>
      <w:r>
        <w:t>Considérant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75C6" w14:paraId="32B37EA4" w14:textId="77777777" w:rsidTr="00FA78CC">
        <w:trPr>
          <w:trHeight w:hRule="exact" w:val="240"/>
          <w:jc w:val="center"/>
        </w:trPr>
        <w:tc>
          <w:tcPr>
            <w:tcW w:w="9752" w:type="dxa"/>
            <w:gridSpan w:val="2"/>
            <w:tcBorders>
              <w:top w:val="nil"/>
              <w:left w:val="nil"/>
              <w:bottom w:val="nil"/>
              <w:right w:val="nil"/>
            </w:tcBorders>
          </w:tcPr>
          <w:p w14:paraId="6FA54776" w14:textId="77777777" w:rsidR="006D75C6" w:rsidRPr="00FB62BD" w:rsidRDefault="006D75C6" w:rsidP="00FA78CC"/>
        </w:tc>
      </w:tr>
      <w:tr w:rsidR="006D75C6" w14:paraId="4911CA52" w14:textId="77777777" w:rsidTr="00FA78CC">
        <w:trPr>
          <w:trHeight w:val="240"/>
          <w:jc w:val="center"/>
        </w:trPr>
        <w:tc>
          <w:tcPr>
            <w:tcW w:w="4876" w:type="dxa"/>
            <w:tcBorders>
              <w:top w:val="nil"/>
              <w:left w:val="nil"/>
              <w:bottom w:val="nil"/>
              <w:right w:val="nil"/>
            </w:tcBorders>
          </w:tcPr>
          <w:p w14:paraId="2B0E2E53" w14:textId="77777777" w:rsidR="006D75C6" w:rsidRPr="00FB62BD" w:rsidRDefault="006D75C6" w:rsidP="00FA78CC">
            <w:pPr>
              <w:pStyle w:val="AmColumnHeading"/>
            </w:pPr>
            <w:r>
              <w:t>Texte proposé par la Commission</w:t>
            </w:r>
          </w:p>
        </w:tc>
        <w:tc>
          <w:tcPr>
            <w:tcW w:w="4876" w:type="dxa"/>
            <w:tcBorders>
              <w:top w:val="nil"/>
              <w:left w:val="nil"/>
              <w:bottom w:val="nil"/>
              <w:right w:val="nil"/>
            </w:tcBorders>
          </w:tcPr>
          <w:p w14:paraId="5A13EA56" w14:textId="77777777" w:rsidR="006D75C6" w:rsidRPr="00FB62BD" w:rsidRDefault="006D75C6" w:rsidP="00FA78CC">
            <w:pPr>
              <w:pStyle w:val="AmColumnHeading"/>
            </w:pPr>
            <w:r>
              <w:t>Amendement</w:t>
            </w:r>
          </w:p>
        </w:tc>
      </w:tr>
      <w:tr w:rsidR="006D75C6" w14:paraId="09D45D6E" w14:textId="77777777" w:rsidTr="00FA78CC">
        <w:trPr>
          <w:jc w:val="center"/>
        </w:trPr>
        <w:tc>
          <w:tcPr>
            <w:tcW w:w="4876" w:type="dxa"/>
            <w:tcBorders>
              <w:top w:val="nil"/>
              <w:left w:val="nil"/>
              <w:bottom w:val="nil"/>
              <w:right w:val="nil"/>
            </w:tcBorders>
          </w:tcPr>
          <w:p w14:paraId="4A8B86E7" w14:textId="77777777" w:rsidR="006D75C6" w:rsidRPr="00FB62BD" w:rsidRDefault="006D75C6" w:rsidP="00FA78CC">
            <w:pPr>
              <w:pStyle w:val="Normal6a"/>
            </w:pPr>
            <w:r>
              <w:t>(2)</w:t>
            </w:r>
            <w:r>
              <w:tab/>
              <w:t xml:space="preserve">L’accord de partenariat et l’accord intérimaire sur le commerce </w:t>
            </w:r>
            <w:r>
              <w:rPr>
                <w:b/>
                <w:i/>
              </w:rPr>
              <w:t>visent à protéger</w:t>
            </w:r>
            <w:r>
              <w:t xml:space="preserve"> les producteurs de l’Union qui fabriquent des produits de base sensibles dans le secteur agricole </w:t>
            </w:r>
            <w:r>
              <w:rPr>
                <w:b/>
                <w:i/>
              </w:rPr>
              <w:t>en limitant les préférences aux</w:t>
            </w:r>
            <w:r>
              <w:t xml:space="preserve"> contingents tarifaires.</w:t>
            </w:r>
          </w:p>
        </w:tc>
        <w:tc>
          <w:tcPr>
            <w:tcW w:w="4876" w:type="dxa"/>
            <w:tcBorders>
              <w:top w:val="nil"/>
              <w:left w:val="nil"/>
              <w:bottom w:val="nil"/>
              <w:right w:val="nil"/>
            </w:tcBorders>
          </w:tcPr>
          <w:p w14:paraId="65C320F6" w14:textId="77777777" w:rsidR="006D75C6" w:rsidRPr="00FB62BD" w:rsidRDefault="006D75C6" w:rsidP="00FA78CC">
            <w:pPr>
              <w:pStyle w:val="Normal6a"/>
            </w:pPr>
            <w:r>
              <w:t>(2)</w:t>
            </w:r>
            <w:r>
              <w:tab/>
              <w:t xml:space="preserve">L'accord de partenariat et l'accord intérimaire sur le commerce </w:t>
            </w:r>
            <w:r>
              <w:rPr>
                <w:b/>
                <w:i/>
              </w:rPr>
              <w:t>réduiront les protections dont bénéficient</w:t>
            </w:r>
            <w:r>
              <w:t xml:space="preserve"> les producteurs de l’Union qui fabriquent des produits de base sensibles dans le secteur agricole</w:t>
            </w:r>
            <w:r>
              <w:rPr>
                <w:b/>
                <w:i/>
              </w:rPr>
              <w:t>. Des clauses de sauvegarde bilatérales devraient donc être mises en place pour limiter le champ d'application des</w:t>
            </w:r>
            <w:r>
              <w:t xml:space="preserve"> contingents tarifaires </w:t>
            </w:r>
            <w:r>
              <w:rPr>
                <w:b/>
                <w:i/>
              </w:rPr>
              <w:t>préférentiels en cas de préjudice ou de menace de préjudice</w:t>
            </w:r>
            <w:r>
              <w:t>.</w:t>
            </w:r>
          </w:p>
        </w:tc>
      </w:tr>
    </w:tbl>
    <w:p w14:paraId="09FCEB94" w14:textId="207B1AE2" w:rsidR="006D75C6" w:rsidRDefault="006D75C6" w:rsidP="004D6F14"/>
    <w:p w14:paraId="7E244DA2" w14:textId="034F0845" w:rsidR="00EB3BDF" w:rsidRPr="0004158A" w:rsidRDefault="00EB3BDF" w:rsidP="00EB3BDF">
      <w:pPr>
        <w:pStyle w:val="AmNumberTabs"/>
      </w:pPr>
      <w:r w:rsidRPr="0004158A">
        <w:t>Amendement</w:t>
      </w:r>
      <w:r w:rsidRPr="0004158A">
        <w:tab/>
      </w:r>
      <w:r w:rsidRPr="0004158A">
        <w:tab/>
        <w:t>1</w:t>
      </w:r>
    </w:p>
    <w:p w14:paraId="51C3429A" w14:textId="77777777" w:rsidR="00EB3BDF" w:rsidRPr="0004158A" w:rsidRDefault="00EB3BDF" w:rsidP="00EB3BDF">
      <w:pPr>
        <w:pStyle w:val="NormalBold12b"/>
      </w:pPr>
      <w:r w:rsidRPr="0004158A">
        <w:t>Proposition de règlement</w:t>
      </w:r>
    </w:p>
    <w:p w14:paraId="4ADEE66F" w14:textId="77777777" w:rsidR="00EB3BDF" w:rsidRPr="0004158A" w:rsidRDefault="00EB3BDF" w:rsidP="00EB3BDF">
      <w:pPr>
        <w:pStyle w:val="NormalBold"/>
      </w:pPr>
      <w:r w:rsidRPr="0004158A">
        <w:t>Considérant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4AFB7CA8" w14:textId="77777777" w:rsidTr="006A289D">
        <w:trPr>
          <w:trHeight w:val="240"/>
          <w:jc w:val="center"/>
        </w:trPr>
        <w:tc>
          <w:tcPr>
            <w:tcW w:w="9752" w:type="dxa"/>
            <w:gridSpan w:val="2"/>
            <w:tcBorders>
              <w:top w:val="nil"/>
              <w:left w:val="nil"/>
              <w:bottom w:val="nil"/>
              <w:right w:val="nil"/>
            </w:tcBorders>
          </w:tcPr>
          <w:p w14:paraId="643B1E04" w14:textId="77777777" w:rsidR="00EB3BDF" w:rsidRPr="0004158A" w:rsidRDefault="00EB3BDF" w:rsidP="006A289D"/>
        </w:tc>
      </w:tr>
      <w:tr w:rsidR="00EB3BDF" w:rsidRPr="0004158A" w14:paraId="5C5D71C5" w14:textId="77777777" w:rsidTr="006A289D">
        <w:trPr>
          <w:trHeight w:val="240"/>
          <w:jc w:val="center"/>
        </w:trPr>
        <w:tc>
          <w:tcPr>
            <w:tcW w:w="4876" w:type="dxa"/>
            <w:tcBorders>
              <w:top w:val="nil"/>
              <w:left w:val="nil"/>
              <w:bottom w:val="nil"/>
              <w:right w:val="nil"/>
            </w:tcBorders>
            <w:hideMark/>
          </w:tcPr>
          <w:p w14:paraId="2CEA26E1"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2DE24428" w14:textId="77777777" w:rsidR="00EB3BDF" w:rsidRPr="0004158A" w:rsidRDefault="00EB3BDF" w:rsidP="006A289D">
            <w:pPr>
              <w:pStyle w:val="AmColumnHeading"/>
            </w:pPr>
            <w:r w:rsidRPr="0004158A">
              <w:t>Amendement</w:t>
            </w:r>
          </w:p>
        </w:tc>
      </w:tr>
      <w:tr w:rsidR="00EB3BDF" w:rsidRPr="0004158A" w14:paraId="4D24F979" w14:textId="77777777" w:rsidTr="006A289D">
        <w:trPr>
          <w:jc w:val="center"/>
        </w:trPr>
        <w:tc>
          <w:tcPr>
            <w:tcW w:w="4876" w:type="dxa"/>
            <w:tcBorders>
              <w:top w:val="nil"/>
              <w:left w:val="nil"/>
              <w:bottom w:val="nil"/>
              <w:right w:val="nil"/>
            </w:tcBorders>
            <w:hideMark/>
          </w:tcPr>
          <w:p w14:paraId="07E27819" w14:textId="77777777" w:rsidR="00EB3BDF" w:rsidRPr="0004158A" w:rsidRDefault="00EB3BDF" w:rsidP="006A289D">
            <w:pPr>
              <w:pStyle w:val="Normal6a"/>
            </w:pPr>
            <w:r w:rsidRPr="0004158A">
              <w:t>(12)</w:t>
            </w:r>
            <w:r w:rsidRPr="0004158A">
              <w:tab/>
              <w:t xml:space="preserve">Le suivi étroit de tout produit sensible devrait faciliter une prise de décision en temps utile concernant l’ouverture éventuelle d’enquêtes et l’institution ultérieure de mesures de sauvegarde. Par conséquent, la Commission devrait assurer un suivi </w:t>
            </w:r>
            <w:r w:rsidRPr="0004158A">
              <w:rPr>
                <w:b/>
                <w:i/>
              </w:rPr>
              <w:t>régulier</w:t>
            </w:r>
            <w:r w:rsidRPr="0004158A">
              <w:t xml:space="preserve"> des importations de tout produit sensible à partir de la date d’entrée en vigueur de l’accord intérimaire sur le commerce ou de l’accord de partenariat. Il y a lieu d’étendre ce suivi à d’autres produits ou secteurs sur demande dûment justifiée de l’industrie concernée de l’Union à la Commission.</w:t>
            </w:r>
          </w:p>
        </w:tc>
        <w:tc>
          <w:tcPr>
            <w:tcW w:w="4876" w:type="dxa"/>
            <w:tcBorders>
              <w:top w:val="nil"/>
              <w:left w:val="nil"/>
              <w:bottom w:val="nil"/>
              <w:right w:val="nil"/>
            </w:tcBorders>
            <w:hideMark/>
          </w:tcPr>
          <w:p w14:paraId="16260F48" w14:textId="77777777" w:rsidR="00EB3BDF" w:rsidRPr="0004158A" w:rsidRDefault="00EB3BDF" w:rsidP="006A289D">
            <w:pPr>
              <w:pStyle w:val="Normal6a"/>
            </w:pPr>
            <w:r w:rsidRPr="0004158A">
              <w:t>(12)</w:t>
            </w:r>
            <w:r w:rsidRPr="0004158A">
              <w:tab/>
              <w:t xml:space="preserve">Le suivi étroit de tout produit sensible devrait faciliter une prise de décision en temps utile concernant l’ouverture éventuelle d’enquêtes et l’institution ultérieure de mesures de sauvegarde. Par conséquent, la Commission devrait assurer un suivi </w:t>
            </w:r>
            <w:r w:rsidRPr="0004158A">
              <w:rPr>
                <w:b/>
                <w:i/>
              </w:rPr>
              <w:t>constant et proactif</w:t>
            </w:r>
            <w:r w:rsidRPr="0004158A">
              <w:t xml:space="preserve"> des importations de tout produit sensible à partir de la date d’entrée en vigueur de l’accord intérimaire sur le commerce ou de l’accord de partenariat. Il y a lieu d’étendre ce suivi à d’autres produits ou secteurs sur demande dûment justifiée de l’industrie concernée de l’Union à la Commission. </w:t>
            </w:r>
            <w:r w:rsidRPr="0004158A">
              <w:rPr>
                <w:b/>
                <w:i/>
              </w:rPr>
              <w:t xml:space="preserve">La Commission devrait présenter, tous les trois mois, un rapport de suivi contenant son évaluation de l’incidence des importations de produits sensibles bénéficiant d'un accès préférentiel au marché en vertu de l’accord ainsi que des données, ventilées par région de manière adéquate, sur les volumes et les prix des importations pour tous les produits </w:t>
            </w:r>
            <w:r w:rsidRPr="0004158A">
              <w:rPr>
                <w:b/>
                <w:i/>
              </w:rPr>
              <w:lastRenderedPageBreak/>
              <w:t>sensibles.</w:t>
            </w:r>
          </w:p>
        </w:tc>
      </w:tr>
    </w:tbl>
    <w:p w14:paraId="595BF509" w14:textId="15169C4E" w:rsidR="006D75C6" w:rsidRPr="004D6F14" w:rsidRDefault="006D75C6" w:rsidP="006D75C6">
      <w:pPr>
        <w:pStyle w:val="AmNumberTabs"/>
        <w:rPr>
          <w:lang w:val="fr-BE"/>
        </w:rPr>
      </w:pPr>
      <w:r w:rsidRPr="004D6F14">
        <w:rPr>
          <w:lang w:val="fr-BE"/>
        </w:rPr>
        <w:lastRenderedPageBreak/>
        <w:t>Amendement</w:t>
      </w:r>
      <w:r>
        <w:rPr>
          <w:lang w:val="fr-BE"/>
        </w:rPr>
        <w:t>s</w:t>
      </w:r>
      <w:r w:rsidRPr="004D6F14">
        <w:rPr>
          <w:lang w:val="fr-BE"/>
        </w:rPr>
        <w:tab/>
      </w:r>
      <w:r w:rsidRPr="004D6F14">
        <w:rPr>
          <w:lang w:val="fr-BE"/>
        </w:rPr>
        <w:tab/>
        <w:t>21</w:t>
      </w:r>
      <w:r>
        <w:rPr>
          <w:lang w:val="fr-BE"/>
        </w:rPr>
        <w:t xml:space="preserve"> et 82</w:t>
      </w:r>
    </w:p>
    <w:p w14:paraId="37D44C29" w14:textId="77777777" w:rsidR="006D75C6" w:rsidRPr="00687840" w:rsidRDefault="006D75C6" w:rsidP="006D75C6">
      <w:pPr>
        <w:pStyle w:val="NormalBold12b"/>
      </w:pPr>
      <w:r>
        <w:t>Proposition de règlement</w:t>
      </w:r>
    </w:p>
    <w:p w14:paraId="667A9E54" w14:textId="77777777" w:rsidR="006D75C6" w:rsidRPr="00687840" w:rsidRDefault="006D75C6" w:rsidP="006D75C6">
      <w:pPr>
        <w:pStyle w:val="NormalBold"/>
      </w:pPr>
      <w:r>
        <w:t>Article 2 – alinéa 1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75C6" w14:paraId="1BCCB13D" w14:textId="77777777" w:rsidTr="00FA78CC">
        <w:trPr>
          <w:trHeight w:hRule="exact" w:val="240"/>
          <w:jc w:val="center"/>
        </w:trPr>
        <w:tc>
          <w:tcPr>
            <w:tcW w:w="9752" w:type="dxa"/>
            <w:gridSpan w:val="2"/>
            <w:tcBorders>
              <w:top w:val="nil"/>
              <w:left w:val="nil"/>
              <w:bottom w:val="nil"/>
              <w:right w:val="nil"/>
            </w:tcBorders>
          </w:tcPr>
          <w:p w14:paraId="0918E9C4" w14:textId="77777777" w:rsidR="006D75C6" w:rsidRPr="00687840" w:rsidRDefault="006D75C6" w:rsidP="00FA78CC"/>
        </w:tc>
      </w:tr>
      <w:tr w:rsidR="006D75C6" w14:paraId="4173D090" w14:textId="77777777" w:rsidTr="00FA78CC">
        <w:trPr>
          <w:trHeight w:val="240"/>
          <w:jc w:val="center"/>
        </w:trPr>
        <w:tc>
          <w:tcPr>
            <w:tcW w:w="4876" w:type="dxa"/>
            <w:tcBorders>
              <w:top w:val="nil"/>
              <w:left w:val="nil"/>
              <w:bottom w:val="nil"/>
              <w:right w:val="nil"/>
            </w:tcBorders>
          </w:tcPr>
          <w:p w14:paraId="16B82B02" w14:textId="77777777" w:rsidR="006D75C6" w:rsidRPr="00687840" w:rsidRDefault="006D75C6" w:rsidP="00FA78CC">
            <w:pPr>
              <w:pStyle w:val="AmColumnHeading"/>
            </w:pPr>
            <w:r>
              <w:t>Texte proposé par la Commission</w:t>
            </w:r>
          </w:p>
        </w:tc>
        <w:tc>
          <w:tcPr>
            <w:tcW w:w="4876" w:type="dxa"/>
            <w:tcBorders>
              <w:top w:val="nil"/>
              <w:left w:val="nil"/>
              <w:bottom w:val="nil"/>
              <w:right w:val="nil"/>
            </w:tcBorders>
          </w:tcPr>
          <w:p w14:paraId="3256A7E5" w14:textId="77777777" w:rsidR="006D75C6" w:rsidRPr="00687840" w:rsidRDefault="006D75C6" w:rsidP="00FA78CC">
            <w:pPr>
              <w:pStyle w:val="AmColumnHeading"/>
            </w:pPr>
            <w:r>
              <w:t>Amendement</w:t>
            </w:r>
          </w:p>
        </w:tc>
      </w:tr>
      <w:tr w:rsidR="006D75C6" w14:paraId="747BCAF4" w14:textId="77777777" w:rsidTr="00FA78CC">
        <w:trPr>
          <w:jc w:val="center"/>
        </w:trPr>
        <w:tc>
          <w:tcPr>
            <w:tcW w:w="4876" w:type="dxa"/>
            <w:tcBorders>
              <w:top w:val="nil"/>
              <w:left w:val="nil"/>
              <w:bottom w:val="nil"/>
              <w:right w:val="nil"/>
            </w:tcBorders>
          </w:tcPr>
          <w:p w14:paraId="1314EC06" w14:textId="77777777" w:rsidR="006D75C6" w:rsidRPr="00687840" w:rsidRDefault="006D75C6" w:rsidP="00FA78CC">
            <w:pPr>
              <w:pStyle w:val="Normal6a"/>
            </w:pPr>
            <w:r>
              <w:t>5.</w:t>
            </w:r>
            <w:r>
              <w:tab/>
              <w:t>«préjudice grave»: une dégradation générale notable de la situation de l’industrie de l’Union;</w:t>
            </w:r>
          </w:p>
        </w:tc>
        <w:tc>
          <w:tcPr>
            <w:tcW w:w="4876" w:type="dxa"/>
            <w:tcBorders>
              <w:top w:val="nil"/>
              <w:left w:val="nil"/>
              <w:bottom w:val="nil"/>
              <w:right w:val="nil"/>
            </w:tcBorders>
          </w:tcPr>
          <w:p w14:paraId="24AF4F23" w14:textId="77777777" w:rsidR="006D75C6" w:rsidRPr="00687840" w:rsidRDefault="006D75C6" w:rsidP="00FA78CC">
            <w:pPr>
              <w:pStyle w:val="Normal6a"/>
            </w:pPr>
            <w:r>
              <w:t>5.</w:t>
            </w:r>
            <w:r>
              <w:tab/>
              <w:t xml:space="preserve">«préjudice grave»: une dégradation générale notable de la situation de l’industrie de l’Union; </w:t>
            </w:r>
            <w:r>
              <w:rPr>
                <w:b/>
                <w:i/>
              </w:rPr>
              <w:t>une augmentation du volume des importations à des conditions préférentielles d’un produit donné lorsqu’elle est supérieure à 5 % en glissement annuel par rapport à la moyenne sur trois ans ou une diminution du prix moyen à l’importation d’un produit donné lorsqu’elle est supérieure à 5 % en glissement annuel est considérée comme un élément de preuve attestant à première vue l’existence d’un préjudice grave;</w:t>
            </w:r>
          </w:p>
        </w:tc>
      </w:tr>
    </w:tbl>
    <w:p w14:paraId="7D84AF66" w14:textId="09070E42" w:rsidR="006D75C6" w:rsidRDefault="006D75C6" w:rsidP="004D6F14"/>
    <w:p w14:paraId="6CECBC26" w14:textId="77777777" w:rsidR="006D75C6" w:rsidRPr="00FB62BD" w:rsidRDefault="006D75C6" w:rsidP="006D75C6">
      <w:pPr>
        <w:pStyle w:val="AmNumberTabs"/>
      </w:pPr>
      <w:r>
        <w:t>Amendement</w:t>
      </w:r>
      <w:r>
        <w:tab/>
      </w:r>
      <w:r>
        <w:tab/>
        <w:t>83</w:t>
      </w:r>
    </w:p>
    <w:p w14:paraId="50FB014E" w14:textId="77777777" w:rsidR="006D75C6" w:rsidRPr="00FB62BD" w:rsidRDefault="006D75C6" w:rsidP="006D75C6">
      <w:pPr>
        <w:pStyle w:val="NormalBold12b"/>
      </w:pPr>
      <w:r>
        <w:t>Proposition de règlement</w:t>
      </w:r>
    </w:p>
    <w:p w14:paraId="486DDEC8" w14:textId="77777777" w:rsidR="006D75C6" w:rsidRPr="00FB62BD" w:rsidRDefault="006D75C6" w:rsidP="006D75C6">
      <w:pPr>
        <w:pStyle w:val="NormalBold"/>
      </w:pPr>
      <w:r>
        <w:t>Article 3 – paragraphe 1 – alinéa 1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75C6" w14:paraId="748FF473" w14:textId="77777777" w:rsidTr="00FA78CC">
        <w:trPr>
          <w:trHeight w:hRule="exact" w:val="240"/>
          <w:jc w:val="center"/>
        </w:trPr>
        <w:tc>
          <w:tcPr>
            <w:tcW w:w="9752" w:type="dxa"/>
            <w:gridSpan w:val="2"/>
            <w:tcBorders>
              <w:top w:val="nil"/>
              <w:left w:val="nil"/>
              <w:bottom w:val="nil"/>
              <w:right w:val="nil"/>
            </w:tcBorders>
          </w:tcPr>
          <w:p w14:paraId="3A088981" w14:textId="77777777" w:rsidR="006D75C6" w:rsidRPr="00FB62BD" w:rsidRDefault="006D75C6" w:rsidP="00FA78CC"/>
        </w:tc>
      </w:tr>
      <w:tr w:rsidR="006D75C6" w14:paraId="01B8C026" w14:textId="77777777" w:rsidTr="00FA78CC">
        <w:trPr>
          <w:trHeight w:val="240"/>
          <w:jc w:val="center"/>
        </w:trPr>
        <w:tc>
          <w:tcPr>
            <w:tcW w:w="4876" w:type="dxa"/>
            <w:tcBorders>
              <w:top w:val="nil"/>
              <w:left w:val="nil"/>
              <w:bottom w:val="nil"/>
              <w:right w:val="nil"/>
            </w:tcBorders>
          </w:tcPr>
          <w:p w14:paraId="51A1D0C5" w14:textId="77777777" w:rsidR="006D75C6" w:rsidRPr="00FB62BD" w:rsidRDefault="006D75C6" w:rsidP="00FA78CC">
            <w:pPr>
              <w:pStyle w:val="AmColumnHeading"/>
            </w:pPr>
            <w:r>
              <w:t>Texte proposé par la Commission</w:t>
            </w:r>
          </w:p>
        </w:tc>
        <w:tc>
          <w:tcPr>
            <w:tcW w:w="4876" w:type="dxa"/>
            <w:tcBorders>
              <w:top w:val="nil"/>
              <w:left w:val="nil"/>
              <w:bottom w:val="nil"/>
              <w:right w:val="nil"/>
            </w:tcBorders>
          </w:tcPr>
          <w:p w14:paraId="47D2EC1C" w14:textId="77777777" w:rsidR="006D75C6" w:rsidRPr="00FB62BD" w:rsidRDefault="006D75C6" w:rsidP="00FA78CC">
            <w:pPr>
              <w:pStyle w:val="AmColumnHeading"/>
            </w:pPr>
            <w:r>
              <w:t>Amendement</w:t>
            </w:r>
          </w:p>
        </w:tc>
      </w:tr>
      <w:tr w:rsidR="006D75C6" w14:paraId="5F37AD5F" w14:textId="77777777" w:rsidTr="00FA78CC">
        <w:trPr>
          <w:jc w:val="center"/>
        </w:trPr>
        <w:tc>
          <w:tcPr>
            <w:tcW w:w="4876" w:type="dxa"/>
            <w:tcBorders>
              <w:top w:val="nil"/>
              <w:left w:val="nil"/>
              <w:bottom w:val="nil"/>
              <w:right w:val="nil"/>
            </w:tcBorders>
          </w:tcPr>
          <w:p w14:paraId="27B01A58" w14:textId="77777777" w:rsidR="006D75C6" w:rsidRPr="00FB62BD" w:rsidRDefault="006D75C6" w:rsidP="00FA78CC">
            <w:pPr>
              <w:pStyle w:val="Normal6a"/>
            </w:pPr>
          </w:p>
        </w:tc>
        <w:tc>
          <w:tcPr>
            <w:tcW w:w="4876" w:type="dxa"/>
            <w:tcBorders>
              <w:top w:val="nil"/>
              <w:left w:val="nil"/>
              <w:bottom w:val="nil"/>
              <w:right w:val="nil"/>
            </w:tcBorders>
          </w:tcPr>
          <w:p w14:paraId="29EF5FB7" w14:textId="77777777" w:rsidR="006D75C6" w:rsidRPr="00FB62BD" w:rsidRDefault="006D75C6" w:rsidP="00FA78CC">
            <w:pPr>
              <w:pStyle w:val="Normal6a"/>
            </w:pPr>
            <w:r>
              <w:rPr>
                <w:b/>
                <w:i/>
              </w:rPr>
              <w:t>Des indications claires d’une détérioration de la situation économique de l’industrie, dans l’ensemble de l’Union ou au niveau des États membres, y compris une augmentation du volume des importations à des conditions préférentielles d’un produit donné, lorsqu’elle est supérieure à 5 % en glissement annuel par rapport à la moyenne sur trois ans, ou des baisses soutenues des prix intérieurs, peuvent suffire à démontrer l’existence d’un préjudice grave pour le secteur et justifier une mesure de sauvegarde.</w:t>
            </w:r>
          </w:p>
        </w:tc>
      </w:tr>
    </w:tbl>
    <w:p w14:paraId="1E837944" w14:textId="58855792" w:rsidR="00EB3BDF" w:rsidRPr="0004158A" w:rsidRDefault="00EB3BDF" w:rsidP="00EB3BDF">
      <w:pPr>
        <w:pStyle w:val="AmNumberTabs"/>
      </w:pPr>
      <w:r w:rsidRPr="0004158A">
        <w:t>Amendement</w:t>
      </w:r>
      <w:r w:rsidRPr="0004158A">
        <w:tab/>
      </w:r>
      <w:r w:rsidRPr="0004158A">
        <w:tab/>
        <w:t>2</w:t>
      </w:r>
    </w:p>
    <w:p w14:paraId="34CFE52B" w14:textId="77777777" w:rsidR="00EB3BDF" w:rsidRPr="0004158A" w:rsidRDefault="00EB3BDF" w:rsidP="00EB3BDF">
      <w:pPr>
        <w:pStyle w:val="NormalBold12b"/>
      </w:pPr>
      <w:r w:rsidRPr="0004158A">
        <w:t>Proposition de règlement</w:t>
      </w:r>
    </w:p>
    <w:p w14:paraId="269776B1" w14:textId="77777777" w:rsidR="00EB3BDF" w:rsidRPr="0004158A" w:rsidRDefault="00EB3BDF" w:rsidP="00EB3BDF">
      <w:pPr>
        <w:pStyle w:val="NormalBold"/>
      </w:pPr>
      <w:r w:rsidRPr="0004158A">
        <w:lastRenderedPageBreak/>
        <w:t>Article 3 – paragraphe 2 – point c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BDF" w:rsidRPr="0004158A" w14:paraId="788489F0" w14:textId="77777777" w:rsidTr="006A289D">
        <w:trPr>
          <w:trHeight w:val="240"/>
          <w:jc w:val="center"/>
        </w:trPr>
        <w:tc>
          <w:tcPr>
            <w:tcW w:w="9752" w:type="dxa"/>
            <w:gridSpan w:val="2"/>
            <w:tcBorders>
              <w:top w:val="nil"/>
              <w:left w:val="nil"/>
              <w:bottom w:val="nil"/>
              <w:right w:val="nil"/>
            </w:tcBorders>
          </w:tcPr>
          <w:p w14:paraId="1BB13680" w14:textId="77777777" w:rsidR="00EB3BDF" w:rsidRPr="0004158A" w:rsidRDefault="00EB3BDF" w:rsidP="006A289D"/>
        </w:tc>
      </w:tr>
      <w:tr w:rsidR="00EB3BDF" w:rsidRPr="0004158A" w14:paraId="1E759653" w14:textId="77777777" w:rsidTr="006A289D">
        <w:trPr>
          <w:trHeight w:val="240"/>
          <w:jc w:val="center"/>
        </w:trPr>
        <w:tc>
          <w:tcPr>
            <w:tcW w:w="4876" w:type="dxa"/>
            <w:tcBorders>
              <w:top w:val="nil"/>
              <w:left w:val="nil"/>
              <w:bottom w:val="nil"/>
              <w:right w:val="nil"/>
            </w:tcBorders>
            <w:hideMark/>
          </w:tcPr>
          <w:p w14:paraId="0FACBA4C"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70739DB2" w14:textId="77777777" w:rsidR="00EB3BDF" w:rsidRPr="0004158A" w:rsidRDefault="00EB3BDF" w:rsidP="006A289D">
            <w:pPr>
              <w:pStyle w:val="AmColumnHeading"/>
            </w:pPr>
            <w:r w:rsidRPr="0004158A">
              <w:t>Amendement</w:t>
            </w:r>
          </w:p>
        </w:tc>
      </w:tr>
      <w:tr w:rsidR="00EB3BDF" w:rsidRPr="0004158A" w14:paraId="2296275B" w14:textId="77777777" w:rsidTr="006A289D">
        <w:trPr>
          <w:jc w:val="center"/>
        </w:trPr>
        <w:tc>
          <w:tcPr>
            <w:tcW w:w="4876" w:type="dxa"/>
            <w:tcBorders>
              <w:top w:val="nil"/>
              <w:left w:val="nil"/>
              <w:bottom w:val="nil"/>
              <w:right w:val="nil"/>
            </w:tcBorders>
          </w:tcPr>
          <w:p w14:paraId="2014ADEB" w14:textId="77777777" w:rsidR="00EB3BDF" w:rsidRPr="0004158A" w:rsidRDefault="00EB3BDF" w:rsidP="006A289D">
            <w:pPr>
              <w:pStyle w:val="Normal6a"/>
            </w:pPr>
          </w:p>
        </w:tc>
        <w:tc>
          <w:tcPr>
            <w:tcW w:w="4876" w:type="dxa"/>
            <w:tcBorders>
              <w:top w:val="nil"/>
              <w:left w:val="nil"/>
              <w:bottom w:val="nil"/>
              <w:right w:val="nil"/>
            </w:tcBorders>
            <w:hideMark/>
          </w:tcPr>
          <w:p w14:paraId="5460D9F3" w14:textId="1942E1FF" w:rsidR="00EB3BDF" w:rsidRPr="0004158A" w:rsidRDefault="00EB3BDF" w:rsidP="006A289D">
            <w:pPr>
              <w:pStyle w:val="Normal6a"/>
            </w:pPr>
            <w:r w:rsidRPr="0004158A">
              <w:rPr>
                <w:b/>
                <w:i/>
              </w:rPr>
              <w:t>(c bis)</w:t>
            </w:r>
            <w:r w:rsidRPr="0004158A">
              <w:tab/>
            </w:r>
            <w:r w:rsidRPr="0004158A">
              <w:rPr>
                <w:b/>
                <w:i/>
              </w:rPr>
              <w:t>l’introduction d’une obligation de réciprocité concernant les produits et les normes de production;</w:t>
            </w:r>
          </w:p>
        </w:tc>
      </w:tr>
    </w:tbl>
    <w:p w14:paraId="75708CFF" w14:textId="77777777" w:rsidR="00EB3BDF" w:rsidRPr="0004158A" w:rsidRDefault="00EB3BDF" w:rsidP="00EB3BDF">
      <w:pPr>
        <w:pStyle w:val="AmNumberTabs"/>
      </w:pPr>
      <w:r w:rsidRPr="0004158A">
        <w:t>Amendement</w:t>
      </w:r>
      <w:r w:rsidRPr="0004158A">
        <w:tab/>
      </w:r>
      <w:r w:rsidRPr="0004158A">
        <w:tab/>
        <w:t>3</w:t>
      </w:r>
    </w:p>
    <w:p w14:paraId="79DE02A7" w14:textId="77777777" w:rsidR="00EB3BDF" w:rsidRPr="0004158A" w:rsidRDefault="00EB3BDF" w:rsidP="00EB3BDF">
      <w:pPr>
        <w:pStyle w:val="NormalBold12b"/>
      </w:pPr>
      <w:r w:rsidRPr="0004158A">
        <w:t>Proposition de règlement</w:t>
      </w:r>
    </w:p>
    <w:p w14:paraId="5518AFC9" w14:textId="77777777" w:rsidR="00EB3BDF" w:rsidRPr="0004158A" w:rsidRDefault="00EB3BDF" w:rsidP="00EB3BDF">
      <w:pPr>
        <w:pStyle w:val="NormalBold"/>
      </w:pPr>
      <w:r w:rsidRPr="0004158A">
        <w:t>Article 4 – paragraphe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77562FC3" w14:textId="77777777" w:rsidTr="006A289D">
        <w:trPr>
          <w:trHeight w:val="240"/>
          <w:jc w:val="center"/>
        </w:trPr>
        <w:tc>
          <w:tcPr>
            <w:tcW w:w="9752" w:type="dxa"/>
            <w:gridSpan w:val="2"/>
            <w:tcBorders>
              <w:top w:val="nil"/>
              <w:left w:val="nil"/>
              <w:bottom w:val="nil"/>
              <w:right w:val="nil"/>
            </w:tcBorders>
          </w:tcPr>
          <w:p w14:paraId="2F1C9A3F" w14:textId="77777777" w:rsidR="00EB3BDF" w:rsidRPr="0004158A" w:rsidRDefault="00EB3BDF" w:rsidP="006A289D"/>
        </w:tc>
      </w:tr>
      <w:tr w:rsidR="00EB3BDF" w:rsidRPr="0004158A" w14:paraId="150C6807" w14:textId="77777777" w:rsidTr="006A289D">
        <w:trPr>
          <w:trHeight w:val="240"/>
          <w:jc w:val="center"/>
        </w:trPr>
        <w:tc>
          <w:tcPr>
            <w:tcW w:w="4876" w:type="dxa"/>
            <w:tcBorders>
              <w:top w:val="nil"/>
              <w:left w:val="nil"/>
              <w:bottom w:val="nil"/>
              <w:right w:val="nil"/>
            </w:tcBorders>
            <w:hideMark/>
          </w:tcPr>
          <w:p w14:paraId="4073339E"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1E8FFDE8" w14:textId="77777777" w:rsidR="00EB3BDF" w:rsidRPr="0004158A" w:rsidRDefault="00EB3BDF" w:rsidP="006A289D">
            <w:pPr>
              <w:pStyle w:val="AmColumnHeading"/>
            </w:pPr>
            <w:r w:rsidRPr="0004158A">
              <w:t>Amendement</w:t>
            </w:r>
          </w:p>
        </w:tc>
      </w:tr>
      <w:tr w:rsidR="00EB3BDF" w:rsidRPr="0004158A" w14:paraId="02D31310" w14:textId="77777777" w:rsidTr="006A289D">
        <w:trPr>
          <w:jc w:val="center"/>
        </w:trPr>
        <w:tc>
          <w:tcPr>
            <w:tcW w:w="4876" w:type="dxa"/>
            <w:tcBorders>
              <w:top w:val="nil"/>
              <w:left w:val="nil"/>
              <w:bottom w:val="nil"/>
              <w:right w:val="nil"/>
            </w:tcBorders>
            <w:hideMark/>
          </w:tcPr>
          <w:p w14:paraId="17FF979B" w14:textId="77777777" w:rsidR="00EB3BDF" w:rsidRPr="0004158A" w:rsidRDefault="00EB3BDF" w:rsidP="006A289D">
            <w:pPr>
              <w:pStyle w:val="Normal6a"/>
            </w:pPr>
            <w:r w:rsidRPr="0004158A">
              <w:t>1.</w:t>
            </w:r>
            <w:r w:rsidRPr="0004158A">
              <w:tab/>
              <w:t xml:space="preserve">La Commission assure un suivi </w:t>
            </w:r>
            <w:r w:rsidRPr="0004158A">
              <w:rPr>
                <w:b/>
                <w:i/>
              </w:rPr>
              <w:t>régulier</w:t>
            </w:r>
            <w:r w:rsidRPr="0004158A">
              <w:t xml:space="preserve"> du marché de l’Union des produits sensibles, notamment en ce qui concerne les tendances en matière d’importation et d’exportation, la production et l’évolution des prix. À cet effet, la Commission coopère et échange des données de manière régulière avec les États membres et l’industrie de l’Union.</w:t>
            </w:r>
          </w:p>
        </w:tc>
        <w:tc>
          <w:tcPr>
            <w:tcW w:w="4876" w:type="dxa"/>
            <w:tcBorders>
              <w:top w:val="nil"/>
              <w:left w:val="nil"/>
              <w:bottom w:val="nil"/>
              <w:right w:val="nil"/>
            </w:tcBorders>
            <w:hideMark/>
          </w:tcPr>
          <w:p w14:paraId="4367DE97" w14:textId="77777777" w:rsidR="00EB3BDF" w:rsidRPr="0004158A" w:rsidRDefault="00EB3BDF" w:rsidP="006A289D">
            <w:pPr>
              <w:pStyle w:val="Normal6a"/>
            </w:pPr>
            <w:r w:rsidRPr="0004158A">
              <w:t>1.</w:t>
            </w:r>
            <w:r w:rsidRPr="0004158A">
              <w:tab/>
              <w:t xml:space="preserve">La Commission assure un suivi </w:t>
            </w:r>
            <w:r w:rsidRPr="0004158A">
              <w:rPr>
                <w:b/>
                <w:i/>
              </w:rPr>
              <w:t>constant et proactif</w:t>
            </w:r>
            <w:r w:rsidRPr="0004158A">
              <w:t xml:space="preserve"> du marché de l’Union des produits sensibles, notamment en ce qui concerne les tendances en matière d’importation et d’exportation, la production et l’évolution des prix</w:t>
            </w:r>
            <w:r w:rsidRPr="0004158A">
              <w:rPr>
                <w:b/>
                <w:i/>
              </w:rPr>
              <w:t>, avec le soutien des observatoires du marché de l’Union établis par le règlement (UE) nº 1308/2013 du Parlement européen et du Conseil</w:t>
            </w:r>
            <w:r w:rsidRPr="0004158A">
              <w:rPr>
                <w:b/>
                <w:i/>
                <w:vertAlign w:val="superscript"/>
              </w:rPr>
              <w:t>1</w:t>
            </w:r>
            <w:r w:rsidRPr="0004158A">
              <w:t>. À cet effet, la Commission coopère et échange des données de manière régulière avec les États membres</w:t>
            </w:r>
            <w:r w:rsidRPr="0004158A">
              <w:rPr>
                <w:b/>
                <w:i/>
              </w:rPr>
              <w:t>, le Parlement européen</w:t>
            </w:r>
            <w:r w:rsidRPr="0004158A">
              <w:t xml:space="preserve"> et l’industrie de l’Union.</w:t>
            </w:r>
          </w:p>
        </w:tc>
      </w:tr>
      <w:tr w:rsidR="00EB3BDF" w:rsidRPr="0004158A" w14:paraId="484D012D" w14:textId="77777777" w:rsidTr="006A289D">
        <w:trPr>
          <w:jc w:val="center"/>
        </w:trPr>
        <w:tc>
          <w:tcPr>
            <w:tcW w:w="4876" w:type="dxa"/>
            <w:tcBorders>
              <w:top w:val="nil"/>
              <w:left w:val="nil"/>
              <w:bottom w:val="nil"/>
              <w:right w:val="nil"/>
            </w:tcBorders>
          </w:tcPr>
          <w:p w14:paraId="768EF5DF" w14:textId="77777777" w:rsidR="00EB3BDF" w:rsidRPr="0004158A" w:rsidRDefault="00EB3BDF" w:rsidP="006A289D">
            <w:pPr>
              <w:pStyle w:val="Normal6a"/>
            </w:pPr>
          </w:p>
        </w:tc>
        <w:tc>
          <w:tcPr>
            <w:tcW w:w="4876" w:type="dxa"/>
            <w:tcBorders>
              <w:top w:val="nil"/>
              <w:left w:val="nil"/>
              <w:bottom w:val="nil"/>
              <w:right w:val="nil"/>
            </w:tcBorders>
            <w:hideMark/>
          </w:tcPr>
          <w:p w14:paraId="657B5A88" w14:textId="720C6029" w:rsidR="00EB3BDF" w:rsidRPr="0004158A" w:rsidRDefault="00EB3BDF" w:rsidP="006A289D">
            <w:pPr>
              <w:pStyle w:val="Normal6a"/>
            </w:pPr>
            <w:r w:rsidRPr="0004158A">
              <w:rPr>
                <w:b/>
                <w:i/>
                <w:vertAlign w:val="superscript"/>
              </w:rPr>
              <w:t>1</w:t>
            </w:r>
            <w:r w:rsidR="00C61E7D" w:rsidRPr="0004158A">
              <w:rPr>
                <w:b/>
                <w:i/>
                <w:vertAlign w:val="superscript"/>
              </w:rPr>
              <w:t xml:space="preserve"> </w:t>
            </w:r>
            <w:r w:rsidR="00C61E7D">
              <w:rPr>
                <w:b/>
                <w:i/>
                <w:vertAlign w:val="superscript"/>
              </w:rPr>
              <w:t>bis</w:t>
            </w:r>
            <w:r w:rsidRPr="0004158A">
              <w:rPr>
                <w:b/>
                <w:i/>
                <w:vertAlign w:val="superscript"/>
              </w:rPr>
              <w:t xml:space="preserve"> </w:t>
            </w:r>
            <w:r w:rsidRPr="0004158A">
              <w:rPr>
                <w:b/>
                <w:i/>
              </w:rPr>
              <w:t>Règlement (UE) nº 1308/2013 du Parlement européen et du Conseil du 17 décembre 2013 portant organisation commune des marchés des produits agricoles et abrogeant les règlements (CEE) nº 922/72, (CEE) nº 234/79, (CE) nº 1037/2001 et (CE) nº 1234/2007 du Conseil (JO L 347 du 20.12.2013, ELI: http://data.europa.eu/eli/reg/2013/1308/oj).</w:t>
            </w:r>
          </w:p>
        </w:tc>
      </w:tr>
    </w:tbl>
    <w:p w14:paraId="4D32F928" w14:textId="77777777" w:rsidR="00EB3BDF" w:rsidRPr="0004158A" w:rsidRDefault="00EB3BDF" w:rsidP="00EB3BDF">
      <w:pPr>
        <w:pStyle w:val="AmNumberTabs"/>
      </w:pPr>
      <w:r w:rsidRPr="0004158A">
        <w:t>Amendement</w:t>
      </w:r>
      <w:r w:rsidRPr="0004158A">
        <w:tab/>
      </w:r>
      <w:r w:rsidRPr="0004158A">
        <w:tab/>
        <w:t>4</w:t>
      </w:r>
    </w:p>
    <w:p w14:paraId="378D5D42" w14:textId="77777777" w:rsidR="00EB3BDF" w:rsidRPr="0004158A" w:rsidRDefault="00EB3BDF" w:rsidP="00EB3BDF">
      <w:pPr>
        <w:pStyle w:val="NormalBold12b"/>
      </w:pPr>
      <w:r w:rsidRPr="0004158A">
        <w:t>Proposition de règlement</w:t>
      </w:r>
    </w:p>
    <w:p w14:paraId="453F6BC4" w14:textId="77777777" w:rsidR="00EB3BDF" w:rsidRPr="0004158A" w:rsidRDefault="00EB3BDF" w:rsidP="00EB3BDF">
      <w:pPr>
        <w:pStyle w:val="NormalBold"/>
      </w:pPr>
      <w:r w:rsidRPr="0004158A">
        <w:t>Article 4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BDF" w:rsidRPr="0004158A" w14:paraId="44E16171" w14:textId="77777777" w:rsidTr="006A289D">
        <w:trPr>
          <w:trHeight w:val="240"/>
          <w:jc w:val="center"/>
        </w:trPr>
        <w:tc>
          <w:tcPr>
            <w:tcW w:w="9752" w:type="dxa"/>
            <w:gridSpan w:val="2"/>
            <w:tcBorders>
              <w:top w:val="nil"/>
              <w:left w:val="nil"/>
              <w:bottom w:val="nil"/>
              <w:right w:val="nil"/>
            </w:tcBorders>
          </w:tcPr>
          <w:p w14:paraId="2D162049" w14:textId="77777777" w:rsidR="00EB3BDF" w:rsidRPr="0004158A" w:rsidRDefault="00EB3BDF" w:rsidP="006A289D"/>
        </w:tc>
      </w:tr>
      <w:tr w:rsidR="00EB3BDF" w:rsidRPr="0004158A" w14:paraId="3B06E745" w14:textId="77777777" w:rsidTr="006A289D">
        <w:trPr>
          <w:trHeight w:val="240"/>
          <w:jc w:val="center"/>
        </w:trPr>
        <w:tc>
          <w:tcPr>
            <w:tcW w:w="4876" w:type="dxa"/>
            <w:tcBorders>
              <w:top w:val="nil"/>
              <w:left w:val="nil"/>
              <w:bottom w:val="nil"/>
              <w:right w:val="nil"/>
            </w:tcBorders>
            <w:hideMark/>
          </w:tcPr>
          <w:p w14:paraId="15640C7D"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3A3FC21F" w14:textId="77777777" w:rsidR="00EB3BDF" w:rsidRPr="0004158A" w:rsidRDefault="00EB3BDF" w:rsidP="006A289D">
            <w:pPr>
              <w:pStyle w:val="AmColumnHeading"/>
            </w:pPr>
            <w:r w:rsidRPr="0004158A">
              <w:t>Amendement</w:t>
            </w:r>
          </w:p>
        </w:tc>
      </w:tr>
      <w:tr w:rsidR="00EB3BDF" w:rsidRPr="0004158A" w14:paraId="6767D8D9" w14:textId="77777777" w:rsidTr="006A289D">
        <w:trPr>
          <w:jc w:val="center"/>
        </w:trPr>
        <w:tc>
          <w:tcPr>
            <w:tcW w:w="4876" w:type="dxa"/>
            <w:tcBorders>
              <w:top w:val="nil"/>
              <w:left w:val="nil"/>
              <w:bottom w:val="nil"/>
              <w:right w:val="nil"/>
            </w:tcBorders>
          </w:tcPr>
          <w:p w14:paraId="12E30AE6" w14:textId="77777777" w:rsidR="00EB3BDF" w:rsidRPr="0004158A" w:rsidRDefault="00EB3BDF" w:rsidP="006A289D">
            <w:pPr>
              <w:pStyle w:val="Normal6a"/>
            </w:pPr>
          </w:p>
        </w:tc>
        <w:tc>
          <w:tcPr>
            <w:tcW w:w="4876" w:type="dxa"/>
            <w:tcBorders>
              <w:top w:val="nil"/>
              <w:left w:val="nil"/>
              <w:bottom w:val="nil"/>
              <w:right w:val="nil"/>
            </w:tcBorders>
            <w:hideMark/>
          </w:tcPr>
          <w:p w14:paraId="2B25E250" w14:textId="77777777" w:rsidR="00EB3BDF" w:rsidRPr="0004158A" w:rsidRDefault="00EB3BDF" w:rsidP="006A289D">
            <w:pPr>
              <w:pStyle w:val="Normal6a"/>
            </w:pPr>
            <w:r w:rsidRPr="0004158A">
              <w:rPr>
                <w:b/>
                <w:i/>
              </w:rPr>
              <w:t>2 bis.</w:t>
            </w:r>
            <w:r w:rsidRPr="0004158A">
              <w:tab/>
            </w:r>
            <w:r w:rsidRPr="0004158A">
              <w:rPr>
                <w:b/>
                <w:i/>
              </w:rPr>
              <w:t xml:space="preserve">À la suite d'une demande dûment justifiée de l'industrie de l'Union </w:t>
            </w:r>
            <w:r w:rsidRPr="0004158A">
              <w:rPr>
                <w:b/>
                <w:i/>
              </w:rPr>
              <w:lastRenderedPageBreak/>
              <w:t>concernée, la Commission peut étendre le champ d'application du suivi visé au paragraphe 1 à tous produits ou secteurs autres que ceux mentionnés en annexe.</w:t>
            </w:r>
          </w:p>
        </w:tc>
      </w:tr>
    </w:tbl>
    <w:p w14:paraId="15F6E91B" w14:textId="77777777" w:rsidR="00EB3BDF" w:rsidRPr="0004158A" w:rsidRDefault="00EB3BDF" w:rsidP="00EB3BDF">
      <w:pPr>
        <w:pStyle w:val="AmNumberTabs"/>
      </w:pPr>
      <w:r w:rsidRPr="0004158A">
        <w:lastRenderedPageBreak/>
        <w:t>Amendement</w:t>
      </w:r>
      <w:r w:rsidRPr="0004158A">
        <w:tab/>
      </w:r>
      <w:r w:rsidRPr="0004158A">
        <w:tab/>
        <w:t>5</w:t>
      </w:r>
    </w:p>
    <w:p w14:paraId="3C597658" w14:textId="77777777" w:rsidR="00EB3BDF" w:rsidRPr="0004158A" w:rsidRDefault="00EB3BDF" w:rsidP="00EB3BDF">
      <w:pPr>
        <w:pStyle w:val="NormalBold12b"/>
      </w:pPr>
      <w:r w:rsidRPr="0004158A">
        <w:t>Proposition de règlement</w:t>
      </w:r>
    </w:p>
    <w:p w14:paraId="4F1DD706" w14:textId="77777777" w:rsidR="00EB3BDF" w:rsidRPr="0004158A" w:rsidRDefault="00EB3BDF" w:rsidP="00EB3BDF">
      <w:pPr>
        <w:pStyle w:val="NormalBold"/>
      </w:pPr>
      <w:r w:rsidRPr="0004158A">
        <w:t>Article 4 – paragraphe 2 ter (nouveau)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0947B9E5" w14:textId="77777777" w:rsidTr="006A289D">
        <w:trPr>
          <w:trHeight w:val="240"/>
          <w:jc w:val="center"/>
        </w:trPr>
        <w:tc>
          <w:tcPr>
            <w:tcW w:w="9752" w:type="dxa"/>
            <w:gridSpan w:val="2"/>
            <w:tcBorders>
              <w:top w:val="nil"/>
              <w:left w:val="nil"/>
              <w:bottom w:val="nil"/>
              <w:right w:val="nil"/>
            </w:tcBorders>
          </w:tcPr>
          <w:p w14:paraId="46CEDED7" w14:textId="77777777" w:rsidR="00EB3BDF" w:rsidRPr="0004158A" w:rsidRDefault="00EB3BDF" w:rsidP="006A289D"/>
        </w:tc>
      </w:tr>
      <w:tr w:rsidR="00EB3BDF" w:rsidRPr="0004158A" w14:paraId="567F0899" w14:textId="77777777" w:rsidTr="006A289D">
        <w:trPr>
          <w:trHeight w:val="240"/>
          <w:jc w:val="center"/>
        </w:trPr>
        <w:tc>
          <w:tcPr>
            <w:tcW w:w="4876" w:type="dxa"/>
            <w:tcBorders>
              <w:top w:val="nil"/>
              <w:left w:val="nil"/>
              <w:bottom w:val="nil"/>
              <w:right w:val="nil"/>
            </w:tcBorders>
            <w:hideMark/>
          </w:tcPr>
          <w:p w14:paraId="1FB34D3A"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3CA6650A" w14:textId="77777777" w:rsidR="00EB3BDF" w:rsidRPr="0004158A" w:rsidRDefault="00EB3BDF" w:rsidP="006A289D">
            <w:pPr>
              <w:pStyle w:val="AmColumnHeading"/>
            </w:pPr>
            <w:r w:rsidRPr="0004158A">
              <w:t>Amendement</w:t>
            </w:r>
          </w:p>
        </w:tc>
      </w:tr>
      <w:tr w:rsidR="00EB3BDF" w:rsidRPr="0004158A" w14:paraId="421E22E5" w14:textId="77777777" w:rsidTr="006A289D">
        <w:trPr>
          <w:jc w:val="center"/>
        </w:trPr>
        <w:tc>
          <w:tcPr>
            <w:tcW w:w="4876" w:type="dxa"/>
            <w:tcBorders>
              <w:top w:val="nil"/>
              <w:left w:val="nil"/>
              <w:bottom w:val="nil"/>
              <w:right w:val="nil"/>
            </w:tcBorders>
          </w:tcPr>
          <w:p w14:paraId="6279B8DC" w14:textId="77777777" w:rsidR="00EB3BDF" w:rsidRPr="0004158A" w:rsidRDefault="00EB3BDF" w:rsidP="006A289D">
            <w:pPr>
              <w:pStyle w:val="Normal6a"/>
            </w:pPr>
          </w:p>
        </w:tc>
        <w:tc>
          <w:tcPr>
            <w:tcW w:w="4876" w:type="dxa"/>
            <w:tcBorders>
              <w:top w:val="nil"/>
              <w:left w:val="nil"/>
              <w:bottom w:val="nil"/>
              <w:right w:val="nil"/>
            </w:tcBorders>
            <w:hideMark/>
          </w:tcPr>
          <w:p w14:paraId="72B5C39C" w14:textId="77777777" w:rsidR="00EB3BDF" w:rsidRPr="0004158A" w:rsidRDefault="00EB3BDF" w:rsidP="006A289D">
            <w:pPr>
              <w:pStyle w:val="Normal6a"/>
            </w:pPr>
            <w:r w:rsidRPr="0004158A">
              <w:rPr>
                <w:b/>
                <w:i/>
              </w:rPr>
              <w:t>2 ter.</w:t>
            </w:r>
            <w:r w:rsidRPr="0004158A">
              <w:tab/>
            </w:r>
            <w:r w:rsidRPr="0004158A">
              <w:rPr>
                <w:b/>
                <w:i/>
              </w:rPr>
              <w:t>La coopération et l’échange de données s’effectuent tant verticalement, entre la Commission et les États membres, qu’horizontalement, entre les États membres.</w:t>
            </w:r>
          </w:p>
        </w:tc>
      </w:tr>
    </w:tbl>
    <w:p w14:paraId="192D8256" w14:textId="77777777" w:rsidR="00EB3BDF" w:rsidRPr="0004158A" w:rsidRDefault="00EB3BDF" w:rsidP="00EB3BDF">
      <w:pPr>
        <w:pStyle w:val="AmNumberTabs"/>
      </w:pPr>
      <w:r w:rsidRPr="0004158A">
        <w:t>Amendement</w:t>
      </w:r>
      <w:r w:rsidRPr="0004158A">
        <w:tab/>
      </w:r>
      <w:r w:rsidRPr="0004158A">
        <w:tab/>
        <w:t>6</w:t>
      </w:r>
    </w:p>
    <w:p w14:paraId="01EDDA3D" w14:textId="77777777" w:rsidR="00EB3BDF" w:rsidRPr="0004158A" w:rsidRDefault="00EB3BDF" w:rsidP="00EB3BDF">
      <w:pPr>
        <w:pStyle w:val="NormalBold12b"/>
      </w:pPr>
      <w:r w:rsidRPr="0004158A">
        <w:t>Proposition de règlement</w:t>
      </w:r>
    </w:p>
    <w:p w14:paraId="1CDA0418" w14:textId="77777777" w:rsidR="00EB3BDF" w:rsidRPr="0004158A" w:rsidRDefault="00EB3BDF" w:rsidP="00EB3BDF">
      <w:pPr>
        <w:pStyle w:val="NormalBold"/>
      </w:pPr>
      <w:r w:rsidRPr="0004158A">
        <w:t>Article 4 – paragraphe 2 quater (nouveau)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7565EFF2" w14:textId="77777777" w:rsidTr="006A289D">
        <w:trPr>
          <w:trHeight w:val="240"/>
          <w:jc w:val="center"/>
        </w:trPr>
        <w:tc>
          <w:tcPr>
            <w:tcW w:w="9752" w:type="dxa"/>
            <w:gridSpan w:val="2"/>
            <w:tcBorders>
              <w:top w:val="nil"/>
              <w:left w:val="nil"/>
              <w:bottom w:val="nil"/>
              <w:right w:val="nil"/>
            </w:tcBorders>
          </w:tcPr>
          <w:p w14:paraId="72DBCD75" w14:textId="77777777" w:rsidR="00EB3BDF" w:rsidRPr="0004158A" w:rsidRDefault="00EB3BDF" w:rsidP="006A289D"/>
        </w:tc>
      </w:tr>
      <w:tr w:rsidR="00EB3BDF" w:rsidRPr="0004158A" w14:paraId="05991FBC" w14:textId="77777777" w:rsidTr="006A289D">
        <w:trPr>
          <w:trHeight w:val="240"/>
          <w:jc w:val="center"/>
        </w:trPr>
        <w:tc>
          <w:tcPr>
            <w:tcW w:w="4876" w:type="dxa"/>
            <w:tcBorders>
              <w:top w:val="nil"/>
              <w:left w:val="nil"/>
              <w:bottom w:val="nil"/>
              <w:right w:val="nil"/>
            </w:tcBorders>
            <w:hideMark/>
          </w:tcPr>
          <w:p w14:paraId="62B30D39"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0A0F3CB8" w14:textId="77777777" w:rsidR="00EB3BDF" w:rsidRPr="0004158A" w:rsidRDefault="00EB3BDF" w:rsidP="006A289D">
            <w:pPr>
              <w:pStyle w:val="AmColumnHeading"/>
            </w:pPr>
            <w:r w:rsidRPr="0004158A">
              <w:t>Amendement</w:t>
            </w:r>
          </w:p>
        </w:tc>
      </w:tr>
      <w:tr w:rsidR="00EB3BDF" w:rsidRPr="0004158A" w14:paraId="486CBB7F" w14:textId="77777777" w:rsidTr="006A289D">
        <w:trPr>
          <w:jc w:val="center"/>
        </w:trPr>
        <w:tc>
          <w:tcPr>
            <w:tcW w:w="4876" w:type="dxa"/>
            <w:tcBorders>
              <w:top w:val="nil"/>
              <w:left w:val="nil"/>
              <w:bottom w:val="nil"/>
              <w:right w:val="nil"/>
            </w:tcBorders>
          </w:tcPr>
          <w:p w14:paraId="5E632E4F" w14:textId="77777777" w:rsidR="00EB3BDF" w:rsidRPr="0004158A" w:rsidRDefault="00EB3BDF" w:rsidP="006A289D">
            <w:pPr>
              <w:pStyle w:val="Normal6a"/>
            </w:pPr>
          </w:p>
        </w:tc>
        <w:tc>
          <w:tcPr>
            <w:tcW w:w="4876" w:type="dxa"/>
            <w:tcBorders>
              <w:top w:val="nil"/>
              <w:left w:val="nil"/>
              <w:bottom w:val="nil"/>
              <w:right w:val="nil"/>
            </w:tcBorders>
            <w:hideMark/>
          </w:tcPr>
          <w:p w14:paraId="1DF483B0" w14:textId="77777777" w:rsidR="00EB3BDF" w:rsidRPr="0004158A" w:rsidRDefault="00EB3BDF" w:rsidP="006A289D">
            <w:pPr>
              <w:pStyle w:val="Normal6a"/>
            </w:pPr>
            <w:r w:rsidRPr="0004158A">
              <w:rPr>
                <w:b/>
                <w:i/>
              </w:rPr>
              <w:t>2 quater.</w:t>
            </w:r>
            <w:r w:rsidRPr="0004158A">
              <w:tab/>
            </w:r>
            <w:r w:rsidRPr="0004158A">
              <w:rPr>
                <w:b/>
                <w:i/>
              </w:rPr>
              <w:t>Au plus tard le 1</w:t>
            </w:r>
            <w:r w:rsidRPr="0004158A">
              <w:rPr>
                <w:b/>
                <w:i/>
                <w:vertAlign w:val="superscript"/>
              </w:rPr>
              <w:t>er</w:t>
            </w:r>
            <w:r w:rsidRPr="0004158A">
              <w:rPr>
                <w:b/>
                <w:i/>
              </w:rPr>
              <w:t> mars 2026, la Commission élabore et met à la disposition des États membres des lignes directrices techniques concernant les indicateurs, les paramètres et les types de données qui peuvent faire l’objet d'un suivi sur les marchés aux niveaux national et local.</w:t>
            </w:r>
          </w:p>
        </w:tc>
      </w:tr>
    </w:tbl>
    <w:p w14:paraId="0E61D8B2" w14:textId="77777777" w:rsidR="00EB3BDF" w:rsidRPr="0004158A" w:rsidRDefault="00EB3BDF" w:rsidP="00EB3BDF">
      <w:pPr>
        <w:pStyle w:val="AmNumberTabs"/>
      </w:pPr>
      <w:r w:rsidRPr="0004158A">
        <w:t>Amendement</w:t>
      </w:r>
      <w:r w:rsidRPr="0004158A">
        <w:tab/>
      </w:r>
      <w:r w:rsidRPr="0004158A">
        <w:tab/>
        <w:t>7</w:t>
      </w:r>
    </w:p>
    <w:p w14:paraId="5AC2EB2C" w14:textId="77777777" w:rsidR="00EB3BDF" w:rsidRPr="0004158A" w:rsidRDefault="00EB3BDF" w:rsidP="00EB3BDF">
      <w:pPr>
        <w:pStyle w:val="NormalBold12b"/>
      </w:pPr>
      <w:r w:rsidRPr="0004158A">
        <w:t>Proposition de règlement</w:t>
      </w:r>
    </w:p>
    <w:p w14:paraId="02C4CDE8" w14:textId="77777777" w:rsidR="00EB3BDF" w:rsidRPr="0004158A" w:rsidRDefault="00EB3BDF" w:rsidP="00EB3BDF">
      <w:pPr>
        <w:pStyle w:val="NormalBold"/>
      </w:pPr>
      <w:r w:rsidRPr="0004158A">
        <w:t>Article 4 – paragraphe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703B27CE" w14:textId="77777777" w:rsidTr="006A289D">
        <w:trPr>
          <w:trHeight w:val="240"/>
          <w:jc w:val="center"/>
        </w:trPr>
        <w:tc>
          <w:tcPr>
            <w:tcW w:w="9752" w:type="dxa"/>
            <w:gridSpan w:val="2"/>
            <w:tcBorders>
              <w:top w:val="nil"/>
              <w:left w:val="nil"/>
              <w:bottom w:val="nil"/>
              <w:right w:val="nil"/>
            </w:tcBorders>
          </w:tcPr>
          <w:p w14:paraId="531BE55E" w14:textId="77777777" w:rsidR="00EB3BDF" w:rsidRPr="0004158A" w:rsidRDefault="00EB3BDF" w:rsidP="006A289D"/>
        </w:tc>
      </w:tr>
      <w:tr w:rsidR="00EB3BDF" w:rsidRPr="0004158A" w14:paraId="3033076E" w14:textId="77777777" w:rsidTr="006A289D">
        <w:trPr>
          <w:trHeight w:val="240"/>
          <w:jc w:val="center"/>
        </w:trPr>
        <w:tc>
          <w:tcPr>
            <w:tcW w:w="4876" w:type="dxa"/>
            <w:tcBorders>
              <w:top w:val="nil"/>
              <w:left w:val="nil"/>
              <w:bottom w:val="nil"/>
              <w:right w:val="nil"/>
            </w:tcBorders>
            <w:hideMark/>
          </w:tcPr>
          <w:p w14:paraId="287306D1"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5FD958DD" w14:textId="77777777" w:rsidR="00EB3BDF" w:rsidRPr="0004158A" w:rsidRDefault="00EB3BDF" w:rsidP="006A289D">
            <w:pPr>
              <w:pStyle w:val="AmColumnHeading"/>
            </w:pPr>
            <w:r w:rsidRPr="0004158A">
              <w:t>Amendement</w:t>
            </w:r>
          </w:p>
        </w:tc>
      </w:tr>
      <w:tr w:rsidR="00EB3BDF" w:rsidRPr="0004158A" w14:paraId="7EDA5B48" w14:textId="77777777" w:rsidTr="006A289D">
        <w:trPr>
          <w:jc w:val="center"/>
        </w:trPr>
        <w:tc>
          <w:tcPr>
            <w:tcW w:w="4876" w:type="dxa"/>
            <w:tcBorders>
              <w:top w:val="nil"/>
              <w:left w:val="nil"/>
              <w:bottom w:val="nil"/>
              <w:right w:val="nil"/>
            </w:tcBorders>
            <w:hideMark/>
          </w:tcPr>
          <w:p w14:paraId="30B0C514" w14:textId="77777777" w:rsidR="00EB3BDF" w:rsidRPr="0004158A" w:rsidRDefault="00EB3BDF" w:rsidP="006A289D">
            <w:pPr>
              <w:pStyle w:val="Normal6a"/>
            </w:pPr>
            <w:r w:rsidRPr="0004158A">
              <w:t>3.</w:t>
            </w:r>
            <w:r w:rsidRPr="0004158A">
              <w:tab/>
              <w:t xml:space="preserve">La Commission présente tous les </w:t>
            </w:r>
            <w:r w:rsidRPr="0004158A">
              <w:rPr>
                <w:b/>
                <w:i/>
              </w:rPr>
              <w:t>six</w:t>
            </w:r>
            <w:r w:rsidRPr="0004158A">
              <w:t xml:space="preserve"> mois au Parlement européen et au Conseil un rapport de suivi contenant son évaluation de l’incidence des importations de produits sensibles bénéficiant d’un accès préférentiel au marché en vertu de l’accord. Ces rapports portent sur le marché de l’Union et, le cas échéant, portent également sur la situation dans un </w:t>
            </w:r>
            <w:r w:rsidRPr="0004158A">
              <w:lastRenderedPageBreak/>
              <w:t>ou plusieurs États membres.</w:t>
            </w:r>
          </w:p>
        </w:tc>
        <w:tc>
          <w:tcPr>
            <w:tcW w:w="4876" w:type="dxa"/>
            <w:tcBorders>
              <w:top w:val="nil"/>
              <w:left w:val="nil"/>
              <w:bottom w:val="nil"/>
              <w:right w:val="nil"/>
            </w:tcBorders>
            <w:hideMark/>
          </w:tcPr>
          <w:p w14:paraId="08855A00" w14:textId="77777777" w:rsidR="00EB3BDF" w:rsidRPr="0004158A" w:rsidRDefault="00EB3BDF" w:rsidP="006A289D">
            <w:pPr>
              <w:pStyle w:val="Normal6a"/>
            </w:pPr>
            <w:r w:rsidRPr="0004158A">
              <w:lastRenderedPageBreak/>
              <w:t>3.</w:t>
            </w:r>
            <w:r w:rsidRPr="0004158A">
              <w:tab/>
              <w:t xml:space="preserve">La Commission présente tous les </w:t>
            </w:r>
            <w:r w:rsidRPr="0004158A">
              <w:rPr>
                <w:b/>
                <w:i/>
              </w:rPr>
              <w:t>trois</w:t>
            </w:r>
            <w:r w:rsidRPr="0004158A">
              <w:t xml:space="preserve"> mois au Parlement européen et au Conseil un rapport de suivi contenant son évaluation de l’incidence des importations de produits sensibles bénéficiant d’un accès préférentiel au marché en vertu de l’accord. Ces rapports portent sur le marché de l’Union et, le cas échéant, portent également sur la situation </w:t>
            </w:r>
            <w:r w:rsidRPr="0004158A">
              <w:rPr>
                <w:b/>
                <w:i/>
              </w:rPr>
              <w:lastRenderedPageBreak/>
              <w:t>spécifique</w:t>
            </w:r>
            <w:r w:rsidRPr="0004158A">
              <w:t xml:space="preserve"> dans un ou plusieurs États membres.</w:t>
            </w:r>
          </w:p>
        </w:tc>
      </w:tr>
    </w:tbl>
    <w:p w14:paraId="19ECDC95" w14:textId="77777777" w:rsidR="00EB3BDF" w:rsidRPr="0004158A" w:rsidRDefault="00EB3BDF" w:rsidP="00EB3BDF">
      <w:pPr>
        <w:pStyle w:val="AmNumberTabs"/>
      </w:pPr>
      <w:r w:rsidRPr="0004158A">
        <w:lastRenderedPageBreak/>
        <w:t>Amendement</w:t>
      </w:r>
      <w:r w:rsidRPr="0004158A">
        <w:tab/>
      </w:r>
      <w:r w:rsidRPr="0004158A">
        <w:tab/>
        <w:t>8</w:t>
      </w:r>
    </w:p>
    <w:p w14:paraId="2ED70AAF" w14:textId="77777777" w:rsidR="00EB3BDF" w:rsidRPr="0004158A" w:rsidRDefault="00EB3BDF" w:rsidP="00EB3BDF">
      <w:pPr>
        <w:pStyle w:val="NormalBold12b"/>
      </w:pPr>
      <w:r w:rsidRPr="0004158A">
        <w:t>Proposition de règlement</w:t>
      </w:r>
    </w:p>
    <w:p w14:paraId="0AC1AB27" w14:textId="77777777" w:rsidR="00EB3BDF" w:rsidRPr="0004158A" w:rsidRDefault="00EB3BDF" w:rsidP="00EB3BDF">
      <w:pPr>
        <w:pStyle w:val="NormalBold"/>
      </w:pPr>
      <w:r w:rsidRPr="0004158A">
        <w:t>Article 6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BDF" w:rsidRPr="0004158A" w14:paraId="33429415" w14:textId="77777777" w:rsidTr="006A289D">
        <w:trPr>
          <w:trHeight w:val="240"/>
          <w:jc w:val="center"/>
        </w:trPr>
        <w:tc>
          <w:tcPr>
            <w:tcW w:w="9752" w:type="dxa"/>
            <w:gridSpan w:val="2"/>
            <w:tcBorders>
              <w:top w:val="nil"/>
              <w:left w:val="nil"/>
              <w:bottom w:val="nil"/>
              <w:right w:val="nil"/>
            </w:tcBorders>
          </w:tcPr>
          <w:p w14:paraId="42CFA6E6" w14:textId="77777777" w:rsidR="00EB3BDF" w:rsidRPr="0004158A" w:rsidRDefault="00EB3BDF" w:rsidP="006A289D"/>
        </w:tc>
      </w:tr>
      <w:tr w:rsidR="00EB3BDF" w:rsidRPr="0004158A" w14:paraId="0D3CF1F5" w14:textId="77777777" w:rsidTr="006A289D">
        <w:trPr>
          <w:trHeight w:val="240"/>
          <w:jc w:val="center"/>
        </w:trPr>
        <w:tc>
          <w:tcPr>
            <w:tcW w:w="4876" w:type="dxa"/>
            <w:tcBorders>
              <w:top w:val="nil"/>
              <w:left w:val="nil"/>
              <w:bottom w:val="nil"/>
              <w:right w:val="nil"/>
            </w:tcBorders>
            <w:hideMark/>
          </w:tcPr>
          <w:p w14:paraId="1C37AAE5"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1EA3CEB0" w14:textId="77777777" w:rsidR="00EB3BDF" w:rsidRPr="0004158A" w:rsidRDefault="00EB3BDF" w:rsidP="006A289D">
            <w:pPr>
              <w:pStyle w:val="AmColumnHeading"/>
            </w:pPr>
            <w:r w:rsidRPr="0004158A">
              <w:t>Amendement</w:t>
            </w:r>
          </w:p>
        </w:tc>
      </w:tr>
      <w:tr w:rsidR="00EB3BDF" w:rsidRPr="0004158A" w14:paraId="011251DD" w14:textId="77777777" w:rsidTr="006A289D">
        <w:trPr>
          <w:jc w:val="center"/>
        </w:trPr>
        <w:tc>
          <w:tcPr>
            <w:tcW w:w="4876" w:type="dxa"/>
            <w:tcBorders>
              <w:top w:val="nil"/>
              <w:left w:val="nil"/>
              <w:bottom w:val="nil"/>
              <w:right w:val="nil"/>
            </w:tcBorders>
            <w:hideMark/>
          </w:tcPr>
          <w:p w14:paraId="761B0A6F" w14:textId="77777777" w:rsidR="00EB3BDF" w:rsidRPr="0004158A" w:rsidRDefault="00EB3BDF" w:rsidP="006A289D">
            <w:pPr>
              <w:pStyle w:val="Normal6a"/>
            </w:pPr>
            <w:r w:rsidRPr="0004158A">
              <w:t>3.</w:t>
            </w:r>
            <w:r w:rsidRPr="0004158A">
              <w:tab/>
              <w:t xml:space="preserve">En l’absence d’indications contraires, en cas d’augmentation du volume des importations à des conditions préférentielles d’un produit donné en provenance d’un pays concerné, la Commission considère cette augmentation, lorsqu’elle est supérieure à </w:t>
            </w:r>
            <w:r w:rsidRPr="0004158A">
              <w:rPr>
                <w:b/>
                <w:i/>
              </w:rPr>
              <w:t>10 % en glissement annuel</w:t>
            </w:r>
            <w:r w:rsidRPr="0004158A">
              <w:t xml:space="preserve">, en règle générale, comme un élément de preuve attestant à première vue l’existence d’un préjudice grave ou d’une menace de préjudice grave pour l’industrie de l’Union, si, dans le même temps, le prix moyen à l’importation de ces importations en provenance d’un pays concerné est au moins inférieur de </w:t>
            </w:r>
            <w:r w:rsidRPr="0004158A">
              <w:rPr>
                <w:b/>
                <w:i/>
              </w:rPr>
              <w:t>10 %</w:t>
            </w:r>
            <w:r w:rsidRPr="0004158A">
              <w:t>, en règle générale, au prix intérieur moyen pertinent de produits similaires ou directement concurrents au cours de la même période, sur la base des données disponibles.</w:t>
            </w:r>
          </w:p>
        </w:tc>
        <w:tc>
          <w:tcPr>
            <w:tcW w:w="4876" w:type="dxa"/>
            <w:tcBorders>
              <w:top w:val="nil"/>
              <w:left w:val="nil"/>
              <w:bottom w:val="nil"/>
              <w:right w:val="nil"/>
            </w:tcBorders>
            <w:hideMark/>
          </w:tcPr>
          <w:p w14:paraId="066C3AA4" w14:textId="77777777" w:rsidR="00EB3BDF" w:rsidRPr="0004158A" w:rsidRDefault="00EB3BDF" w:rsidP="006A289D">
            <w:pPr>
              <w:pStyle w:val="Normal6a"/>
            </w:pPr>
            <w:r w:rsidRPr="0004158A">
              <w:t>3.</w:t>
            </w:r>
            <w:r w:rsidRPr="0004158A">
              <w:tab/>
              <w:t xml:space="preserve">En l’absence d’indications contraires, en cas d’augmentation du volume des importations à des conditions préférentielles d’un produit donné en provenance d’un pays concerné, la Commission considère cette augmentation, lorsqu’elle est supérieure à </w:t>
            </w:r>
            <w:r w:rsidRPr="0004158A">
              <w:rPr>
                <w:b/>
                <w:i/>
              </w:rPr>
              <w:t>5 % par rapport à la moyenne sur trois ans</w:t>
            </w:r>
            <w:r w:rsidRPr="0004158A">
              <w:t xml:space="preserve">, en règle générale, comme un élément de preuve attestant à première vue l’existence d’un préjudice grave ou d’une menace de préjudice grave pour l’industrie de l’Union, si, dans le même temps, le prix moyen à l’importation de ces importations en provenance d’un pays concerné est au moins inférieur de </w:t>
            </w:r>
            <w:r w:rsidRPr="0004158A">
              <w:rPr>
                <w:b/>
                <w:i/>
              </w:rPr>
              <w:t>5 %</w:t>
            </w:r>
            <w:r w:rsidRPr="0004158A">
              <w:t>, en règle générale, au prix intérieur moyen pertinent de produits similaires ou directement concurrents au cours de la même période, sur la base des données disponibles.</w:t>
            </w:r>
          </w:p>
        </w:tc>
      </w:tr>
    </w:tbl>
    <w:p w14:paraId="36DB4C2D" w14:textId="77777777" w:rsidR="00EB3BDF" w:rsidRPr="0004158A" w:rsidRDefault="00EB3BDF" w:rsidP="00EB3BDF">
      <w:pPr>
        <w:pStyle w:val="AmNumberTabs"/>
      </w:pPr>
      <w:r w:rsidRPr="0004158A">
        <w:t>Amendement</w:t>
      </w:r>
      <w:r w:rsidRPr="0004158A">
        <w:tab/>
      </w:r>
      <w:r w:rsidRPr="0004158A">
        <w:tab/>
        <w:t>9</w:t>
      </w:r>
    </w:p>
    <w:p w14:paraId="1606195E" w14:textId="77777777" w:rsidR="00EB3BDF" w:rsidRPr="0004158A" w:rsidRDefault="00EB3BDF" w:rsidP="00EB3BDF">
      <w:pPr>
        <w:pStyle w:val="NormalBold12b"/>
      </w:pPr>
      <w:r w:rsidRPr="0004158A">
        <w:t>Proposition de règlement</w:t>
      </w:r>
    </w:p>
    <w:p w14:paraId="0307E0E0" w14:textId="77777777" w:rsidR="00EB3BDF" w:rsidRPr="0004158A" w:rsidRDefault="00EB3BDF" w:rsidP="00EB3BDF">
      <w:pPr>
        <w:pStyle w:val="NormalBold"/>
      </w:pPr>
      <w:r w:rsidRPr="0004158A">
        <w:t>Article 6 – paragraphe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2BFEE139" w14:textId="77777777" w:rsidTr="006A289D">
        <w:trPr>
          <w:trHeight w:val="240"/>
          <w:jc w:val="center"/>
        </w:trPr>
        <w:tc>
          <w:tcPr>
            <w:tcW w:w="9752" w:type="dxa"/>
            <w:gridSpan w:val="2"/>
            <w:tcBorders>
              <w:top w:val="nil"/>
              <w:left w:val="nil"/>
              <w:bottom w:val="nil"/>
              <w:right w:val="nil"/>
            </w:tcBorders>
          </w:tcPr>
          <w:p w14:paraId="604AADEA" w14:textId="77777777" w:rsidR="00EB3BDF" w:rsidRPr="0004158A" w:rsidRDefault="00EB3BDF" w:rsidP="006A289D"/>
        </w:tc>
      </w:tr>
      <w:tr w:rsidR="00EB3BDF" w:rsidRPr="0004158A" w14:paraId="1E4F62C2" w14:textId="77777777" w:rsidTr="006A289D">
        <w:trPr>
          <w:trHeight w:val="240"/>
          <w:jc w:val="center"/>
        </w:trPr>
        <w:tc>
          <w:tcPr>
            <w:tcW w:w="4876" w:type="dxa"/>
            <w:tcBorders>
              <w:top w:val="nil"/>
              <w:left w:val="nil"/>
              <w:bottom w:val="nil"/>
              <w:right w:val="nil"/>
            </w:tcBorders>
            <w:hideMark/>
          </w:tcPr>
          <w:p w14:paraId="6C1311CF"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329F24B1" w14:textId="77777777" w:rsidR="00EB3BDF" w:rsidRPr="0004158A" w:rsidRDefault="00EB3BDF" w:rsidP="006A289D">
            <w:pPr>
              <w:pStyle w:val="AmColumnHeading"/>
            </w:pPr>
            <w:r w:rsidRPr="0004158A">
              <w:t>Amendement</w:t>
            </w:r>
          </w:p>
        </w:tc>
      </w:tr>
      <w:tr w:rsidR="00EB3BDF" w:rsidRPr="0004158A" w14:paraId="6CF9F142" w14:textId="77777777" w:rsidTr="006A289D">
        <w:trPr>
          <w:jc w:val="center"/>
        </w:trPr>
        <w:tc>
          <w:tcPr>
            <w:tcW w:w="4876" w:type="dxa"/>
            <w:tcBorders>
              <w:top w:val="nil"/>
              <w:left w:val="nil"/>
              <w:bottom w:val="nil"/>
              <w:right w:val="nil"/>
            </w:tcBorders>
            <w:hideMark/>
          </w:tcPr>
          <w:p w14:paraId="668C78C0" w14:textId="77777777" w:rsidR="00EB3BDF" w:rsidRPr="0004158A" w:rsidRDefault="00EB3BDF" w:rsidP="006A289D">
            <w:pPr>
              <w:pStyle w:val="Normal6a"/>
            </w:pPr>
            <w:r w:rsidRPr="0004158A">
              <w:t>4.</w:t>
            </w:r>
            <w:r w:rsidRPr="0004158A">
              <w:tab/>
              <w:t xml:space="preserve">En l’absence d’indications contraires, en cas de baisse du prix moyen à l’importation d’un produit donné en provenance d’un pays concerné importé dans l’Union à des conditions préférentielles, la Commission considère cette baisse, lorsqu’elle est supérieure à </w:t>
            </w:r>
            <w:r w:rsidRPr="0004158A">
              <w:rPr>
                <w:b/>
                <w:i/>
              </w:rPr>
              <w:t>10 % en glissement annuel</w:t>
            </w:r>
            <w:r w:rsidRPr="0004158A">
              <w:t xml:space="preserve">, en règle générale, comme un élément de preuve attestant à première vue l’existence d’un préjudice grave ou d’une menace de préjudice grave pour l’industrie de l’Union, </w:t>
            </w:r>
            <w:r w:rsidRPr="0004158A">
              <w:lastRenderedPageBreak/>
              <w:t xml:space="preserve">si, dans le même temps, le prix moyen à l’importation de ce produit en provenance d’un pays concerné est au moins inférieur de </w:t>
            </w:r>
            <w:r w:rsidRPr="0004158A">
              <w:rPr>
                <w:b/>
                <w:i/>
              </w:rPr>
              <w:t>10 %</w:t>
            </w:r>
            <w:r w:rsidRPr="0004158A">
              <w:t>, en règle générale, au prix intérieur moyen pertinent de produits similaires ou directement concurrents au cours de la même période, sur la base des données disponibles.</w:t>
            </w:r>
          </w:p>
        </w:tc>
        <w:tc>
          <w:tcPr>
            <w:tcW w:w="4876" w:type="dxa"/>
            <w:tcBorders>
              <w:top w:val="nil"/>
              <w:left w:val="nil"/>
              <w:bottom w:val="nil"/>
              <w:right w:val="nil"/>
            </w:tcBorders>
            <w:hideMark/>
          </w:tcPr>
          <w:p w14:paraId="36015A82" w14:textId="77777777" w:rsidR="00EB3BDF" w:rsidRPr="0004158A" w:rsidRDefault="00EB3BDF" w:rsidP="006A289D">
            <w:pPr>
              <w:pStyle w:val="Normal6a"/>
            </w:pPr>
            <w:r w:rsidRPr="0004158A">
              <w:lastRenderedPageBreak/>
              <w:t>4.</w:t>
            </w:r>
            <w:r w:rsidRPr="0004158A">
              <w:tab/>
              <w:t xml:space="preserve">En l’absence d’indications contraires, en cas de baisse du prix moyen à l’importation d’un produit donné en provenance d’un pays concerné importé dans l’Union à des conditions préférentielles, la Commission considère cette baisse, lorsqu’elle est supérieure à </w:t>
            </w:r>
            <w:r w:rsidRPr="0004158A">
              <w:rPr>
                <w:b/>
                <w:i/>
              </w:rPr>
              <w:t>5 % par rapport à la moyenne sur trois ans</w:t>
            </w:r>
            <w:r w:rsidRPr="0004158A">
              <w:t xml:space="preserve">, en règle générale, comme un élément de preuve attestant à première vue l’existence d’un préjudice grave ou d’une menace de préjudice grave pour l’industrie </w:t>
            </w:r>
            <w:r w:rsidRPr="0004158A">
              <w:lastRenderedPageBreak/>
              <w:t xml:space="preserve">de l’Union, si, dans le même temps, le prix moyen à l’importation de ce produit en provenance d’un pays concerné est au moins inférieur de </w:t>
            </w:r>
            <w:r w:rsidRPr="0004158A">
              <w:rPr>
                <w:b/>
                <w:i/>
              </w:rPr>
              <w:t>5 %</w:t>
            </w:r>
            <w:r w:rsidRPr="0004158A">
              <w:t>, en règle générale, au prix intérieur moyen pertinent de produits similaires ou directement concurrents au cours de la même période, sur la base des données disponibles.</w:t>
            </w:r>
          </w:p>
        </w:tc>
      </w:tr>
    </w:tbl>
    <w:p w14:paraId="4BA96E7B" w14:textId="77777777" w:rsidR="00EB3BDF" w:rsidRPr="0004158A" w:rsidRDefault="00EB3BDF" w:rsidP="00EB3BDF">
      <w:pPr>
        <w:pStyle w:val="AmNumberTabs"/>
      </w:pPr>
      <w:r w:rsidRPr="0004158A">
        <w:lastRenderedPageBreak/>
        <w:t>Amendement</w:t>
      </w:r>
      <w:r w:rsidRPr="0004158A">
        <w:tab/>
      </w:r>
      <w:r w:rsidRPr="0004158A">
        <w:tab/>
        <w:t>10</w:t>
      </w:r>
    </w:p>
    <w:p w14:paraId="3E00481D" w14:textId="77777777" w:rsidR="00EB3BDF" w:rsidRPr="0004158A" w:rsidRDefault="00EB3BDF" w:rsidP="00EB3BDF">
      <w:pPr>
        <w:pStyle w:val="NormalBold12b"/>
      </w:pPr>
      <w:r w:rsidRPr="0004158A">
        <w:t>Proposition de règlement</w:t>
      </w:r>
    </w:p>
    <w:p w14:paraId="2BDB5BCD" w14:textId="77777777" w:rsidR="00EB3BDF" w:rsidRPr="0004158A" w:rsidRDefault="00EB3BDF" w:rsidP="00EB3BDF">
      <w:pPr>
        <w:pStyle w:val="NormalBold"/>
      </w:pPr>
      <w:r w:rsidRPr="0004158A">
        <w:t>Article 6 – paragraphe 4 bis (nouveau)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33A13E2C" w14:textId="77777777" w:rsidTr="006A289D">
        <w:trPr>
          <w:trHeight w:val="240"/>
          <w:jc w:val="center"/>
        </w:trPr>
        <w:tc>
          <w:tcPr>
            <w:tcW w:w="9752" w:type="dxa"/>
            <w:gridSpan w:val="2"/>
            <w:tcBorders>
              <w:top w:val="nil"/>
              <w:left w:val="nil"/>
              <w:bottom w:val="nil"/>
              <w:right w:val="nil"/>
            </w:tcBorders>
          </w:tcPr>
          <w:p w14:paraId="195D8418" w14:textId="77777777" w:rsidR="00EB3BDF" w:rsidRPr="0004158A" w:rsidRDefault="00EB3BDF" w:rsidP="006A289D"/>
        </w:tc>
      </w:tr>
      <w:tr w:rsidR="00EB3BDF" w:rsidRPr="0004158A" w14:paraId="3AA4171A" w14:textId="77777777" w:rsidTr="006A289D">
        <w:trPr>
          <w:trHeight w:val="240"/>
          <w:jc w:val="center"/>
        </w:trPr>
        <w:tc>
          <w:tcPr>
            <w:tcW w:w="4876" w:type="dxa"/>
            <w:tcBorders>
              <w:top w:val="nil"/>
              <w:left w:val="nil"/>
              <w:bottom w:val="nil"/>
              <w:right w:val="nil"/>
            </w:tcBorders>
            <w:hideMark/>
          </w:tcPr>
          <w:p w14:paraId="4BDAF354"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29B5B316" w14:textId="77777777" w:rsidR="00EB3BDF" w:rsidRPr="0004158A" w:rsidRDefault="00EB3BDF" w:rsidP="006A289D">
            <w:pPr>
              <w:pStyle w:val="AmColumnHeading"/>
            </w:pPr>
            <w:r w:rsidRPr="0004158A">
              <w:t>Amendement</w:t>
            </w:r>
          </w:p>
        </w:tc>
      </w:tr>
      <w:tr w:rsidR="00EB3BDF" w:rsidRPr="0004158A" w14:paraId="7184A8F5" w14:textId="77777777" w:rsidTr="006A289D">
        <w:trPr>
          <w:jc w:val="center"/>
        </w:trPr>
        <w:tc>
          <w:tcPr>
            <w:tcW w:w="4876" w:type="dxa"/>
            <w:tcBorders>
              <w:top w:val="nil"/>
              <w:left w:val="nil"/>
              <w:bottom w:val="nil"/>
              <w:right w:val="nil"/>
            </w:tcBorders>
          </w:tcPr>
          <w:p w14:paraId="44171E8E" w14:textId="77777777" w:rsidR="00EB3BDF" w:rsidRPr="0004158A" w:rsidRDefault="00EB3BDF" w:rsidP="006A289D">
            <w:pPr>
              <w:pStyle w:val="Normal6a"/>
            </w:pPr>
          </w:p>
        </w:tc>
        <w:tc>
          <w:tcPr>
            <w:tcW w:w="4876" w:type="dxa"/>
            <w:tcBorders>
              <w:top w:val="nil"/>
              <w:left w:val="nil"/>
              <w:bottom w:val="nil"/>
              <w:right w:val="nil"/>
            </w:tcBorders>
            <w:hideMark/>
          </w:tcPr>
          <w:p w14:paraId="45FC0CD2" w14:textId="77777777" w:rsidR="00EB3BDF" w:rsidRPr="0004158A" w:rsidRDefault="00EB3BDF" w:rsidP="006A289D">
            <w:pPr>
              <w:pStyle w:val="Normal6a"/>
            </w:pPr>
            <w:r w:rsidRPr="0004158A">
              <w:rPr>
                <w:b/>
                <w:i/>
              </w:rPr>
              <w:t>4 bis.</w:t>
            </w:r>
            <w:r w:rsidRPr="0004158A">
              <w:tab/>
            </w:r>
            <w:r w:rsidRPr="0004158A">
              <w:rPr>
                <w:b/>
                <w:i/>
              </w:rPr>
              <w:t>La Commission n’est pas limitée aux seuils quantitatifs fixés dans le présent article lorsqu’elle établit un élément de preuve attestant à première vue l’existence d’un préjudice grave. Des indications claires d’une détérioration de la situation économique de l’industrie, dans l’ensemble de l’Union ou au niveau des États membres, y compris des baisses soutenues des prix intérieurs, peuvent suffire à démontrer l’existence d’un préjudice pour le secteur et peuvent justifier l’ouverture d’une enquête.</w:t>
            </w:r>
          </w:p>
        </w:tc>
      </w:tr>
    </w:tbl>
    <w:p w14:paraId="0952A296" w14:textId="77777777" w:rsidR="00EB3BDF" w:rsidRPr="0004158A" w:rsidRDefault="00EB3BDF" w:rsidP="00EB3BDF">
      <w:pPr>
        <w:pStyle w:val="AmNumberTabs"/>
      </w:pPr>
      <w:r w:rsidRPr="0004158A">
        <w:t>Amendement</w:t>
      </w:r>
      <w:r w:rsidRPr="0004158A">
        <w:tab/>
      </w:r>
      <w:r w:rsidRPr="0004158A">
        <w:tab/>
        <w:t>11</w:t>
      </w:r>
    </w:p>
    <w:p w14:paraId="42341767" w14:textId="77777777" w:rsidR="00EB3BDF" w:rsidRPr="0004158A" w:rsidRDefault="00EB3BDF" w:rsidP="00EB3BDF">
      <w:pPr>
        <w:pStyle w:val="NormalBold12b"/>
      </w:pPr>
      <w:r w:rsidRPr="0004158A">
        <w:t>Proposition de règlement</w:t>
      </w:r>
    </w:p>
    <w:p w14:paraId="6372AC1F" w14:textId="77777777" w:rsidR="00EB3BDF" w:rsidRPr="0004158A" w:rsidRDefault="00EB3BDF" w:rsidP="00EB3BDF">
      <w:pPr>
        <w:pStyle w:val="NormalBold"/>
      </w:pPr>
      <w:r w:rsidRPr="0004158A">
        <w:t>Article 7 – paragraphe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203BAD37" w14:textId="77777777" w:rsidTr="006A289D">
        <w:trPr>
          <w:trHeight w:val="240"/>
          <w:jc w:val="center"/>
        </w:trPr>
        <w:tc>
          <w:tcPr>
            <w:tcW w:w="9752" w:type="dxa"/>
            <w:gridSpan w:val="2"/>
            <w:tcBorders>
              <w:top w:val="nil"/>
              <w:left w:val="nil"/>
              <w:bottom w:val="nil"/>
              <w:right w:val="nil"/>
            </w:tcBorders>
          </w:tcPr>
          <w:p w14:paraId="41421C12" w14:textId="77777777" w:rsidR="00EB3BDF" w:rsidRPr="0004158A" w:rsidRDefault="00EB3BDF" w:rsidP="006A289D"/>
        </w:tc>
      </w:tr>
      <w:tr w:rsidR="00EB3BDF" w:rsidRPr="0004158A" w14:paraId="37EBEF49" w14:textId="77777777" w:rsidTr="006A289D">
        <w:trPr>
          <w:trHeight w:val="240"/>
          <w:jc w:val="center"/>
        </w:trPr>
        <w:tc>
          <w:tcPr>
            <w:tcW w:w="4876" w:type="dxa"/>
            <w:tcBorders>
              <w:top w:val="nil"/>
              <w:left w:val="nil"/>
              <w:bottom w:val="nil"/>
              <w:right w:val="nil"/>
            </w:tcBorders>
            <w:hideMark/>
          </w:tcPr>
          <w:p w14:paraId="2C70E62E"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023B4C54" w14:textId="77777777" w:rsidR="00EB3BDF" w:rsidRPr="0004158A" w:rsidRDefault="00EB3BDF" w:rsidP="006A289D">
            <w:pPr>
              <w:pStyle w:val="AmColumnHeading"/>
            </w:pPr>
            <w:r w:rsidRPr="0004158A">
              <w:t>Amendement</w:t>
            </w:r>
          </w:p>
        </w:tc>
      </w:tr>
      <w:tr w:rsidR="00EB3BDF" w:rsidRPr="0004158A" w14:paraId="4E3A7B00" w14:textId="77777777" w:rsidTr="006A289D">
        <w:trPr>
          <w:jc w:val="center"/>
        </w:trPr>
        <w:tc>
          <w:tcPr>
            <w:tcW w:w="4876" w:type="dxa"/>
            <w:tcBorders>
              <w:top w:val="nil"/>
              <w:left w:val="nil"/>
              <w:bottom w:val="nil"/>
              <w:right w:val="nil"/>
            </w:tcBorders>
            <w:hideMark/>
          </w:tcPr>
          <w:p w14:paraId="714782E9" w14:textId="77777777" w:rsidR="00EB3BDF" w:rsidRPr="0004158A" w:rsidRDefault="00EB3BDF" w:rsidP="006A289D">
            <w:pPr>
              <w:pStyle w:val="Normal6a"/>
            </w:pPr>
            <w:r w:rsidRPr="0004158A">
              <w:t>3.</w:t>
            </w:r>
            <w:r w:rsidRPr="0004158A">
              <w:tab/>
              <w:t xml:space="preserve">Dans la mesure du possible, l’enquête est conclue dans un délai de </w:t>
            </w:r>
            <w:r w:rsidRPr="0004158A">
              <w:rPr>
                <w:b/>
                <w:i/>
              </w:rPr>
              <w:t>six</w:t>
            </w:r>
            <w:r w:rsidRPr="0004158A">
              <w:t xml:space="preserve"> mois à compter de la date de publication de l’avis d’ouverture au Journal officiel de l’Union européenne. Ce délai peut être exceptionnellement prorogé de trois mois, par exemple lorsque le nombre de parties intéressées est plus élevé que d’ordinaire ou que la situation du marché est complexe. La Commission notifie à l’ensemble des parties intéressées toute prorogation de ce type et en explique les raisons. Lorsqu’une enquête porte sur des </w:t>
            </w:r>
            <w:r w:rsidRPr="0004158A">
              <w:lastRenderedPageBreak/>
              <w:t xml:space="preserve">produits sensibles, la Commission la conclut dès que possible, dans le but de prendre une décision finale dans un délai de </w:t>
            </w:r>
            <w:r w:rsidRPr="0004158A">
              <w:rPr>
                <w:b/>
                <w:i/>
              </w:rPr>
              <w:t>quatre</w:t>
            </w:r>
            <w:r w:rsidRPr="0004158A">
              <w:t xml:space="preserve"> mois à compter de la date de publication de l’avis d’ouverture au Journal officiel de l’Union européenne.</w:t>
            </w:r>
          </w:p>
        </w:tc>
        <w:tc>
          <w:tcPr>
            <w:tcW w:w="4876" w:type="dxa"/>
            <w:tcBorders>
              <w:top w:val="nil"/>
              <w:left w:val="nil"/>
              <w:bottom w:val="nil"/>
              <w:right w:val="nil"/>
            </w:tcBorders>
            <w:hideMark/>
          </w:tcPr>
          <w:p w14:paraId="5F7608BF" w14:textId="77777777" w:rsidR="00EB3BDF" w:rsidRPr="0004158A" w:rsidRDefault="00EB3BDF" w:rsidP="006A289D">
            <w:pPr>
              <w:pStyle w:val="Normal6a"/>
            </w:pPr>
            <w:r w:rsidRPr="0004158A">
              <w:lastRenderedPageBreak/>
              <w:t>3.</w:t>
            </w:r>
            <w:r w:rsidRPr="0004158A">
              <w:tab/>
              <w:t xml:space="preserve">Dans la mesure du possible, l’enquête est conclue dans un délai de </w:t>
            </w:r>
            <w:r w:rsidRPr="0004158A">
              <w:rPr>
                <w:b/>
                <w:i/>
              </w:rPr>
              <w:t>trois</w:t>
            </w:r>
            <w:r w:rsidRPr="0004158A">
              <w:t xml:space="preserve"> mois à compter de la date de publication de l’avis d’ouverture au Journal officiel de l’Union européenne. Ce délai peut être exceptionnellement prorogé de trois mois, par exemple lorsque le nombre de parties intéressées est plus élevé que d’ordinaire ou que la situation du marché est complexe. La Commission notifie à l’ensemble des parties intéressées toute prorogation de ce type et en explique les raisons. Lorsqu’une enquête porte sur des </w:t>
            </w:r>
            <w:r w:rsidRPr="0004158A">
              <w:lastRenderedPageBreak/>
              <w:t xml:space="preserve">produits sensibles, la Commission la conclut dès que possible, dans le but de prendre une décision finale dans un délai de </w:t>
            </w:r>
            <w:r w:rsidRPr="0004158A">
              <w:rPr>
                <w:b/>
                <w:i/>
              </w:rPr>
              <w:t>deux</w:t>
            </w:r>
            <w:r w:rsidRPr="0004158A">
              <w:t xml:space="preserve"> mois à compter de la date de publication de l’avis d’ouverture au Journal officiel de l’Union européenne.</w:t>
            </w:r>
          </w:p>
        </w:tc>
      </w:tr>
    </w:tbl>
    <w:p w14:paraId="348D9341" w14:textId="77777777" w:rsidR="00EB3BDF" w:rsidRPr="0004158A" w:rsidRDefault="00EB3BDF" w:rsidP="00EB3BDF">
      <w:pPr>
        <w:pStyle w:val="AmNumberTabs"/>
      </w:pPr>
      <w:r w:rsidRPr="0004158A">
        <w:lastRenderedPageBreak/>
        <w:t>Amendement</w:t>
      </w:r>
      <w:r w:rsidRPr="0004158A">
        <w:tab/>
      </w:r>
      <w:r w:rsidRPr="0004158A">
        <w:tab/>
        <w:t>12</w:t>
      </w:r>
    </w:p>
    <w:p w14:paraId="3656FFCD" w14:textId="77777777" w:rsidR="00EB3BDF" w:rsidRPr="0004158A" w:rsidRDefault="00EB3BDF" w:rsidP="00EB3BDF">
      <w:pPr>
        <w:pStyle w:val="NormalBold12b"/>
      </w:pPr>
      <w:r w:rsidRPr="0004158A">
        <w:t>Proposition de règlement</w:t>
      </w:r>
    </w:p>
    <w:p w14:paraId="42A0377C" w14:textId="77777777" w:rsidR="00EB3BDF" w:rsidRPr="0004158A" w:rsidRDefault="00EB3BDF" w:rsidP="00EB3BDF">
      <w:pPr>
        <w:pStyle w:val="NormalBold"/>
      </w:pPr>
      <w:r w:rsidRPr="0004158A">
        <w:t>Article 7 – paragraphe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41A47784" w14:textId="77777777" w:rsidTr="006D75C6">
        <w:trPr>
          <w:trHeight w:val="240"/>
          <w:jc w:val="center"/>
        </w:trPr>
        <w:tc>
          <w:tcPr>
            <w:tcW w:w="9750" w:type="dxa"/>
            <w:gridSpan w:val="2"/>
            <w:tcBorders>
              <w:top w:val="nil"/>
              <w:left w:val="nil"/>
              <w:bottom w:val="nil"/>
              <w:right w:val="nil"/>
            </w:tcBorders>
          </w:tcPr>
          <w:p w14:paraId="177D6BFD" w14:textId="77777777" w:rsidR="00EB3BDF" w:rsidRPr="0004158A" w:rsidRDefault="00EB3BDF" w:rsidP="006A289D"/>
        </w:tc>
      </w:tr>
      <w:tr w:rsidR="00EB3BDF" w:rsidRPr="0004158A" w14:paraId="72C9A45A" w14:textId="77777777" w:rsidTr="006D75C6">
        <w:trPr>
          <w:trHeight w:val="240"/>
          <w:jc w:val="center"/>
        </w:trPr>
        <w:tc>
          <w:tcPr>
            <w:tcW w:w="4875" w:type="dxa"/>
            <w:tcBorders>
              <w:top w:val="nil"/>
              <w:left w:val="nil"/>
              <w:bottom w:val="nil"/>
              <w:right w:val="nil"/>
            </w:tcBorders>
            <w:hideMark/>
          </w:tcPr>
          <w:p w14:paraId="5D89DC0B" w14:textId="77777777" w:rsidR="00EB3BDF" w:rsidRPr="0004158A" w:rsidRDefault="00EB3BDF" w:rsidP="006A289D">
            <w:pPr>
              <w:pStyle w:val="AmColumnHeading"/>
            </w:pPr>
            <w:r w:rsidRPr="0004158A">
              <w:t>Texte proposé par la Commission</w:t>
            </w:r>
          </w:p>
        </w:tc>
        <w:tc>
          <w:tcPr>
            <w:tcW w:w="4875" w:type="dxa"/>
            <w:tcBorders>
              <w:top w:val="nil"/>
              <w:left w:val="nil"/>
              <w:bottom w:val="nil"/>
              <w:right w:val="nil"/>
            </w:tcBorders>
            <w:hideMark/>
          </w:tcPr>
          <w:p w14:paraId="0CCB6AB7" w14:textId="77777777" w:rsidR="00EB3BDF" w:rsidRPr="0004158A" w:rsidRDefault="00EB3BDF" w:rsidP="006A289D">
            <w:pPr>
              <w:pStyle w:val="AmColumnHeading"/>
            </w:pPr>
            <w:r w:rsidRPr="0004158A">
              <w:t>Amendement</w:t>
            </w:r>
          </w:p>
        </w:tc>
      </w:tr>
      <w:tr w:rsidR="00EB3BDF" w:rsidRPr="0004158A" w14:paraId="7D23939D" w14:textId="77777777" w:rsidTr="006D75C6">
        <w:trPr>
          <w:jc w:val="center"/>
        </w:trPr>
        <w:tc>
          <w:tcPr>
            <w:tcW w:w="4875" w:type="dxa"/>
            <w:tcBorders>
              <w:top w:val="nil"/>
              <w:left w:val="nil"/>
              <w:bottom w:val="nil"/>
              <w:right w:val="nil"/>
            </w:tcBorders>
            <w:hideMark/>
          </w:tcPr>
          <w:p w14:paraId="3CB3018A" w14:textId="77777777" w:rsidR="00EB3BDF" w:rsidRPr="0004158A" w:rsidRDefault="00EB3BDF" w:rsidP="006A289D">
            <w:pPr>
              <w:pStyle w:val="Normal6a"/>
            </w:pPr>
            <w:r w:rsidRPr="0004158A">
              <w:t>5.</w:t>
            </w:r>
            <w:r w:rsidRPr="0004158A">
              <w:tab/>
              <w:t xml:space="preserve">La Commission évalue tous les facteurs pertinents de nature objective et quantifiable qui affectent la situation de l’industrie de l’Union, notamment le taux et le volume de la hausse des importations du produit concerné, en termes absolus et relatifs, la part du marché intérieur absorbée par cette hausse, et les variations, en ce qui concerne l’industrie de l’Union, du niveau des ventes, de la production, de la productivité, de l’utilisation des capacités, des profits et pertes ainsi que de l’emploi. Cette liste n’est pas exhaustive, et la Commission peut prendre en considération d’autres facteurs utiles pour déterminer l’existence d’un préjudice grave ou d’une menace de préjudice grave, tels que les stocks, </w:t>
            </w:r>
            <w:r w:rsidRPr="0004158A">
              <w:rPr>
                <w:b/>
                <w:i/>
              </w:rPr>
              <w:t>les prix,</w:t>
            </w:r>
            <w:r w:rsidRPr="0004158A">
              <w:t xml:space="preserve"> le rendement des capitaux investis, le flux de liquidités, le niveau des parts de marché, et d’autres facteurs qui causent, ont pu causer ou menacent de causer un préjudice grave à l’industrie de l’Union.</w:t>
            </w:r>
          </w:p>
        </w:tc>
        <w:tc>
          <w:tcPr>
            <w:tcW w:w="4875" w:type="dxa"/>
            <w:tcBorders>
              <w:top w:val="nil"/>
              <w:left w:val="nil"/>
              <w:bottom w:val="nil"/>
              <w:right w:val="nil"/>
            </w:tcBorders>
            <w:hideMark/>
          </w:tcPr>
          <w:p w14:paraId="3A4ED3E4" w14:textId="77777777" w:rsidR="00EB3BDF" w:rsidRPr="0004158A" w:rsidRDefault="00EB3BDF" w:rsidP="006A289D">
            <w:pPr>
              <w:pStyle w:val="Normal6a"/>
            </w:pPr>
            <w:r w:rsidRPr="0004158A">
              <w:t>5.</w:t>
            </w:r>
            <w:r w:rsidRPr="0004158A">
              <w:tab/>
              <w:t xml:space="preserve">La Commission évalue </w:t>
            </w:r>
            <w:r w:rsidRPr="0004158A">
              <w:rPr>
                <w:b/>
                <w:i/>
              </w:rPr>
              <w:t>tous les indicateurs économiques et</w:t>
            </w:r>
            <w:r w:rsidRPr="0004158A">
              <w:t xml:space="preserve"> tous les facteurs pertinents de nature objective et quantifiable qui affectent la situation de l’industrie de l’Union, notamment le taux et le volume de la hausse des importations du produit concerné, en termes absolus et relatifs, la part du marché intérieur absorbée par cette hausse, et les variations, en ce qui concerne l’industrie de l’Union, du niveau des ventes, </w:t>
            </w:r>
            <w:r w:rsidRPr="0004158A">
              <w:rPr>
                <w:b/>
                <w:i/>
              </w:rPr>
              <w:t>y compris des prix,</w:t>
            </w:r>
            <w:r w:rsidRPr="0004158A">
              <w:t xml:space="preserve"> de la production, de la productivité, de l’utilisation des capacités, des profits et pertes ainsi que de l’emploi. Cette liste n’est pas exhaustive, et la Commission peut prendre en considération d’autres facteurs utiles pour déterminer l’existence d’un préjudice grave ou d’une menace de préjudice grave, tels que les stocks, le rendement des capitaux investis, le flux de liquidités, le niveau des parts de marché, et d’autres facteurs qui causent, ont pu causer ou menacent de causer un préjudice grave à l’industrie de l’Union.</w:t>
            </w:r>
          </w:p>
        </w:tc>
      </w:tr>
    </w:tbl>
    <w:p w14:paraId="35C2ECCE" w14:textId="12A04F8C" w:rsidR="006D75C6" w:rsidRPr="00E633F3" w:rsidRDefault="006D75C6" w:rsidP="006D75C6">
      <w:pPr>
        <w:pStyle w:val="AmNumberTabs"/>
      </w:pPr>
      <w:r>
        <w:t>Amendements</w:t>
      </w:r>
      <w:r>
        <w:tab/>
      </w:r>
      <w:r>
        <w:tab/>
        <w:t>34 et 86</w:t>
      </w:r>
    </w:p>
    <w:p w14:paraId="1203702F" w14:textId="77777777" w:rsidR="006D75C6" w:rsidRPr="00E633F3" w:rsidRDefault="006D75C6" w:rsidP="006D75C6">
      <w:pPr>
        <w:pStyle w:val="NormalBold12b"/>
      </w:pPr>
      <w:r>
        <w:t>Proposition de règlement</w:t>
      </w:r>
    </w:p>
    <w:p w14:paraId="28F36A48" w14:textId="77777777" w:rsidR="006D75C6" w:rsidRPr="00E633F3" w:rsidRDefault="006D75C6" w:rsidP="006D75C6">
      <w:pPr>
        <w:pStyle w:val="NormalBold"/>
      </w:pPr>
      <w:r>
        <w:t>Article 9 – paragraphe 1 – point b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75C6" w14:paraId="6419DED0" w14:textId="77777777" w:rsidTr="00FA78CC">
        <w:trPr>
          <w:trHeight w:hRule="exact" w:val="240"/>
          <w:jc w:val="center"/>
        </w:trPr>
        <w:tc>
          <w:tcPr>
            <w:tcW w:w="9752" w:type="dxa"/>
            <w:gridSpan w:val="2"/>
            <w:tcBorders>
              <w:top w:val="nil"/>
              <w:left w:val="nil"/>
              <w:bottom w:val="nil"/>
              <w:right w:val="nil"/>
            </w:tcBorders>
          </w:tcPr>
          <w:p w14:paraId="1D411045" w14:textId="77777777" w:rsidR="006D75C6" w:rsidRPr="00E633F3" w:rsidRDefault="006D75C6" w:rsidP="00FA78CC"/>
        </w:tc>
      </w:tr>
      <w:tr w:rsidR="006D75C6" w14:paraId="5DF9F3DF" w14:textId="77777777" w:rsidTr="00FA78CC">
        <w:trPr>
          <w:trHeight w:val="240"/>
          <w:jc w:val="center"/>
        </w:trPr>
        <w:tc>
          <w:tcPr>
            <w:tcW w:w="4876" w:type="dxa"/>
            <w:tcBorders>
              <w:top w:val="nil"/>
              <w:left w:val="nil"/>
              <w:bottom w:val="nil"/>
              <w:right w:val="nil"/>
            </w:tcBorders>
          </w:tcPr>
          <w:p w14:paraId="4F85B0CC" w14:textId="77777777" w:rsidR="006D75C6" w:rsidRPr="00E633F3" w:rsidRDefault="006D75C6" w:rsidP="00FA78CC">
            <w:pPr>
              <w:pStyle w:val="AmColumnHeading"/>
            </w:pPr>
            <w:r>
              <w:t>Texte proposé par la Commission</w:t>
            </w:r>
          </w:p>
        </w:tc>
        <w:tc>
          <w:tcPr>
            <w:tcW w:w="4876" w:type="dxa"/>
            <w:tcBorders>
              <w:top w:val="nil"/>
              <w:left w:val="nil"/>
              <w:bottom w:val="nil"/>
              <w:right w:val="nil"/>
            </w:tcBorders>
          </w:tcPr>
          <w:p w14:paraId="56DC56C7" w14:textId="77777777" w:rsidR="006D75C6" w:rsidRPr="00E633F3" w:rsidRDefault="006D75C6" w:rsidP="00FA78CC">
            <w:pPr>
              <w:pStyle w:val="AmColumnHeading"/>
            </w:pPr>
            <w:r>
              <w:t>Amendement</w:t>
            </w:r>
          </w:p>
        </w:tc>
      </w:tr>
      <w:tr w:rsidR="006D75C6" w14:paraId="29C018A0" w14:textId="77777777" w:rsidTr="00FA78CC">
        <w:trPr>
          <w:jc w:val="center"/>
        </w:trPr>
        <w:tc>
          <w:tcPr>
            <w:tcW w:w="4876" w:type="dxa"/>
            <w:tcBorders>
              <w:top w:val="nil"/>
              <w:left w:val="nil"/>
              <w:bottom w:val="nil"/>
              <w:right w:val="nil"/>
            </w:tcBorders>
          </w:tcPr>
          <w:p w14:paraId="590D9B36" w14:textId="77777777" w:rsidR="006D75C6" w:rsidRPr="00E633F3" w:rsidRDefault="006D75C6" w:rsidP="00FA78CC">
            <w:pPr>
              <w:pStyle w:val="Normal6a"/>
            </w:pPr>
          </w:p>
        </w:tc>
        <w:tc>
          <w:tcPr>
            <w:tcW w:w="4876" w:type="dxa"/>
            <w:tcBorders>
              <w:top w:val="nil"/>
              <w:left w:val="nil"/>
              <w:bottom w:val="nil"/>
              <w:right w:val="nil"/>
            </w:tcBorders>
          </w:tcPr>
          <w:p w14:paraId="7A08415A" w14:textId="77777777" w:rsidR="006D75C6" w:rsidRPr="00E633F3" w:rsidRDefault="006D75C6" w:rsidP="00FA78CC">
            <w:pPr>
              <w:pStyle w:val="Normal6a"/>
            </w:pPr>
            <w:r>
              <w:rPr>
                <w:b/>
                <w:i/>
              </w:rPr>
              <w:t>(b bis)</w:t>
            </w:r>
            <w:r>
              <w:tab/>
            </w:r>
            <w:r>
              <w:rPr>
                <w:b/>
                <w:i/>
              </w:rPr>
              <w:t xml:space="preserve">des indications claires d’une détérioration de la situation économique de l’industrie, dans l’ensemble de l’Union ou au niveau des États membres, y </w:t>
            </w:r>
            <w:r>
              <w:rPr>
                <w:b/>
                <w:i/>
              </w:rPr>
              <w:lastRenderedPageBreak/>
              <w:t>compris une augmentation du volume des importations à des conditions préférentielles d’un produit donné, lorsqu’elle est supérieure à 5 % en glissement annuel par rapport à la moyenne sur trois ans, ou des baisses soutenues des prix intérieurs, peuvent suffire à démontrer l’existence d’un préjudice grave pour le secteur et justifier une mesure de sauvegarde.</w:t>
            </w:r>
          </w:p>
        </w:tc>
      </w:tr>
    </w:tbl>
    <w:p w14:paraId="6C9851FB" w14:textId="56B16A69" w:rsidR="006D75C6" w:rsidRDefault="006D75C6" w:rsidP="006D75C6"/>
    <w:p w14:paraId="58E2DA4E" w14:textId="32804A6D" w:rsidR="00EB3BDF" w:rsidRPr="0004158A" w:rsidRDefault="00EB3BDF" w:rsidP="00EB3BDF">
      <w:pPr>
        <w:pStyle w:val="AmNumberTabs"/>
      </w:pPr>
      <w:r w:rsidRPr="0004158A">
        <w:t>Amendement</w:t>
      </w:r>
      <w:r w:rsidRPr="0004158A">
        <w:tab/>
      </w:r>
      <w:r w:rsidRPr="0004158A">
        <w:tab/>
        <w:t>13</w:t>
      </w:r>
    </w:p>
    <w:p w14:paraId="11DDCE50" w14:textId="77777777" w:rsidR="00EB3BDF" w:rsidRPr="0004158A" w:rsidRDefault="00EB3BDF" w:rsidP="00EB3BDF">
      <w:pPr>
        <w:pStyle w:val="NormalBold12b"/>
      </w:pPr>
      <w:r w:rsidRPr="0004158A">
        <w:t>Proposition de règlement</w:t>
      </w:r>
    </w:p>
    <w:p w14:paraId="05407CBA" w14:textId="77777777" w:rsidR="00EB3BDF" w:rsidRPr="0004158A" w:rsidRDefault="00EB3BDF" w:rsidP="00EB3BDF">
      <w:pPr>
        <w:pStyle w:val="NormalBold"/>
      </w:pPr>
      <w:r w:rsidRPr="0004158A">
        <w:t>Article 9 – paragraphe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B3BDF" w:rsidRPr="0004158A" w14:paraId="3DBFE18D" w14:textId="77777777" w:rsidTr="006A289D">
        <w:trPr>
          <w:trHeight w:val="240"/>
          <w:jc w:val="center"/>
        </w:trPr>
        <w:tc>
          <w:tcPr>
            <w:tcW w:w="9752" w:type="dxa"/>
            <w:gridSpan w:val="2"/>
            <w:tcBorders>
              <w:top w:val="nil"/>
              <w:left w:val="nil"/>
              <w:bottom w:val="nil"/>
              <w:right w:val="nil"/>
            </w:tcBorders>
          </w:tcPr>
          <w:p w14:paraId="15FD9EC0" w14:textId="77777777" w:rsidR="00EB3BDF" w:rsidRPr="0004158A" w:rsidRDefault="00EB3BDF" w:rsidP="006A289D"/>
        </w:tc>
      </w:tr>
      <w:tr w:rsidR="00EB3BDF" w:rsidRPr="0004158A" w14:paraId="0C5D9E06" w14:textId="77777777" w:rsidTr="006A289D">
        <w:trPr>
          <w:trHeight w:val="240"/>
          <w:jc w:val="center"/>
        </w:trPr>
        <w:tc>
          <w:tcPr>
            <w:tcW w:w="4876" w:type="dxa"/>
            <w:tcBorders>
              <w:top w:val="nil"/>
              <w:left w:val="nil"/>
              <w:bottom w:val="nil"/>
              <w:right w:val="nil"/>
            </w:tcBorders>
            <w:hideMark/>
          </w:tcPr>
          <w:p w14:paraId="053CA1BD"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02157607" w14:textId="77777777" w:rsidR="00EB3BDF" w:rsidRPr="0004158A" w:rsidRDefault="00EB3BDF" w:rsidP="006A289D">
            <w:pPr>
              <w:pStyle w:val="AmColumnHeading"/>
            </w:pPr>
            <w:r w:rsidRPr="0004158A">
              <w:t>Amendement</w:t>
            </w:r>
          </w:p>
        </w:tc>
      </w:tr>
      <w:tr w:rsidR="00EB3BDF" w:rsidRPr="0004158A" w14:paraId="35065622" w14:textId="77777777" w:rsidTr="006A289D">
        <w:trPr>
          <w:jc w:val="center"/>
        </w:trPr>
        <w:tc>
          <w:tcPr>
            <w:tcW w:w="4876" w:type="dxa"/>
            <w:tcBorders>
              <w:top w:val="nil"/>
              <w:left w:val="nil"/>
              <w:bottom w:val="nil"/>
              <w:right w:val="nil"/>
            </w:tcBorders>
            <w:hideMark/>
          </w:tcPr>
          <w:p w14:paraId="7E83F77D" w14:textId="77777777" w:rsidR="00EB3BDF" w:rsidRPr="0004158A" w:rsidRDefault="00EB3BDF" w:rsidP="006A289D">
            <w:pPr>
              <w:pStyle w:val="Normal6a"/>
            </w:pPr>
            <w:r w:rsidRPr="0004158A">
              <w:t>3.</w:t>
            </w:r>
            <w:r w:rsidRPr="0004158A">
              <w:tab/>
              <w:t xml:space="preserve">Dans le cas de produits sensibles, des mesures de sauvegarde provisoires sont adoptées conformément à la procédure visée à l’article 18, paragraphe 4, dans les plus brefs délais et, en tout état de cause, dans un délai maximal de </w:t>
            </w:r>
            <w:r w:rsidRPr="0004158A">
              <w:rPr>
                <w:b/>
                <w:i/>
              </w:rPr>
              <w:t>21 jours</w:t>
            </w:r>
            <w:r w:rsidRPr="0004158A">
              <w:t xml:space="preserve"> à compter de l’ouverture de l’enquête, afin d’éviter un préjudice difficilement réparable pour l’industrie de l’Union, y compris lorsque ce préjudice est susceptible d’être géographiquement concentré dans un ou plusieurs États membres.</w:t>
            </w:r>
          </w:p>
        </w:tc>
        <w:tc>
          <w:tcPr>
            <w:tcW w:w="4876" w:type="dxa"/>
            <w:tcBorders>
              <w:top w:val="nil"/>
              <w:left w:val="nil"/>
              <w:bottom w:val="nil"/>
              <w:right w:val="nil"/>
            </w:tcBorders>
            <w:hideMark/>
          </w:tcPr>
          <w:p w14:paraId="27BA66CC" w14:textId="77777777" w:rsidR="00EB3BDF" w:rsidRPr="0004158A" w:rsidRDefault="00EB3BDF" w:rsidP="006A289D">
            <w:pPr>
              <w:pStyle w:val="Normal6a"/>
            </w:pPr>
            <w:r w:rsidRPr="0004158A">
              <w:t>3.</w:t>
            </w:r>
            <w:r w:rsidRPr="0004158A">
              <w:tab/>
              <w:t xml:space="preserve">Dans le cas de produits sensibles, des mesures de sauvegarde provisoires sont adoptées conformément à la procédure visée à l’article 18, paragraphe 4, dans les plus brefs délais et, en tout état de cause, dans un délai maximal de </w:t>
            </w:r>
            <w:r w:rsidRPr="0004158A">
              <w:rPr>
                <w:b/>
                <w:i/>
              </w:rPr>
              <w:t>14 jours</w:t>
            </w:r>
            <w:r w:rsidRPr="0004158A">
              <w:t xml:space="preserve"> à compter de l’ouverture de l’enquête, afin d’éviter un préjudice difficilement réparable pour l’industrie de l’Union, y compris lorsque ce préjudice est susceptible d’être géographiquement concentré dans un ou plusieurs États membres.</w:t>
            </w:r>
          </w:p>
        </w:tc>
      </w:tr>
    </w:tbl>
    <w:p w14:paraId="4CF1BC50" w14:textId="77777777" w:rsidR="006D75C6" w:rsidRDefault="006D75C6" w:rsidP="00EB3BDF">
      <w:pPr>
        <w:pStyle w:val="AmNumberTabs"/>
      </w:pPr>
    </w:p>
    <w:p w14:paraId="70C0B229" w14:textId="4EF6CA48" w:rsidR="006D75C6" w:rsidRPr="00E633F3" w:rsidRDefault="006D75C6" w:rsidP="006D75C6">
      <w:pPr>
        <w:pStyle w:val="AmNumberTabs"/>
      </w:pPr>
      <w:r>
        <w:t>Amendements</w:t>
      </w:r>
      <w:r>
        <w:tab/>
      </w:r>
      <w:r>
        <w:tab/>
        <w:t>36 et 87</w:t>
      </w:r>
    </w:p>
    <w:p w14:paraId="2B7FB626" w14:textId="77777777" w:rsidR="006D75C6" w:rsidRPr="00E633F3" w:rsidRDefault="006D75C6" w:rsidP="006D75C6">
      <w:pPr>
        <w:pStyle w:val="NormalBold12b"/>
      </w:pPr>
      <w:r>
        <w:t>Proposition de règlement</w:t>
      </w:r>
    </w:p>
    <w:p w14:paraId="5D7B8EF8" w14:textId="77777777" w:rsidR="006D75C6" w:rsidRPr="00E633F3" w:rsidRDefault="006D75C6" w:rsidP="006D75C6">
      <w:pPr>
        <w:pStyle w:val="NormalBold"/>
      </w:pPr>
      <w:r>
        <w:t>Article 11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75C6" w14:paraId="795B4F58" w14:textId="77777777" w:rsidTr="00FA78CC">
        <w:trPr>
          <w:trHeight w:hRule="exact" w:val="240"/>
          <w:jc w:val="center"/>
        </w:trPr>
        <w:tc>
          <w:tcPr>
            <w:tcW w:w="9752" w:type="dxa"/>
            <w:gridSpan w:val="2"/>
            <w:tcBorders>
              <w:top w:val="nil"/>
              <w:left w:val="nil"/>
              <w:bottom w:val="nil"/>
              <w:right w:val="nil"/>
            </w:tcBorders>
          </w:tcPr>
          <w:p w14:paraId="68289EA7" w14:textId="77777777" w:rsidR="006D75C6" w:rsidRPr="00E633F3" w:rsidRDefault="006D75C6" w:rsidP="00FA78CC"/>
        </w:tc>
      </w:tr>
      <w:tr w:rsidR="006D75C6" w14:paraId="3E5E2411" w14:textId="77777777" w:rsidTr="00FA78CC">
        <w:trPr>
          <w:trHeight w:val="240"/>
          <w:jc w:val="center"/>
        </w:trPr>
        <w:tc>
          <w:tcPr>
            <w:tcW w:w="4876" w:type="dxa"/>
            <w:tcBorders>
              <w:top w:val="nil"/>
              <w:left w:val="nil"/>
              <w:bottom w:val="nil"/>
              <w:right w:val="nil"/>
            </w:tcBorders>
          </w:tcPr>
          <w:p w14:paraId="3EFFEBA3" w14:textId="77777777" w:rsidR="006D75C6" w:rsidRPr="00E633F3" w:rsidRDefault="006D75C6" w:rsidP="00FA78CC">
            <w:pPr>
              <w:pStyle w:val="AmColumnHeading"/>
            </w:pPr>
            <w:r>
              <w:t>Texte proposé par la Commission</w:t>
            </w:r>
          </w:p>
        </w:tc>
        <w:tc>
          <w:tcPr>
            <w:tcW w:w="4876" w:type="dxa"/>
            <w:tcBorders>
              <w:top w:val="nil"/>
              <w:left w:val="nil"/>
              <w:bottom w:val="nil"/>
              <w:right w:val="nil"/>
            </w:tcBorders>
          </w:tcPr>
          <w:p w14:paraId="7AFFB20A" w14:textId="77777777" w:rsidR="006D75C6" w:rsidRPr="00E633F3" w:rsidRDefault="006D75C6" w:rsidP="00FA78CC">
            <w:pPr>
              <w:pStyle w:val="AmColumnHeading"/>
            </w:pPr>
            <w:r>
              <w:t>Amendement</w:t>
            </w:r>
          </w:p>
        </w:tc>
      </w:tr>
      <w:tr w:rsidR="006D75C6" w14:paraId="00ADF0F4" w14:textId="77777777" w:rsidTr="00FA78CC">
        <w:trPr>
          <w:jc w:val="center"/>
        </w:trPr>
        <w:tc>
          <w:tcPr>
            <w:tcW w:w="4876" w:type="dxa"/>
            <w:tcBorders>
              <w:top w:val="nil"/>
              <w:left w:val="nil"/>
              <w:bottom w:val="nil"/>
              <w:right w:val="nil"/>
            </w:tcBorders>
          </w:tcPr>
          <w:p w14:paraId="3C9A7286" w14:textId="77777777" w:rsidR="006D75C6" w:rsidRPr="00E633F3" w:rsidRDefault="006D75C6" w:rsidP="00FA78CC">
            <w:pPr>
              <w:pStyle w:val="Normal6a"/>
            </w:pPr>
            <w:r>
              <w:t>1.</w:t>
            </w:r>
            <w:r>
              <w:tab/>
              <w:t xml:space="preserve">Lorsqu’une enquête mène à la conclusion que les conditions prévues à l’article 3, paragraphe 1, sont réunies, la Commission </w:t>
            </w:r>
            <w:r>
              <w:rPr>
                <w:b/>
                <w:i/>
              </w:rPr>
              <w:t>peut adopter</w:t>
            </w:r>
            <w:r>
              <w:t xml:space="preserve"> des mesures de sauvegarde définitives, en conformité avec la procédure d’examen visée à l’article 18, paragraphe 3.</w:t>
            </w:r>
          </w:p>
        </w:tc>
        <w:tc>
          <w:tcPr>
            <w:tcW w:w="4876" w:type="dxa"/>
            <w:tcBorders>
              <w:top w:val="nil"/>
              <w:left w:val="nil"/>
              <w:bottom w:val="nil"/>
              <w:right w:val="nil"/>
            </w:tcBorders>
          </w:tcPr>
          <w:p w14:paraId="0C284A10" w14:textId="77777777" w:rsidR="006D75C6" w:rsidRPr="00E633F3" w:rsidRDefault="006D75C6" w:rsidP="00FA78CC">
            <w:pPr>
              <w:pStyle w:val="Normal6a"/>
            </w:pPr>
            <w:r>
              <w:t>1.</w:t>
            </w:r>
            <w:r>
              <w:tab/>
              <w:t xml:space="preserve">Lorsqu’une enquête mène à la conclusion que les conditions prévues à l’article 3, paragraphe 1, sont réunies, la Commission </w:t>
            </w:r>
            <w:r>
              <w:rPr>
                <w:b/>
                <w:i/>
              </w:rPr>
              <w:t>adopte</w:t>
            </w:r>
            <w:r>
              <w:t xml:space="preserve"> des mesures de sauvegarde définitives, en conformité avec la procédure d’examen visée à l’article 18, paragraphe 3.</w:t>
            </w:r>
          </w:p>
        </w:tc>
      </w:tr>
    </w:tbl>
    <w:p w14:paraId="7246842D" w14:textId="6088FC68" w:rsidR="006D75C6" w:rsidRDefault="006D75C6" w:rsidP="006D75C6"/>
    <w:p w14:paraId="11CB8BAC" w14:textId="6CA38A8E" w:rsidR="006D75C6" w:rsidRPr="00467CE2" w:rsidRDefault="006D75C6" w:rsidP="006D75C6">
      <w:pPr>
        <w:pStyle w:val="AmNumberTabs"/>
      </w:pPr>
      <w:r>
        <w:lastRenderedPageBreak/>
        <w:t>Amendements</w:t>
      </w:r>
      <w:r>
        <w:tab/>
      </w:r>
      <w:r>
        <w:tab/>
        <w:t>64 et 88</w:t>
      </w:r>
    </w:p>
    <w:p w14:paraId="48BA113D" w14:textId="77777777" w:rsidR="006D75C6" w:rsidRPr="00467CE2" w:rsidRDefault="006D75C6" w:rsidP="006D75C6">
      <w:pPr>
        <w:pStyle w:val="NormalBold12b"/>
      </w:pPr>
      <w:r>
        <w:t>Proposition de règlement</w:t>
      </w:r>
    </w:p>
    <w:p w14:paraId="25341D24" w14:textId="77777777" w:rsidR="006D75C6" w:rsidRPr="00467CE2" w:rsidRDefault="006D75C6" w:rsidP="006D75C6">
      <w:pPr>
        <w:pStyle w:val="NormalBold"/>
      </w:pPr>
      <w:r>
        <w:t>Article 12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75C6" w14:paraId="73A6CA19" w14:textId="77777777" w:rsidTr="00FA78CC">
        <w:trPr>
          <w:trHeight w:hRule="exact" w:val="240"/>
          <w:jc w:val="center"/>
        </w:trPr>
        <w:tc>
          <w:tcPr>
            <w:tcW w:w="9752" w:type="dxa"/>
            <w:gridSpan w:val="2"/>
            <w:tcBorders>
              <w:top w:val="nil"/>
              <w:left w:val="nil"/>
              <w:bottom w:val="nil"/>
              <w:right w:val="nil"/>
            </w:tcBorders>
          </w:tcPr>
          <w:p w14:paraId="5B4EA899" w14:textId="77777777" w:rsidR="006D75C6" w:rsidRPr="00467CE2" w:rsidRDefault="006D75C6" w:rsidP="00FA78CC"/>
        </w:tc>
      </w:tr>
      <w:tr w:rsidR="006D75C6" w14:paraId="06584A30" w14:textId="77777777" w:rsidTr="00FA78CC">
        <w:trPr>
          <w:trHeight w:val="240"/>
          <w:jc w:val="center"/>
        </w:trPr>
        <w:tc>
          <w:tcPr>
            <w:tcW w:w="4876" w:type="dxa"/>
            <w:tcBorders>
              <w:top w:val="nil"/>
              <w:left w:val="nil"/>
              <w:bottom w:val="nil"/>
              <w:right w:val="nil"/>
            </w:tcBorders>
          </w:tcPr>
          <w:p w14:paraId="60A41D16" w14:textId="77777777" w:rsidR="006D75C6" w:rsidRPr="00467CE2" w:rsidRDefault="006D75C6" w:rsidP="00FA78CC">
            <w:pPr>
              <w:pStyle w:val="AmColumnHeading"/>
            </w:pPr>
            <w:r>
              <w:t>Texte proposé par la Commission</w:t>
            </w:r>
          </w:p>
        </w:tc>
        <w:tc>
          <w:tcPr>
            <w:tcW w:w="4876" w:type="dxa"/>
            <w:tcBorders>
              <w:top w:val="nil"/>
              <w:left w:val="nil"/>
              <w:bottom w:val="nil"/>
              <w:right w:val="nil"/>
            </w:tcBorders>
          </w:tcPr>
          <w:p w14:paraId="12FCC683" w14:textId="77777777" w:rsidR="006D75C6" w:rsidRPr="00467CE2" w:rsidRDefault="006D75C6" w:rsidP="00FA78CC">
            <w:pPr>
              <w:pStyle w:val="AmColumnHeading"/>
            </w:pPr>
            <w:r>
              <w:t>Amendement</w:t>
            </w:r>
          </w:p>
        </w:tc>
      </w:tr>
      <w:tr w:rsidR="006D75C6" w14:paraId="36A09632" w14:textId="77777777" w:rsidTr="00FA78CC">
        <w:trPr>
          <w:jc w:val="center"/>
        </w:trPr>
        <w:tc>
          <w:tcPr>
            <w:tcW w:w="4876" w:type="dxa"/>
            <w:tcBorders>
              <w:top w:val="nil"/>
              <w:left w:val="nil"/>
              <w:bottom w:val="nil"/>
              <w:right w:val="nil"/>
            </w:tcBorders>
          </w:tcPr>
          <w:p w14:paraId="0422C891" w14:textId="77777777" w:rsidR="006D75C6" w:rsidRPr="00467CE2" w:rsidRDefault="006D75C6" w:rsidP="00FA78CC">
            <w:pPr>
              <w:pStyle w:val="Normal6a"/>
            </w:pPr>
          </w:p>
        </w:tc>
        <w:tc>
          <w:tcPr>
            <w:tcW w:w="4876" w:type="dxa"/>
            <w:tcBorders>
              <w:top w:val="nil"/>
              <w:left w:val="nil"/>
              <w:bottom w:val="nil"/>
              <w:right w:val="nil"/>
            </w:tcBorders>
          </w:tcPr>
          <w:p w14:paraId="45750DD6" w14:textId="77777777" w:rsidR="006D75C6" w:rsidRPr="00467CE2" w:rsidRDefault="006D75C6" w:rsidP="00FA78CC">
            <w:pPr>
              <w:pStyle w:val="Normal6a"/>
              <w:jc w:val="center"/>
            </w:pPr>
            <w:r>
              <w:rPr>
                <w:b/>
                <w:i/>
              </w:rPr>
              <w:t>Article 12 bis</w:t>
            </w:r>
            <w:r>
              <w:tab/>
            </w:r>
          </w:p>
        </w:tc>
      </w:tr>
      <w:tr w:rsidR="006D75C6" w14:paraId="1177B395" w14:textId="77777777" w:rsidTr="00FA78CC">
        <w:trPr>
          <w:jc w:val="center"/>
        </w:trPr>
        <w:tc>
          <w:tcPr>
            <w:tcW w:w="4876" w:type="dxa"/>
            <w:tcBorders>
              <w:top w:val="nil"/>
              <w:left w:val="nil"/>
              <w:bottom w:val="nil"/>
              <w:right w:val="nil"/>
            </w:tcBorders>
          </w:tcPr>
          <w:p w14:paraId="49AED2A2" w14:textId="77777777" w:rsidR="006D75C6" w:rsidRPr="00467CE2" w:rsidRDefault="006D75C6" w:rsidP="00FA78CC">
            <w:pPr>
              <w:pStyle w:val="Normal6a"/>
            </w:pPr>
          </w:p>
        </w:tc>
        <w:tc>
          <w:tcPr>
            <w:tcW w:w="4876" w:type="dxa"/>
            <w:tcBorders>
              <w:top w:val="nil"/>
              <w:left w:val="nil"/>
              <w:bottom w:val="nil"/>
              <w:right w:val="nil"/>
            </w:tcBorders>
          </w:tcPr>
          <w:p w14:paraId="52D35BDB" w14:textId="77777777" w:rsidR="006D75C6" w:rsidRPr="00467CE2" w:rsidRDefault="006D75C6" w:rsidP="00FA78CC">
            <w:pPr>
              <w:pStyle w:val="Normal6a"/>
              <w:jc w:val="center"/>
            </w:pPr>
            <w:r>
              <w:rPr>
                <w:b/>
                <w:i/>
              </w:rPr>
              <w:t>Clause environnementale, sanitaire et phytosanitaire</w:t>
            </w:r>
          </w:p>
        </w:tc>
      </w:tr>
      <w:tr w:rsidR="006D75C6" w14:paraId="75150D23" w14:textId="77777777" w:rsidTr="00FA78CC">
        <w:trPr>
          <w:jc w:val="center"/>
        </w:trPr>
        <w:tc>
          <w:tcPr>
            <w:tcW w:w="4876" w:type="dxa"/>
            <w:tcBorders>
              <w:top w:val="nil"/>
              <w:left w:val="nil"/>
              <w:bottom w:val="nil"/>
              <w:right w:val="nil"/>
            </w:tcBorders>
          </w:tcPr>
          <w:p w14:paraId="3831187F" w14:textId="77777777" w:rsidR="006D75C6" w:rsidRPr="00467CE2" w:rsidRDefault="006D75C6" w:rsidP="00FA78CC">
            <w:pPr>
              <w:pStyle w:val="Normal6a"/>
            </w:pPr>
          </w:p>
        </w:tc>
        <w:tc>
          <w:tcPr>
            <w:tcW w:w="4876" w:type="dxa"/>
            <w:tcBorders>
              <w:top w:val="nil"/>
              <w:left w:val="nil"/>
              <w:bottom w:val="nil"/>
              <w:right w:val="nil"/>
            </w:tcBorders>
          </w:tcPr>
          <w:p w14:paraId="4E8590E9" w14:textId="77777777" w:rsidR="006D75C6" w:rsidRPr="00467CE2" w:rsidRDefault="006D75C6" w:rsidP="00FA78CC">
            <w:pPr>
              <w:pStyle w:val="Normal6a"/>
            </w:pPr>
            <w:r>
              <w:rPr>
                <w:b/>
                <w:i/>
              </w:rPr>
              <w:t>1. La Commission ouvre une enquête et adopte des mesures de sauvegarde en vertu du présent règlement lorsqu’il existe des preuves crédibles que des importations bénéficiant de préférences tarifaires ne satisfont pas aux exigences équivalentes en matière d’environnement, de bien-être animal, de santé, de sécurité sanitaire des aliments ou de protection des travailleurs applicables aux producteurs de l’Union.</w:t>
            </w:r>
          </w:p>
        </w:tc>
      </w:tr>
      <w:tr w:rsidR="006D75C6" w14:paraId="0694CE28" w14:textId="77777777" w:rsidTr="00FA78CC">
        <w:trPr>
          <w:jc w:val="center"/>
        </w:trPr>
        <w:tc>
          <w:tcPr>
            <w:tcW w:w="4876" w:type="dxa"/>
            <w:tcBorders>
              <w:top w:val="nil"/>
              <w:left w:val="nil"/>
              <w:bottom w:val="nil"/>
              <w:right w:val="nil"/>
            </w:tcBorders>
          </w:tcPr>
          <w:p w14:paraId="43A5F765" w14:textId="77777777" w:rsidR="006D75C6" w:rsidRPr="00467CE2" w:rsidRDefault="006D75C6" w:rsidP="00FA78CC">
            <w:pPr>
              <w:pStyle w:val="Normal6a"/>
            </w:pPr>
          </w:p>
        </w:tc>
        <w:tc>
          <w:tcPr>
            <w:tcW w:w="4876" w:type="dxa"/>
            <w:tcBorders>
              <w:top w:val="nil"/>
              <w:left w:val="nil"/>
              <w:bottom w:val="nil"/>
              <w:right w:val="nil"/>
            </w:tcBorders>
          </w:tcPr>
          <w:p w14:paraId="5110A4F3" w14:textId="77777777" w:rsidR="006D75C6" w:rsidRPr="00467CE2" w:rsidRDefault="006D75C6" w:rsidP="00FA78CC">
            <w:pPr>
              <w:pStyle w:val="Normal6a"/>
            </w:pPr>
            <w:r>
              <w:rPr>
                <w:b/>
                <w:i/>
              </w:rPr>
              <w:t>2. En cas de risque avéré pour la santé humaine, animale ou végétale, y compris l’utilisation de méthodes de production interdites dans l’Union ou le non-respect des exigences sanitaires et phytosanitaires, la Commission peut suspendre immédiatement les importations du produit bénéficiant des préférences tarifaires, conformément à l’article 9, paragraphe 3. Les mesures adoptées en vertu du présent article sont nécessaires et proportionnées et font l’objet d’un réexamen conformément à l’article 12.</w:t>
            </w:r>
          </w:p>
        </w:tc>
      </w:tr>
    </w:tbl>
    <w:p w14:paraId="3069CB06" w14:textId="20F70CA5" w:rsidR="006D75C6" w:rsidRDefault="006D75C6" w:rsidP="006D75C6"/>
    <w:p w14:paraId="6D9B8AFD" w14:textId="7D5491C9" w:rsidR="006D75C6" w:rsidRDefault="006D75C6" w:rsidP="004D6F14"/>
    <w:p w14:paraId="4F232EC4" w14:textId="54C9F1C0" w:rsidR="00EB3BDF" w:rsidRPr="0004158A" w:rsidRDefault="00EB3BDF" w:rsidP="00EB3BDF">
      <w:pPr>
        <w:pStyle w:val="AmNumberTabs"/>
      </w:pPr>
      <w:r w:rsidRPr="0004158A">
        <w:t>Amendement</w:t>
      </w:r>
      <w:r w:rsidRPr="0004158A">
        <w:tab/>
      </w:r>
      <w:r w:rsidRPr="0004158A">
        <w:tab/>
        <w:t>14</w:t>
      </w:r>
    </w:p>
    <w:p w14:paraId="13C5FBEF" w14:textId="77777777" w:rsidR="00EB3BDF" w:rsidRPr="0004158A" w:rsidRDefault="00EB3BDF" w:rsidP="00EB3BDF">
      <w:pPr>
        <w:pStyle w:val="NormalBold12b"/>
      </w:pPr>
      <w:r w:rsidRPr="0004158A">
        <w:t>Proposition de règlement</w:t>
      </w:r>
    </w:p>
    <w:p w14:paraId="2D5EB46D" w14:textId="77777777" w:rsidR="00EB3BDF" w:rsidRPr="0004158A" w:rsidRDefault="00EB3BDF" w:rsidP="00EB3BDF">
      <w:pPr>
        <w:pStyle w:val="NormalBold"/>
      </w:pPr>
      <w:r w:rsidRPr="0004158A">
        <w:t>Article 15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BDF" w:rsidRPr="0004158A" w14:paraId="1D2261B1" w14:textId="77777777" w:rsidTr="006A289D">
        <w:trPr>
          <w:trHeight w:val="240"/>
          <w:jc w:val="center"/>
        </w:trPr>
        <w:tc>
          <w:tcPr>
            <w:tcW w:w="9752" w:type="dxa"/>
            <w:gridSpan w:val="2"/>
            <w:tcBorders>
              <w:top w:val="nil"/>
              <w:left w:val="nil"/>
              <w:bottom w:val="nil"/>
              <w:right w:val="nil"/>
            </w:tcBorders>
          </w:tcPr>
          <w:p w14:paraId="253C80B5" w14:textId="77777777" w:rsidR="00EB3BDF" w:rsidRPr="0004158A" w:rsidRDefault="00EB3BDF" w:rsidP="006A289D"/>
        </w:tc>
      </w:tr>
      <w:tr w:rsidR="00EB3BDF" w:rsidRPr="0004158A" w14:paraId="13086AE4" w14:textId="77777777" w:rsidTr="006A289D">
        <w:trPr>
          <w:trHeight w:val="240"/>
          <w:jc w:val="center"/>
        </w:trPr>
        <w:tc>
          <w:tcPr>
            <w:tcW w:w="4876" w:type="dxa"/>
            <w:tcBorders>
              <w:top w:val="nil"/>
              <w:left w:val="nil"/>
              <w:bottom w:val="nil"/>
              <w:right w:val="nil"/>
            </w:tcBorders>
            <w:hideMark/>
          </w:tcPr>
          <w:p w14:paraId="4B0A9725"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70554A18" w14:textId="77777777" w:rsidR="00EB3BDF" w:rsidRPr="0004158A" w:rsidRDefault="00EB3BDF" w:rsidP="006A289D">
            <w:pPr>
              <w:pStyle w:val="AmColumnHeading"/>
            </w:pPr>
            <w:r w:rsidRPr="0004158A">
              <w:t>Amendement</w:t>
            </w:r>
          </w:p>
        </w:tc>
      </w:tr>
      <w:tr w:rsidR="00EB3BDF" w:rsidRPr="0004158A" w14:paraId="625F60B5" w14:textId="77777777" w:rsidTr="006A289D">
        <w:trPr>
          <w:jc w:val="center"/>
        </w:trPr>
        <w:tc>
          <w:tcPr>
            <w:tcW w:w="4876" w:type="dxa"/>
            <w:tcBorders>
              <w:top w:val="nil"/>
              <w:left w:val="nil"/>
              <w:bottom w:val="nil"/>
              <w:right w:val="nil"/>
            </w:tcBorders>
          </w:tcPr>
          <w:p w14:paraId="44F95D28" w14:textId="77777777" w:rsidR="00EB3BDF" w:rsidRPr="0004158A" w:rsidRDefault="00EB3BDF" w:rsidP="006A289D">
            <w:pPr>
              <w:pStyle w:val="Normal6a"/>
            </w:pPr>
          </w:p>
        </w:tc>
        <w:tc>
          <w:tcPr>
            <w:tcW w:w="4876" w:type="dxa"/>
            <w:tcBorders>
              <w:top w:val="nil"/>
              <w:left w:val="nil"/>
              <w:bottom w:val="nil"/>
              <w:right w:val="nil"/>
            </w:tcBorders>
            <w:hideMark/>
          </w:tcPr>
          <w:p w14:paraId="2D77A771" w14:textId="77777777" w:rsidR="00EB3BDF" w:rsidRPr="0004158A" w:rsidRDefault="00EB3BDF" w:rsidP="006A289D">
            <w:pPr>
              <w:pStyle w:val="Normal6a"/>
              <w:jc w:val="center"/>
            </w:pPr>
            <w:r w:rsidRPr="0004158A">
              <w:rPr>
                <w:b/>
                <w:i/>
              </w:rPr>
              <w:t>Article 15 bis</w:t>
            </w:r>
          </w:p>
        </w:tc>
      </w:tr>
      <w:tr w:rsidR="00EB3BDF" w:rsidRPr="0004158A" w14:paraId="3D306B26" w14:textId="77777777" w:rsidTr="006A289D">
        <w:trPr>
          <w:jc w:val="center"/>
        </w:trPr>
        <w:tc>
          <w:tcPr>
            <w:tcW w:w="4876" w:type="dxa"/>
            <w:tcBorders>
              <w:top w:val="nil"/>
              <w:left w:val="nil"/>
              <w:bottom w:val="nil"/>
              <w:right w:val="nil"/>
            </w:tcBorders>
          </w:tcPr>
          <w:p w14:paraId="000DE49D" w14:textId="77777777" w:rsidR="00EB3BDF" w:rsidRPr="0004158A" w:rsidRDefault="00EB3BDF" w:rsidP="006A289D">
            <w:pPr>
              <w:pStyle w:val="Normal6a"/>
            </w:pPr>
          </w:p>
        </w:tc>
        <w:tc>
          <w:tcPr>
            <w:tcW w:w="4876" w:type="dxa"/>
            <w:tcBorders>
              <w:top w:val="nil"/>
              <w:left w:val="nil"/>
              <w:bottom w:val="nil"/>
              <w:right w:val="nil"/>
            </w:tcBorders>
            <w:hideMark/>
          </w:tcPr>
          <w:p w14:paraId="3007FAE2" w14:textId="77777777" w:rsidR="00EB3BDF" w:rsidRPr="0004158A" w:rsidRDefault="00EB3BDF" w:rsidP="006A289D">
            <w:pPr>
              <w:pStyle w:val="Normal6a"/>
              <w:jc w:val="center"/>
            </w:pPr>
            <w:r w:rsidRPr="0004158A">
              <w:rPr>
                <w:b/>
                <w:i/>
              </w:rPr>
              <w:t xml:space="preserve">Mesures </w:t>
            </w:r>
            <w:proofErr w:type="spellStart"/>
            <w:r w:rsidRPr="0004158A">
              <w:rPr>
                <w:b/>
                <w:i/>
              </w:rPr>
              <w:t>anticontournement</w:t>
            </w:r>
            <w:proofErr w:type="spellEnd"/>
          </w:p>
        </w:tc>
      </w:tr>
      <w:tr w:rsidR="00EB3BDF" w:rsidRPr="0004158A" w14:paraId="0C11BA13" w14:textId="77777777" w:rsidTr="006A289D">
        <w:trPr>
          <w:jc w:val="center"/>
        </w:trPr>
        <w:tc>
          <w:tcPr>
            <w:tcW w:w="4876" w:type="dxa"/>
            <w:tcBorders>
              <w:top w:val="nil"/>
              <w:left w:val="nil"/>
              <w:bottom w:val="nil"/>
              <w:right w:val="nil"/>
            </w:tcBorders>
          </w:tcPr>
          <w:p w14:paraId="058B5704" w14:textId="77777777" w:rsidR="00EB3BDF" w:rsidRPr="0004158A" w:rsidRDefault="00EB3BDF" w:rsidP="006A289D">
            <w:pPr>
              <w:pStyle w:val="Normal6a"/>
            </w:pPr>
          </w:p>
        </w:tc>
        <w:tc>
          <w:tcPr>
            <w:tcW w:w="4876" w:type="dxa"/>
            <w:tcBorders>
              <w:top w:val="nil"/>
              <w:left w:val="nil"/>
              <w:bottom w:val="nil"/>
              <w:right w:val="nil"/>
            </w:tcBorders>
            <w:hideMark/>
          </w:tcPr>
          <w:p w14:paraId="4D95EF7F" w14:textId="4F3B7F3D" w:rsidR="00EB3BDF" w:rsidRPr="0004158A" w:rsidRDefault="00EB3BDF" w:rsidP="006A289D">
            <w:pPr>
              <w:pStyle w:val="Normal6a"/>
            </w:pPr>
            <w:r w:rsidRPr="0004158A">
              <w:rPr>
                <w:b/>
                <w:i/>
              </w:rPr>
              <w:t xml:space="preserve">1. Si la Commission identifie un contournement des mesures de </w:t>
            </w:r>
            <w:r w:rsidRPr="0004158A">
              <w:rPr>
                <w:b/>
                <w:i/>
              </w:rPr>
              <w:lastRenderedPageBreak/>
              <w:t>sauvegarde par des changements dans les itinéraires commerciaux, y compris des importations en provenance de parties exemptées de</w:t>
            </w:r>
            <w:r w:rsidR="00C61E7D">
              <w:rPr>
                <w:b/>
                <w:i/>
              </w:rPr>
              <w:t>s</w:t>
            </w:r>
            <w:r w:rsidRPr="0004158A">
              <w:rPr>
                <w:b/>
                <w:i/>
              </w:rPr>
              <w:t xml:space="preserve"> mesure</w:t>
            </w:r>
            <w:r w:rsidR="00C61E7D">
              <w:rPr>
                <w:b/>
                <w:i/>
              </w:rPr>
              <w:t>s de sauvegarde</w:t>
            </w:r>
            <w:r w:rsidRPr="0004158A">
              <w:rPr>
                <w:b/>
                <w:i/>
              </w:rPr>
              <w:t>, elle peut étendre le champ d’application de</w:t>
            </w:r>
            <w:r w:rsidR="00C61E7D">
              <w:rPr>
                <w:b/>
                <w:i/>
              </w:rPr>
              <w:t>s</w:t>
            </w:r>
            <w:r w:rsidRPr="0004158A">
              <w:rPr>
                <w:b/>
                <w:i/>
              </w:rPr>
              <w:t xml:space="preserve"> mesure</w:t>
            </w:r>
            <w:r w:rsidR="00C61E7D">
              <w:rPr>
                <w:b/>
                <w:i/>
              </w:rPr>
              <w:t>s de sauvegarde</w:t>
            </w:r>
            <w:r w:rsidRPr="0004158A">
              <w:rPr>
                <w:b/>
                <w:i/>
              </w:rPr>
              <w:t xml:space="preserve"> à ces importations ou adopter d’autres mesures d’exécution nécessaires.</w:t>
            </w:r>
          </w:p>
        </w:tc>
      </w:tr>
      <w:tr w:rsidR="00EB3BDF" w:rsidRPr="0004158A" w14:paraId="2A3C6246" w14:textId="77777777" w:rsidTr="006A289D">
        <w:trPr>
          <w:jc w:val="center"/>
        </w:trPr>
        <w:tc>
          <w:tcPr>
            <w:tcW w:w="4876" w:type="dxa"/>
            <w:tcBorders>
              <w:top w:val="nil"/>
              <w:left w:val="nil"/>
              <w:bottom w:val="nil"/>
              <w:right w:val="nil"/>
            </w:tcBorders>
          </w:tcPr>
          <w:p w14:paraId="1F1C23B3" w14:textId="77777777" w:rsidR="00EB3BDF" w:rsidRPr="0004158A" w:rsidRDefault="00EB3BDF" w:rsidP="006A289D">
            <w:pPr>
              <w:pStyle w:val="Normal6a"/>
            </w:pPr>
          </w:p>
        </w:tc>
        <w:tc>
          <w:tcPr>
            <w:tcW w:w="4876" w:type="dxa"/>
            <w:tcBorders>
              <w:top w:val="nil"/>
              <w:left w:val="nil"/>
              <w:bottom w:val="nil"/>
              <w:right w:val="nil"/>
            </w:tcBorders>
            <w:hideMark/>
          </w:tcPr>
          <w:p w14:paraId="159257BB" w14:textId="77777777" w:rsidR="00EB3BDF" w:rsidRPr="0004158A" w:rsidRDefault="00EB3BDF" w:rsidP="006A289D">
            <w:pPr>
              <w:pStyle w:val="Normal6a"/>
            </w:pPr>
            <w:r w:rsidRPr="0004158A">
              <w:rPr>
                <w:b/>
                <w:i/>
              </w:rPr>
              <w:t>2. La Commission renforce la coopération douanière avec les États membres pour vérifier les règles d’origine et assurer la traçabilité complète des importations de produits sensibles.</w:t>
            </w:r>
          </w:p>
        </w:tc>
      </w:tr>
    </w:tbl>
    <w:p w14:paraId="6992D9E4" w14:textId="77777777" w:rsidR="00EB3BDF" w:rsidRPr="0004158A" w:rsidRDefault="00EB3BDF" w:rsidP="00EB3BDF">
      <w:pPr>
        <w:pStyle w:val="AmNumberTabs"/>
      </w:pPr>
      <w:r w:rsidRPr="0004158A">
        <w:t>Amendement</w:t>
      </w:r>
      <w:r w:rsidRPr="0004158A">
        <w:tab/>
      </w:r>
      <w:r w:rsidRPr="0004158A">
        <w:tab/>
        <w:t>15</w:t>
      </w:r>
    </w:p>
    <w:p w14:paraId="41BDDE17" w14:textId="77777777" w:rsidR="00EB3BDF" w:rsidRPr="0004158A" w:rsidRDefault="00EB3BDF" w:rsidP="00EB3BDF">
      <w:pPr>
        <w:pStyle w:val="NormalBold12b"/>
      </w:pPr>
      <w:r w:rsidRPr="0004158A">
        <w:t>Proposition de règlement</w:t>
      </w:r>
    </w:p>
    <w:p w14:paraId="2BFDDF2A" w14:textId="388D1E9A" w:rsidR="00EB3BDF" w:rsidRPr="0004158A" w:rsidRDefault="00EB3BDF" w:rsidP="00EB3BDF">
      <w:pPr>
        <w:pStyle w:val="NormalBold"/>
      </w:pPr>
      <w:r w:rsidRPr="0004158A">
        <w:t>Annexe – alinéa 1 – point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BDF" w:rsidRPr="0004158A" w14:paraId="1F778FE8" w14:textId="77777777" w:rsidTr="006A289D">
        <w:trPr>
          <w:trHeight w:val="240"/>
          <w:jc w:val="center"/>
        </w:trPr>
        <w:tc>
          <w:tcPr>
            <w:tcW w:w="9752" w:type="dxa"/>
            <w:gridSpan w:val="2"/>
            <w:tcBorders>
              <w:top w:val="nil"/>
              <w:left w:val="nil"/>
              <w:bottom w:val="nil"/>
              <w:right w:val="nil"/>
            </w:tcBorders>
          </w:tcPr>
          <w:p w14:paraId="45671AAF" w14:textId="77777777" w:rsidR="00EB3BDF" w:rsidRPr="0004158A" w:rsidRDefault="00EB3BDF" w:rsidP="006A289D"/>
        </w:tc>
      </w:tr>
      <w:tr w:rsidR="00EB3BDF" w:rsidRPr="0004158A" w14:paraId="0FD78310" w14:textId="77777777" w:rsidTr="006A289D">
        <w:trPr>
          <w:trHeight w:val="240"/>
          <w:jc w:val="center"/>
        </w:trPr>
        <w:tc>
          <w:tcPr>
            <w:tcW w:w="4876" w:type="dxa"/>
            <w:tcBorders>
              <w:top w:val="nil"/>
              <w:left w:val="nil"/>
              <w:bottom w:val="nil"/>
              <w:right w:val="nil"/>
            </w:tcBorders>
            <w:hideMark/>
          </w:tcPr>
          <w:p w14:paraId="48D87313"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32C377CB" w14:textId="77777777" w:rsidR="00EB3BDF" w:rsidRPr="0004158A" w:rsidRDefault="00EB3BDF" w:rsidP="006A289D">
            <w:pPr>
              <w:pStyle w:val="AmColumnHeading"/>
            </w:pPr>
            <w:r w:rsidRPr="0004158A">
              <w:t>Amendement</w:t>
            </w:r>
          </w:p>
        </w:tc>
      </w:tr>
      <w:tr w:rsidR="00EB3BDF" w:rsidRPr="0004158A" w14:paraId="72504538" w14:textId="77777777" w:rsidTr="006A289D">
        <w:trPr>
          <w:jc w:val="center"/>
        </w:trPr>
        <w:tc>
          <w:tcPr>
            <w:tcW w:w="4876" w:type="dxa"/>
            <w:tcBorders>
              <w:top w:val="nil"/>
              <w:left w:val="nil"/>
              <w:bottom w:val="nil"/>
              <w:right w:val="nil"/>
            </w:tcBorders>
            <w:hideMark/>
          </w:tcPr>
          <w:p w14:paraId="59CBA7E5" w14:textId="77777777" w:rsidR="00EB3BDF" w:rsidRPr="0004158A" w:rsidRDefault="00EB3BDF" w:rsidP="006A289D">
            <w:pPr>
              <w:pStyle w:val="Normal6a"/>
            </w:pPr>
            <w:r w:rsidRPr="0004158A">
              <w:t>14.</w:t>
            </w:r>
            <w:r w:rsidRPr="0004158A">
              <w:tab/>
              <w:t>Œufs</w:t>
            </w:r>
          </w:p>
        </w:tc>
        <w:tc>
          <w:tcPr>
            <w:tcW w:w="4876" w:type="dxa"/>
            <w:tcBorders>
              <w:top w:val="nil"/>
              <w:left w:val="nil"/>
              <w:bottom w:val="nil"/>
              <w:right w:val="nil"/>
            </w:tcBorders>
            <w:hideMark/>
          </w:tcPr>
          <w:p w14:paraId="74F4E709" w14:textId="77777777" w:rsidR="00EB3BDF" w:rsidRPr="0004158A" w:rsidRDefault="00EB3BDF" w:rsidP="006A289D">
            <w:pPr>
              <w:pStyle w:val="Normal6a"/>
            </w:pPr>
            <w:r w:rsidRPr="0004158A">
              <w:t>14.</w:t>
            </w:r>
            <w:r w:rsidRPr="0004158A">
              <w:tab/>
              <w:t xml:space="preserve">Œufs </w:t>
            </w:r>
            <w:r w:rsidRPr="0004158A">
              <w:rPr>
                <w:b/>
                <w:i/>
              </w:rPr>
              <w:t>de catégorie A et B</w:t>
            </w:r>
          </w:p>
        </w:tc>
      </w:tr>
    </w:tbl>
    <w:p w14:paraId="0C7C666A" w14:textId="77777777" w:rsidR="00EB3BDF" w:rsidRPr="0004158A" w:rsidRDefault="00EB3BDF" w:rsidP="00EB3BDF">
      <w:pPr>
        <w:pStyle w:val="AmNumberTabs"/>
      </w:pPr>
      <w:r w:rsidRPr="0004158A">
        <w:t>Amendement</w:t>
      </w:r>
      <w:r w:rsidRPr="0004158A">
        <w:tab/>
      </w:r>
      <w:r w:rsidRPr="0004158A">
        <w:tab/>
        <w:t>16</w:t>
      </w:r>
    </w:p>
    <w:p w14:paraId="1B71A7BC" w14:textId="77777777" w:rsidR="00EB3BDF" w:rsidRPr="0004158A" w:rsidRDefault="00EB3BDF" w:rsidP="00EB3BDF">
      <w:pPr>
        <w:pStyle w:val="NormalBold12b"/>
      </w:pPr>
      <w:r w:rsidRPr="0004158A">
        <w:t>Proposition de règlement</w:t>
      </w:r>
    </w:p>
    <w:p w14:paraId="723C85C0" w14:textId="18DBD2D0" w:rsidR="00EB3BDF" w:rsidRPr="0004158A" w:rsidRDefault="00EB3BDF" w:rsidP="00EB3BDF">
      <w:pPr>
        <w:pStyle w:val="NormalBold"/>
      </w:pPr>
      <w:r w:rsidRPr="0004158A">
        <w:t>Annexe – alinéa 1 – point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BDF" w:rsidRPr="0004158A" w14:paraId="451DF9BC" w14:textId="77777777" w:rsidTr="006A289D">
        <w:trPr>
          <w:trHeight w:val="240"/>
          <w:jc w:val="center"/>
        </w:trPr>
        <w:tc>
          <w:tcPr>
            <w:tcW w:w="9752" w:type="dxa"/>
            <w:gridSpan w:val="2"/>
            <w:tcBorders>
              <w:top w:val="nil"/>
              <w:left w:val="nil"/>
              <w:bottom w:val="nil"/>
              <w:right w:val="nil"/>
            </w:tcBorders>
          </w:tcPr>
          <w:p w14:paraId="16E40845" w14:textId="77777777" w:rsidR="00EB3BDF" w:rsidRPr="0004158A" w:rsidRDefault="00EB3BDF" w:rsidP="006A289D"/>
        </w:tc>
      </w:tr>
      <w:tr w:rsidR="00EB3BDF" w:rsidRPr="0004158A" w14:paraId="3E6EA3C8" w14:textId="77777777" w:rsidTr="006A289D">
        <w:trPr>
          <w:trHeight w:val="240"/>
          <w:jc w:val="center"/>
        </w:trPr>
        <w:tc>
          <w:tcPr>
            <w:tcW w:w="4876" w:type="dxa"/>
            <w:tcBorders>
              <w:top w:val="nil"/>
              <w:left w:val="nil"/>
              <w:bottom w:val="nil"/>
              <w:right w:val="nil"/>
            </w:tcBorders>
            <w:hideMark/>
          </w:tcPr>
          <w:p w14:paraId="2A0283C1"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3D855084" w14:textId="77777777" w:rsidR="00EB3BDF" w:rsidRPr="0004158A" w:rsidRDefault="00EB3BDF" w:rsidP="006A289D">
            <w:pPr>
              <w:pStyle w:val="AmColumnHeading"/>
            </w:pPr>
            <w:r w:rsidRPr="0004158A">
              <w:t>Amendement</w:t>
            </w:r>
          </w:p>
        </w:tc>
      </w:tr>
      <w:tr w:rsidR="00EB3BDF" w:rsidRPr="0004158A" w14:paraId="2ECFB6A6" w14:textId="77777777" w:rsidTr="006A289D">
        <w:trPr>
          <w:jc w:val="center"/>
        </w:trPr>
        <w:tc>
          <w:tcPr>
            <w:tcW w:w="4876" w:type="dxa"/>
            <w:tcBorders>
              <w:top w:val="nil"/>
              <w:left w:val="nil"/>
              <w:bottom w:val="nil"/>
              <w:right w:val="nil"/>
            </w:tcBorders>
            <w:hideMark/>
          </w:tcPr>
          <w:p w14:paraId="358E029A" w14:textId="77777777" w:rsidR="00EB3BDF" w:rsidRPr="0004158A" w:rsidRDefault="00EB3BDF" w:rsidP="006A289D">
            <w:pPr>
              <w:pStyle w:val="Normal6a"/>
            </w:pPr>
            <w:r w:rsidRPr="0004158A">
              <w:t>15.</w:t>
            </w:r>
            <w:r w:rsidRPr="0004158A">
              <w:tab/>
              <w:t>Ovalbumines</w:t>
            </w:r>
          </w:p>
        </w:tc>
        <w:tc>
          <w:tcPr>
            <w:tcW w:w="4876" w:type="dxa"/>
            <w:tcBorders>
              <w:top w:val="nil"/>
              <w:left w:val="nil"/>
              <w:bottom w:val="nil"/>
              <w:right w:val="nil"/>
            </w:tcBorders>
            <w:hideMark/>
          </w:tcPr>
          <w:p w14:paraId="2406AAB5" w14:textId="77777777" w:rsidR="00EB3BDF" w:rsidRPr="0004158A" w:rsidRDefault="00EB3BDF" w:rsidP="006A289D">
            <w:pPr>
              <w:pStyle w:val="Normal6a"/>
            </w:pPr>
            <w:r w:rsidRPr="0004158A">
              <w:t>15.</w:t>
            </w:r>
            <w:r w:rsidRPr="0004158A">
              <w:tab/>
            </w:r>
            <w:r w:rsidRPr="0004158A">
              <w:rPr>
                <w:b/>
                <w:i/>
              </w:rPr>
              <w:t>Ovoproduits – poudre d’œuf entier, jaune d’œuf en poudre,</w:t>
            </w:r>
            <w:r w:rsidRPr="0004158A">
              <w:t xml:space="preserve"> ovalbumines </w:t>
            </w:r>
            <w:r w:rsidRPr="0004158A">
              <w:rPr>
                <w:b/>
                <w:i/>
              </w:rPr>
              <w:t>(standard, hautes propriétés émulsifiantes, hautes propriétés gélifiantes)</w:t>
            </w:r>
          </w:p>
        </w:tc>
      </w:tr>
    </w:tbl>
    <w:p w14:paraId="719ED06C" w14:textId="77777777" w:rsidR="00EB3BDF" w:rsidRPr="0004158A" w:rsidRDefault="00EB3BDF" w:rsidP="00EB3BDF">
      <w:pPr>
        <w:pStyle w:val="AmNumberTabs"/>
      </w:pPr>
      <w:r w:rsidRPr="0004158A">
        <w:t>Amendement</w:t>
      </w:r>
      <w:r w:rsidRPr="0004158A">
        <w:tab/>
      </w:r>
      <w:r w:rsidRPr="0004158A">
        <w:tab/>
        <w:t>17</w:t>
      </w:r>
    </w:p>
    <w:p w14:paraId="74AEC26E" w14:textId="77777777" w:rsidR="00EB3BDF" w:rsidRPr="0004158A" w:rsidRDefault="00EB3BDF" w:rsidP="00EB3BDF">
      <w:pPr>
        <w:pStyle w:val="NormalBold12b"/>
      </w:pPr>
      <w:r w:rsidRPr="0004158A">
        <w:t>Proposition de règlement</w:t>
      </w:r>
    </w:p>
    <w:p w14:paraId="6F65F842" w14:textId="4433395F" w:rsidR="00EB3BDF" w:rsidRPr="0004158A" w:rsidRDefault="00EB3BDF" w:rsidP="00EB3BDF">
      <w:pPr>
        <w:pStyle w:val="NormalBold"/>
      </w:pPr>
      <w:r w:rsidRPr="0004158A">
        <w:t>Annexe – alinéa 1 – point 23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BDF" w:rsidRPr="0004158A" w14:paraId="1EAC4ABD" w14:textId="77777777" w:rsidTr="006A289D">
        <w:trPr>
          <w:trHeight w:val="240"/>
          <w:jc w:val="center"/>
        </w:trPr>
        <w:tc>
          <w:tcPr>
            <w:tcW w:w="9752" w:type="dxa"/>
            <w:gridSpan w:val="2"/>
            <w:tcBorders>
              <w:top w:val="nil"/>
              <w:left w:val="nil"/>
              <w:bottom w:val="nil"/>
              <w:right w:val="nil"/>
            </w:tcBorders>
          </w:tcPr>
          <w:p w14:paraId="35F1F762" w14:textId="77777777" w:rsidR="00EB3BDF" w:rsidRPr="0004158A" w:rsidRDefault="00EB3BDF" w:rsidP="006A289D"/>
        </w:tc>
      </w:tr>
      <w:tr w:rsidR="00EB3BDF" w:rsidRPr="0004158A" w14:paraId="4F302AD7" w14:textId="77777777" w:rsidTr="006A289D">
        <w:trPr>
          <w:trHeight w:val="240"/>
          <w:jc w:val="center"/>
        </w:trPr>
        <w:tc>
          <w:tcPr>
            <w:tcW w:w="4876" w:type="dxa"/>
            <w:tcBorders>
              <w:top w:val="nil"/>
              <w:left w:val="nil"/>
              <w:bottom w:val="nil"/>
              <w:right w:val="nil"/>
            </w:tcBorders>
            <w:hideMark/>
          </w:tcPr>
          <w:p w14:paraId="52BBE9DC" w14:textId="77777777" w:rsidR="00EB3BDF" w:rsidRPr="0004158A" w:rsidRDefault="00EB3BDF" w:rsidP="006A289D">
            <w:pPr>
              <w:pStyle w:val="AmColumnHeading"/>
            </w:pPr>
            <w:r w:rsidRPr="0004158A">
              <w:t>Texte proposé par la Commission</w:t>
            </w:r>
          </w:p>
        </w:tc>
        <w:tc>
          <w:tcPr>
            <w:tcW w:w="4876" w:type="dxa"/>
            <w:tcBorders>
              <w:top w:val="nil"/>
              <w:left w:val="nil"/>
              <w:bottom w:val="nil"/>
              <w:right w:val="nil"/>
            </w:tcBorders>
            <w:hideMark/>
          </w:tcPr>
          <w:p w14:paraId="0E07756A" w14:textId="77777777" w:rsidR="00EB3BDF" w:rsidRPr="0004158A" w:rsidRDefault="00EB3BDF" w:rsidP="006A289D">
            <w:pPr>
              <w:pStyle w:val="AmColumnHeading"/>
            </w:pPr>
            <w:r w:rsidRPr="0004158A">
              <w:t>Amendement</w:t>
            </w:r>
          </w:p>
        </w:tc>
      </w:tr>
      <w:tr w:rsidR="00EB3BDF" w:rsidRPr="0004158A" w14:paraId="1FC59442" w14:textId="77777777" w:rsidTr="006A289D">
        <w:trPr>
          <w:jc w:val="center"/>
        </w:trPr>
        <w:tc>
          <w:tcPr>
            <w:tcW w:w="4876" w:type="dxa"/>
            <w:tcBorders>
              <w:top w:val="nil"/>
              <w:left w:val="nil"/>
              <w:bottom w:val="nil"/>
              <w:right w:val="nil"/>
            </w:tcBorders>
          </w:tcPr>
          <w:p w14:paraId="05E850F4" w14:textId="77777777" w:rsidR="00EB3BDF" w:rsidRPr="0004158A" w:rsidRDefault="00EB3BDF" w:rsidP="006A289D">
            <w:pPr>
              <w:pStyle w:val="Normal6a"/>
            </w:pPr>
          </w:p>
        </w:tc>
        <w:tc>
          <w:tcPr>
            <w:tcW w:w="4876" w:type="dxa"/>
            <w:tcBorders>
              <w:top w:val="nil"/>
              <w:left w:val="nil"/>
              <w:bottom w:val="nil"/>
              <w:right w:val="nil"/>
            </w:tcBorders>
            <w:hideMark/>
          </w:tcPr>
          <w:p w14:paraId="3C7641C2" w14:textId="77777777" w:rsidR="00EB3BDF" w:rsidRPr="0004158A" w:rsidRDefault="00EB3BDF" w:rsidP="006A289D">
            <w:pPr>
              <w:pStyle w:val="Normal6a"/>
            </w:pPr>
            <w:r w:rsidRPr="0004158A">
              <w:rPr>
                <w:b/>
                <w:i/>
              </w:rPr>
              <w:t>23 bis.</w:t>
            </w:r>
            <w:r w:rsidRPr="0004158A">
              <w:tab/>
            </w:r>
            <w:r w:rsidRPr="0004158A">
              <w:rPr>
                <w:b/>
                <w:i/>
              </w:rPr>
              <w:t>Agrumes: oranges, citrons et mandarines</w:t>
            </w:r>
          </w:p>
        </w:tc>
      </w:tr>
    </w:tbl>
    <w:p w14:paraId="5DAD63AA" w14:textId="03941C65" w:rsidR="00E365E1" w:rsidRPr="0004158A" w:rsidRDefault="00E365E1" w:rsidP="008A59A8"/>
    <w:sectPr w:rsidR="00E365E1" w:rsidRPr="0004158A" w:rsidSect="000415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06E19" w14:textId="77777777" w:rsidR="008A59A8" w:rsidRPr="0004158A" w:rsidRDefault="008A59A8">
      <w:r w:rsidRPr="0004158A">
        <w:separator/>
      </w:r>
    </w:p>
  </w:endnote>
  <w:endnote w:type="continuationSeparator" w:id="0">
    <w:p w14:paraId="5C4426D4" w14:textId="77777777" w:rsidR="008A59A8" w:rsidRPr="0004158A" w:rsidRDefault="008A59A8">
      <w:r w:rsidRPr="000415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64C9D" w14:textId="77777777" w:rsidR="00064002" w:rsidRPr="000415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E74AF" w14:textId="77777777" w:rsidR="00064002" w:rsidRPr="000415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D829C" w14:textId="77777777" w:rsidR="00064002" w:rsidRPr="000415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B691D" w14:textId="77777777" w:rsidR="008A59A8" w:rsidRPr="0004158A" w:rsidRDefault="008A59A8">
      <w:r w:rsidRPr="0004158A">
        <w:separator/>
      </w:r>
    </w:p>
  </w:footnote>
  <w:footnote w:type="continuationSeparator" w:id="0">
    <w:p w14:paraId="4E379273" w14:textId="77777777" w:rsidR="008A59A8" w:rsidRPr="0004158A" w:rsidRDefault="008A59A8">
      <w:r w:rsidRPr="0004158A">
        <w:continuationSeparator/>
      </w:r>
    </w:p>
  </w:footnote>
  <w:footnote w:id="1">
    <w:p w14:paraId="3F69DE10" w14:textId="5D29E756" w:rsidR="006D75C6" w:rsidRPr="004D6F14" w:rsidRDefault="006D75C6">
      <w:pPr>
        <w:pStyle w:val="FootnoteText"/>
        <w:rPr>
          <w:sz w:val="24"/>
          <w:szCs w:val="24"/>
          <w:lang w:val="fr-BE"/>
        </w:rPr>
      </w:pPr>
      <w:r w:rsidRPr="004D6F14">
        <w:rPr>
          <w:rStyle w:val="FootnoteReference"/>
          <w:sz w:val="24"/>
          <w:szCs w:val="24"/>
        </w:rPr>
        <w:footnoteRef/>
      </w:r>
      <w:r w:rsidRPr="004D6F14">
        <w:rPr>
          <w:sz w:val="24"/>
          <w:szCs w:val="24"/>
        </w:rPr>
        <w:t xml:space="preserve"> </w:t>
      </w:r>
      <w:r w:rsidRPr="004D6F14">
        <w:rPr>
          <w:sz w:val="24"/>
          <w:szCs w:val="24"/>
          <w:lang w:val="fr-BE"/>
        </w:rPr>
        <w:tab/>
      </w:r>
      <w:r w:rsidR="00F36B2D" w:rsidRPr="00F36B2D">
        <w:rPr>
          <w:sz w:val="24"/>
          <w:szCs w:val="24"/>
          <w:lang w:val="fr-BE"/>
        </w:rPr>
        <w:t>La question a été renvoyée à la commission compétente, aux fins de négociations interinstitutionnelles, conformément à l’article 60, paragraphe 4, quatrième alinéa, du règlement intérieur (A10-0</w:t>
      </w:r>
      <w:r w:rsidR="00F36B2D">
        <w:rPr>
          <w:sz w:val="24"/>
          <w:szCs w:val="24"/>
          <w:lang w:val="fr-BE"/>
        </w:rPr>
        <w:t>254</w:t>
      </w:r>
      <w:r w:rsidR="00F36B2D" w:rsidRPr="00F36B2D">
        <w:rPr>
          <w:sz w:val="24"/>
          <w:szCs w:val="24"/>
          <w:lang w:val="fr-BE"/>
        </w:rPr>
        <w:t>/2025)</w:t>
      </w:r>
      <w:r w:rsidRPr="004D6F14">
        <w:rPr>
          <w:sz w:val="24"/>
          <w:szCs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0F3FB" w14:textId="77777777" w:rsidR="00064002" w:rsidRPr="000415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4B586" w14:textId="77777777" w:rsidR="00064002" w:rsidRPr="000415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B00F8" w14:textId="77777777" w:rsidR="00064002" w:rsidRPr="000415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0703792">
    <w:abstractNumId w:val="9"/>
  </w:num>
  <w:num w:numId="2" w16cid:durableId="2045934413">
    <w:abstractNumId w:val="9"/>
  </w:num>
  <w:num w:numId="3" w16cid:durableId="2015721151">
    <w:abstractNumId w:val="7"/>
  </w:num>
  <w:num w:numId="4" w16cid:durableId="753627157">
    <w:abstractNumId w:val="7"/>
  </w:num>
  <w:num w:numId="5" w16cid:durableId="1340500191">
    <w:abstractNumId w:val="6"/>
  </w:num>
  <w:num w:numId="6" w16cid:durableId="1782996995">
    <w:abstractNumId w:val="6"/>
  </w:num>
  <w:num w:numId="7" w16cid:durableId="1011683900">
    <w:abstractNumId w:val="5"/>
  </w:num>
  <w:num w:numId="8" w16cid:durableId="1697346681">
    <w:abstractNumId w:val="5"/>
  </w:num>
  <w:num w:numId="9" w16cid:durableId="504445180">
    <w:abstractNumId w:val="4"/>
  </w:num>
  <w:num w:numId="10" w16cid:durableId="1361004765">
    <w:abstractNumId w:val="4"/>
  </w:num>
  <w:num w:numId="11" w16cid:durableId="2132816469">
    <w:abstractNumId w:val="8"/>
  </w:num>
  <w:num w:numId="12" w16cid:durableId="64574121">
    <w:abstractNumId w:val="8"/>
  </w:num>
  <w:num w:numId="13" w16cid:durableId="812059529">
    <w:abstractNumId w:val="3"/>
  </w:num>
  <w:num w:numId="14" w16cid:durableId="62024018">
    <w:abstractNumId w:val="3"/>
  </w:num>
  <w:num w:numId="15" w16cid:durableId="1449547478">
    <w:abstractNumId w:val="2"/>
  </w:num>
  <w:num w:numId="16" w16cid:durableId="1607418799">
    <w:abstractNumId w:val="2"/>
  </w:num>
  <w:num w:numId="17" w16cid:durableId="1583875399">
    <w:abstractNumId w:val="1"/>
  </w:num>
  <w:num w:numId="18" w16cid:durableId="562838628">
    <w:abstractNumId w:val="1"/>
  </w:num>
  <w:num w:numId="19" w16cid:durableId="1989506397">
    <w:abstractNumId w:val="0"/>
  </w:num>
  <w:num w:numId="20" w16cid:durableId="421874405">
    <w:abstractNumId w:val="0"/>
  </w:num>
  <w:num w:numId="21" w16cid:durableId="516232228">
    <w:abstractNumId w:val="9"/>
  </w:num>
  <w:num w:numId="22" w16cid:durableId="1922905976">
    <w:abstractNumId w:val="7"/>
  </w:num>
  <w:num w:numId="23" w16cid:durableId="930704742">
    <w:abstractNumId w:val="6"/>
  </w:num>
  <w:num w:numId="24" w16cid:durableId="1043946138">
    <w:abstractNumId w:val="5"/>
  </w:num>
  <w:num w:numId="25" w16cid:durableId="2121535140">
    <w:abstractNumId w:val="4"/>
  </w:num>
  <w:num w:numId="26" w16cid:durableId="219481865">
    <w:abstractNumId w:val="8"/>
  </w:num>
  <w:num w:numId="27" w16cid:durableId="1352534370">
    <w:abstractNumId w:val="3"/>
  </w:num>
  <w:num w:numId="28" w16cid:durableId="1174568740">
    <w:abstractNumId w:val="2"/>
  </w:num>
  <w:num w:numId="29" w16cid:durableId="883516260">
    <w:abstractNumId w:val="1"/>
  </w:num>
  <w:num w:numId="30" w16cid:durableId="10376979">
    <w:abstractNumId w:val="0"/>
  </w:num>
  <w:num w:numId="31" w16cid:durableId="1384791932">
    <w:abstractNumId w:val="9"/>
  </w:num>
  <w:num w:numId="32" w16cid:durableId="1037049084">
    <w:abstractNumId w:val="7"/>
  </w:num>
  <w:num w:numId="33" w16cid:durableId="1593921">
    <w:abstractNumId w:val="6"/>
  </w:num>
  <w:num w:numId="34" w16cid:durableId="459030320">
    <w:abstractNumId w:val="5"/>
  </w:num>
  <w:num w:numId="35" w16cid:durableId="297036439">
    <w:abstractNumId w:val="4"/>
  </w:num>
  <w:num w:numId="36" w16cid:durableId="1215845482">
    <w:abstractNumId w:val="8"/>
  </w:num>
  <w:num w:numId="37" w16cid:durableId="1817457029">
    <w:abstractNumId w:val="3"/>
  </w:num>
  <w:num w:numId="38" w16cid:durableId="2092847527">
    <w:abstractNumId w:val="2"/>
  </w:num>
  <w:num w:numId="39" w16cid:durableId="1247182646">
    <w:abstractNumId w:val="1"/>
  </w:num>
  <w:num w:numId="40" w16cid:durableId="750588349">
    <w:abstractNumId w:val="0"/>
  </w:num>
  <w:num w:numId="41" w16cid:durableId="844056830">
    <w:abstractNumId w:val="10"/>
  </w:num>
  <w:num w:numId="42" w16cid:durableId="676007262">
    <w:abstractNumId w:val="10"/>
  </w:num>
  <w:num w:numId="43" w16cid:durableId="2115860757">
    <w:abstractNumId w:val="10"/>
  </w:num>
  <w:num w:numId="44" w16cid:durableId="325936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FR"/>
    <w:docVar w:name="dvnumam" w:val="0"/>
    <w:docVar w:name="dvpe" w:val="779.615"/>
    <w:docVar w:name="dvrapporteur" w:val="Rapporteur: "/>
    <w:docVar w:name="dvstar" w:val="***I"/>
    <w:docVar w:name="dvtitre" w:val="Résolution législative du Parlement européen du ... 2025 sur la proposition de règlement du Parlement européen et du Conseil portant mise en œuvre de la clause de sauvegarde bilatérale prévue par l’accord de partenariat UE-Mercosur et l’accord intérimaire UE-Mercosur sur le commerce pour les produits agricoles(COM(2025)0639 – C10-0247/2025 – 2025/0322(COD))"/>
  </w:docVars>
  <w:rsids>
    <w:rsidRoot w:val="008A59A8"/>
    <w:rsid w:val="00002272"/>
    <w:rsid w:val="0004158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024"/>
    <w:rsid w:val="004D20F5"/>
    <w:rsid w:val="004D6F14"/>
    <w:rsid w:val="0050519A"/>
    <w:rsid w:val="005072A1"/>
    <w:rsid w:val="00514517"/>
    <w:rsid w:val="00545827"/>
    <w:rsid w:val="00560270"/>
    <w:rsid w:val="005873D3"/>
    <w:rsid w:val="005C2568"/>
    <w:rsid w:val="005F1B17"/>
    <w:rsid w:val="006037C0"/>
    <w:rsid w:val="006631B6"/>
    <w:rsid w:val="00680577"/>
    <w:rsid w:val="006D75C6"/>
    <w:rsid w:val="006F74FA"/>
    <w:rsid w:val="00731ADD"/>
    <w:rsid w:val="00734777"/>
    <w:rsid w:val="00747932"/>
    <w:rsid w:val="00751A4A"/>
    <w:rsid w:val="00756632"/>
    <w:rsid w:val="00762C74"/>
    <w:rsid w:val="00786EC0"/>
    <w:rsid w:val="007D1690"/>
    <w:rsid w:val="007E22AD"/>
    <w:rsid w:val="007E44CD"/>
    <w:rsid w:val="00817416"/>
    <w:rsid w:val="00842779"/>
    <w:rsid w:val="00865F67"/>
    <w:rsid w:val="00881A7B"/>
    <w:rsid w:val="008840E5"/>
    <w:rsid w:val="00887B3E"/>
    <w:rsid w:val="008A59A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074"/>
    <w:rsid w:val="00BD48FE"/>
    <w:rsid w:val="00BD7BD8"/>
    <w:rsid w:val="00BE6ADC"/>
    <w:rsid w:val="00BE71D4"/>
    <w:rsid w:val="00C05BFE"/>
    <w:rsid w:val="00C23CD4"/>
    <w:rsid w:val="00C61C0C"/>
    <w:rsid w:val="00C61E7D"/>
    <w:rsid w:val="00C83238"/>
    <w:rsid w:val="00C941CB"/>
    <w:rsid w:val="00CC2357"/>
    <w:rsid w:val="00CF071A"/>
    <w:rsid w:val="00D058B8"/>
    <w:rsid w:val="00D1729E"/>
    <w:rsid w:val="00D56C11"/>
    <w:rsid w:val="00D834A0"/>
    <w:rsid w:val="00D872DF"/>
    <w:rsid w:val="00D91E21"/>
    <w:rsid w:val="00DA7FCD"/>
    <w:rsid w:val="00E365E1"/>
    <w:rsid w:val="00E820A4"/>
    <w:rsid w:val="00EB006A"/>
    <w:rsid w:val="00EB3BDF"/>
    <w:rsid w:val="00EB4772"/>
    <w:rsid w:val="00ED169E"/>
    <w:rsid w:val="00ED4235"/>
    <w:rsid w:val="00F04346"/>
    <w:rsid w:val="00F075DC"/>
    <w:rsid w:val="00F149E9"/>
    <w:rsid w:val="00F36B2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275EC"/>
  <w15:chartTrackingRefBased/>
  <w15:docId w15:val="{71435E36-A276-4B4A-81A1-FBBAE4978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B3BDF"/>
    <w:pPr>
      <w:spacing w:after="120"/>
    </w:pPr>
  </w:style>
  <w:style w:type="paragraph" w:customStyle="1" w:styleId="NormalBold">
    <w:name w:val="NormalBold"/>
    <w:basedOn w:val="Normal"/>
    <w:link w:val="NormalBoldChar"/>
    <w:rsid w:val="00EB3BDF"/>
    <w:rPr>
      <w:b/>
    </w:rPr>
  </w:style>
  <w:style w:type="paragraph" w:customStyle="1" w:styleId="NormalHanging12a">
    <w:name w:val="NormalHanging12a"/>
    <w:basedOn w:val="Normal"/>
    <w:rsid w:val="00EB3BDF"/>
    <w:pPr>
      <w:spacing w:after="240"/>
      <w:ind w:left="567" w:hanging="567"/>
    </w:pPr>
  </w:style>
  <w:style w:type="paragraph" w:customStyle="1" w:styleId="AmColumnHeading">
    <w:name w:val="AmColumnHeading"/>
    <w:basedOn w:val="Normal"/>
    <w:rsid w:val="00EB3BDF"/>
    <w:pPr>
      <w:spacing w:after="240"/>
      <w:jc w:val="center"/>
    </w:pPr>
    <w:rPr>
      <w:i/>
    </w:rPr>
  </w:style>
  <w:style w:type="paragraph" w:customStyle="1" w:styleId="AmNumberTabs">
    <w:name w:val="AmNumberTabs"/>
    <w:basedOn w:val="Normal"/>
    <w:rsid w:val="00EB3B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B3BDF"/>
    <w:pPr>
      <w:spacing w:before="240"/>
    </w:pPr>
    <w:rPr>
      <w:b/>
    </w:rPr>
  </w:style>
  <w:style w:type="character" w:customStyle="1" w:styleId="NormalBoldChar">
    <w:name w:val="NormalBold Char"/>
    <w:basedOn w:val="DefaultParagraphFont"/>
    <w:link w:val="NormalBold"/>
    <w:locked/>
    <w:rsid w:val="00EB3BDF"/>
    <w:rPr>
      <w:b/>
      <w:sz w:val="24"/>
      <w:lang w:val="fr-FR"/>
    </w:rPr>
  </w:style>
  <w:style w:type="paragraph" w:styleId="Revision">
    <w:name w:val="Revision"/>
    <w:hidden/>
    <w:uiPriority w:val="99"/>
    <w:semiHidden/>
    <w:rsid w:val="00C61E7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3040</Words>
  <Characters>17321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3</cp:revision>
  <cp:lastPrinted>2004-11-19T15:42:00Z</cp:lastPrinted>
  <dcterms:created xsi:type="dcterms:W3CDTF">2025-12-16T12:59:00Z</dcterms:created>
  <dcterms:modified xsi:type="dcterms:W3CDTF">2025-12-16T14:41:00Z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