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48FA" w14:paraId="4A85B88F" w14:textId="77777777" w:rsidTr="0010095E">
        <w:trPr>
          <w:trHeight w:hRule="exact" w:val="1418"/>
        </w:trPr>
        <w:tc>
          <w:tcPr>
            <w:tcW w:w="6804" w:type="dxa"/>
            <w:shd w:val="clear" w:color="auto" w:fill="auto"/>
            <w:vAlign w:val="center"/>
          </w:tcPr>
          <w:p w14:paraId="47EEEBBC" w14:textId="08660416" w:rsidR="00751A4A" w:rsidRPr="000848FA" w:rsidRDefault="0024579C" w:rsidP="0010095E">
            <w:pPr>
              <w:pStyle w:val="EPName"/>
            </w:pPr>
            <w:r w:rsidRPr="000848FA">
              <w:t>Parlamento Europeo</w:t>
            </w:r>
          </w:p>
          <w:p w14:paraId="33D6691C" w14:textId="77777777" w:rsidR="00751A4A" w:rsidRPr="000848FA" w:rsidRDefault="005F1B17" w:rsidP="005F1B17">
            <w:pPr>
              <w:pStyle w:val="EPTerm"/>
              <w:rPr>
                <w:rStyle w:val="HideTWBExt"/>
                <w:noProof w:val="0"/>
                <w:vanish w:val="0"/>
                <w:color w:val="auto"/>
              </w:rPr>
            </w:pPr>
            <w:r w:rsidRPr="000848FA">
              <w:t>2024</w:t>
            </w:r>
            <w:r w:rsidR="00817416" w:rsidRPr="000848FA">
              <w:t>-202</w:t>
            </w:r>
            <w:r w:rsidRPr="000848FA">
              <w:t>9</w:t>
            </w:r>
          </w:p>
        </w:tc>
        <w:tc>
          <w:tcPr>
            <w:tcW w:w="2268" w:type="dxa"/>
            <w:shd w:val="clear" w:color="auto" w:fill="auto"/>
          </w:tcPr>
          <w:p w14:paraId="438B1A88" w14:textId="77777777" w:rsidR="00751A4A" w:rsidRPr="000848FA" w:rsidRDefault="00187494" w:rsidP="0010095E">
            <w:pPr>
              <w:pStyle w:val="EPLogo"/>
            </w:pPr>
            <w:r w:rsidRPr="000848FA">
              <w:rPr>
                <w:noProof/>
                <w:lang w:eastAsia="ja-JP"/>
              </w:rPr>
              <w:drawing>
                <wp:inline distT="0" distB="0" distL="0" distR="0" wp14:anchorId="5C09C76B" wp14:editId="7E3447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62809" w14:textId="77777777" w:rsidR="00D058B8" w:rsidRPr="000848FA" w:rsidRDefault="00D058B8" w:rsidP="004C5D52">
      <w:pPr>
        <w:pStyle w:val="LineTop"/>
      </w:pPr>
    </w:p>
    <w:p w14:paraId="123A8BD5" w14:textId="344E7A58" w:rsidR="00680577" w:rsidRPr="000848FA" w:rsidRDefault="0024579C" w:rsidP="00680577">
      <w:pPr>
        <w:pStyle w:val="EPBodyTA1"/>
      </w:pPr>
      <w:r w:rsidRPr="000848FA">
        <w:t>TEXTOS APROBADOS</w:t>
      </w:r>
    </w:p>
    <w:p w14:paraId="6B132472" w14:textId="77777777" w:rsidR="00D058B8" w:rsidRPr="000848FA" w:rsidRDefault="00D058B8" w:rsidP="00D058B8">
      <w:pPr>
        <w:pStyle w:val="LineBottom"/>
      </w:pPr>
    </w:p>
    <w:p w14:paraId="45075153" w14:textId="2A1763DA" w:rsidR="0024579C" w:rsidRPr="00B20B60" w:rsidRDefault="0024579C" w:rsidP="0024579C">
      <w:pPr>
        <w:pStyle w:val="ATHeading1"/>
      </w:pPr>
      <w:bookmarkStart w:id="0" w:name="TANumber"/>
      <w:r w:rsidRPr="00B20B60">
        <w:t>P10_</w:t>
      </w:r>
      <w:proofErr w:type="gramStart"/>
      <w:r w:rsidRPr="00B20B60">
        <w:t>TA(</w:t>
      </w:r>
      <w:proofErr w:type="gramEnd"/>
      <w:r w:rsidRPr="00B20B60">
        <w:t>2025)0</w:t>
      </w:r>
      <w:r w:rsidR="009A159A" w:rsidRPr="00B20B60">
        <w:t>316</w:t>
      </w:r>
      <w:bookmarkEnd w:id="0"/>
    </w:p>
    <w:p w14:paraId="6DBDEEDC" w14:textId="77777777" w:rsidR="0024579C" w:rsidRPr="00B20B60" w:rsidRDefault="0024579C" w:rsidP="0024579C">
      <w:pPr>
        <w:pStyle w:val="ATHeading2"/>
      </w:pPr>
      <w:bookmarkStart w:id="1" w:name="title"/>
      <w:r w:rsidRPr="00B20B60">
        <w:t xml:space="preserve">Suplicatorio de suspensión de la inmunidad de </w:t>
      </w:r>
      <w:proofErr w:type="spellStart"/>
      <w:r w:rsidRPr="00B20B60">
        <w:t>Elisabetta</w:t>
      </w:r>
      <w:proofErr w:type="spellEnd"/>
      <w:r w:rsidRPr="00B20B60">
        <w:t xml:space="preserve"> </w:t>
      </w:r>
      <w:proofErr w:type="spellStart"/>
      <w:r w:rsidRPr="00B20B60">
        <w:t>Gualmini</w:t>
      </w:r>
      <w:bookmarkEnd w:id="1"/>
      <w:proofErr w:type="spellEnd"/>
    </w:p>
    <w:p w14:paraId="5C934E4C" w14:textId="77777777" w:rsidR="0024579C" w:rsidRPr="000848FA" w:rsidRDefault="0024579C" w:rsidP="0024579C">
      <w:pPr>
        <w:rPr>
          <w:i/>
          <w:vanish/>
        </w:rPr>
      </w:pPr>
      <w:r w:rsidRPr="000848FA">
        <w:rPr>
          <w:i/>
        </w:rPr>
        <w:fldChar w:fldCharType="begin"/>
      </w:r>
      <w:r w:rsidRPr="000848FA">
        <w:rPr>
          <w:i/>
        </w:rPr>
        <w:instrText xml:space="preserve"> TC"(</w:instrText>
      </w:r>
      <w:bookmarkStart w:id="2" w:name="DocNumber"/>
      <w:r w:rsidRPr="000848FA">
        <w:rPr>
          <w:i/>
        </w:rPr>
        <w:instrText>A10-0263/2025</w:instrText>
      </w:r>
      <w:bookmarkEnd w:id="2"/>
      <w:r w:rsidRPr="000848FA">
        <w:rPr>
          <w:i/>
        </w:rPr>
        <w:instrText xml:space="preserve"> - Ponente: </w:instrText>
      </w:r>
      <w:proofErr w:type="spellStart"/>
      <w:r w:rsidRPr="000848FA">
        <w:rPr>
          <w:i/>
        </w:rPr>
        <w:instrText>Ilhan</w:instrText>
      </w:r>
      <w:proofErr w:type="spellEnd"/>
      <w:r w:rsidRPr="000848FA">
        <w:rPr>
          <w:i/>
        </w:rPr>
        <w:instrText xml:space="preserve"> </w:instrText>
      </w:r>
      <w:proofErr w:type="spellStart"/>
      <w:r w:rsidRPr="000848FA">
        <w:rPr>
          <w:i/>
        </w:rPr>
        <w:instrText>Kyuchyuk</w:instrText>
      </w:r>
      <w:proofErr w:type="spellEnd"/>
      <w:r w:rsidRPr="000848FA">
        <w:rPr>
          <w:i/>
        </w:rPr>
        <w:instrText xml:space="preserve">)"\l3 \n&gt; \* MERGEFORMAT </w:instrText>
      </w:r>
      <w:r w:rsidRPr="000848FA">
        <w:rPr>
          <w:i/>
        </w:rPr>
        <w:fldChar w:fldCharType="end"/>
      </w:r>
    </w:p>
    <w:p w14:paraId="742B3106" w14:textId="77777777" w:rsidR="0024579C" w:rsidRPr="000848FA" w:rsidRDefault="0024579C" w:rsidP="0024579C">
      <w:pPr>
        <w:rPr>
          <w:vanish/>
        </w:rPr>
      </w:pPr>
      <w:bookmarkStart w:id="3" w:name="Commission"/>
      <w:r w:rsidRPr="000848FA">
        <w:rPr>
          <w:vanish/>
        </w:rPr>
        <w:t>Comisión de Asuntos Jurídicos</w:t>
      </w:r>
      <w:bookmarkEnd w:id="3"/>
    </w:p>
    <w:p w14:paraId="281258EF" w14:textId="77777777" w:rsidR="0024579C" w:rsidRPr="000848FA" w:rsidRDefault="0024579C" w:rsidP="0024579C">
      <w:pPr>
        <w:rPr>
          <w:vanish/>
        </w:rPr>
      </w:pPr>
      <w:bookmarkStart w:id="4" w:name="PE"/>
      <w:r w:rsidRPr="000848FA">
        <w:rPr>
          <w:vanish/>
        </w:rPr>
        <w:t>PE774.382</w:t>
      </w:r>
      <w:bookmarkEnd w:id="4"/>
    </w:p>
    <w:p w14:paraId="6510C50D" w14:textId="77777777" w:rsidR="0024579C" w:rsidRPr="00B20B60" w:rsidRDefault="0024579C" w:rsidP="0024579C">
      <w:pPr>
        <w:pStyle w:val="ATHeading3"/>
      </w:pPr>
      <w:bookmarkStart w:id="5" w:name="Sujet"/>
      <w:r w:rsidRPr="00B20B60">
        <w:t xml:space="preserve">Decisión del Parlamento Europeo, de 16 de diciembre de 2025, sobre el suplicatorio de suspensión de la inmunidad de </w:t>
      </w:r>
      <w:proofErr w:type="spellStart"/>
      <w:r w:rsidRPr="00B20B60">
        <w:t>Elisabetta</w:t>
      </w:r>
      <w:proofErr w:type="spellEnd"/>
      <w:r w:rsidRPr="00B20B60">
        <w:t xml:space="preserve"> </w:t>
      </w:r>
      <w:proofErr w:type="spellStart"/>
      <w:r w:rsidRPr="00B20B60">
        <w:t>Gualmini</w:t>
      </w:r>
      <w:bookmarkEnd w:id="5"/>
      <w:proofErr w:type="spellEnd"/>
      <w:r w:rsidRPr="00B20B60">
        <w:t xml:space="preserve"> </w:t>
      </w:r>
      <w:bookmarkStart w:id="6" w:name="References"/>
      <w:r w:rsidRPr="00B20B60">
        <w:t>(2025/2063(IMM))</w:t>
      </w:r>
      <w:bookmarkEnd w:id="6"/>
    </w:p>
    <w:p w14:paraId="675FD196" w14:textId="77777777" w:rsidR="003A6D10" w:rsidRPr="000848FA" w:rsidRDefault="003A6D10" w:rsidP="003A6D10">
      <w:pPr>
        <w:pStyle w:val="EPComma"/>
      </w:pPr>
      <w:bookmarkStart w:id="7" w:name="TextBodyBegin"/>
      <w:bookmarkEnd w:id="7"/>
      <w:r w:rsidRPr="000848FA">
        <w:rPr>
          <w:i/>
        </w:rPr>
        <w:t>El Parlamento Europeo</w:t>
      </w:r>
      <w:r w:rsidRPr="000848FA">
        <w:t>,</w:t>
      </w:r>
    </w:p>
    <w:p w14:paraId="61F8503D" w14:textId="0AAA564F" w:rsidR="003A6D10" w:rsidRPr="000848FA" w:rsidRDefault="003A6D10" w:rsidP="003A6D10">
      <w:pPr>
        <w:pStyle w:val="NormalHanging12a"/>
      </w:pPr>
      <w:r w:rsidRPr="000848FA">
        <w:t>–</w:t>
      </w:r>
      <w:r w:rsidRPr="000848FA">
        <w:tab/>
        <w:t xml:space="preserve">Visto el suplicatorio de suspensión de la inmunidad de </w:t>
      </w:r>
      <w:proofErr w:type="spellStart"/>
      <w:r w:rsidRPr="000848FA">
        <w:t>Elisabetta</w:t>
      </w:r>
      <w:proofErr w:type="spellEnd"/>
      <w:r w:rsidRPr="000848FA">
        <w:t xml:space="preserve"> </w:t>
      </w:r>
      <w:proofErr w:type="spellStart"/>
      <w:r w:rsidRPr="000848FA">
        <w:t>Gualmini</w:t>
      </w:r>
      <w:proofErr w:type="spellEnd"/>
      <w:r w:rsidRPr="000848FA">
        <w:t xml:space="preserve">, </w:t>
      </w:r>
      <w:r w:rsidR="00EF4E47" w:rsidRPr="000848FA">
        <w:t xml:space="preserve">recibido </w:t>
      </w:r>
      <w:r w:rsidRPr="000848FA">
        <w:t xml:space="preserve">mediante carta de 27 de febrero de 2025 </w:t>
      </w:r>
      <w:r w:rsidR="00F263A6" w:rsidRPr="000848FA">
        <w:t>de</w:t>
      </w:r>
      <w:r w:rsidRPr="000848FA">
        <w:t xml:space="preserve"> la Dirección de Protocolo del Servicio Público Federal belga de Asuntos Exteriores, Comercio Exterior y Cooperación al Desarrollo, por la que se trasmit</w:t>
      </w:r>
      <w:r w:rsidR="00F263A6" w:rsidRPr="000848FA">
        <w:t>e</w:t>
      </w:r>
      <w:r w:rsidRPr="000848FA">
        <w:t xml:space="preserve"> el suplicatorio presentado por la Fiscalía Federal de Bélgica, en relación con el procedimiento penal que debe incoarse contra ella, y anunciado en el Pleno el 10 de marzo de 2025,</w:t>
      </w:r>
    </w:p>
    <w:p w14:paraId="0E2B31D1" w14:textId="77777777" w:rsidR="003A6D10" w:rsidRPr="000848FA" w:rsidRDefault="003A6D10" w:rsidP="003A6D10">
      <w:pPr>
        <w:pStyle w:val="NormalHanging12a"/>
      </w:pPr>
      <w:r w:rsidRPr="000848FA">
        <w:t>–</w:t>
      </w:r>
      <w:r w:rsidRPr="000848FA">
        <w:tab/>
        <w:t xml:space="preserve">Previa audiencia a </w:t>
      </w:r>
      <w:proofErr w:type="spellStart"/>
      <w:r w:rsidRPr="000848FA">
        <w:t>Elisabetta</w:t>
      </w:r>
      <w:proofErr w:type="spellEnd"/>
      <w:r w:rsidRPr="000848FA">
        <w:t xml:space="preserve"> </w:t>
      </w:r>
      <w:proofErr w:type="spellStart"/>
      <w:r w:rsidRPr="000848FA">
        <w:t>Gualmini</w:t>
      </w:r>
      <w:proofErr w:type="spellEnd"/>
      <w:r w:rsidRPr="000848FA">
        <w:t xml:space="preserve"> el 4 de junio de 2025 y vista la documentación aportada por esta, de conformidad con el artículo 9, apartado 6, de su Reglamento interno,</w:t>
      </w:r>
    </w:p>
    <w:p w14:paraId="2A22E9DB" w14:textId="43BDC5C7" w:rsidR="003A6D10" w:rsidRPr="000848FA" w:rsidRDefault="003A6D10" w:rsidP="003A6D10">
      <w:pPr>
        <w:pStyle w:val="NormalHanging12a"/>
      </w:pPr>
      <w:r w:rsidRPr="000848FA">
        <w:t>–</w:t>
      </w:r>
      <w:r w:rsidRPr="000848FA">
        <w:tab/>
        <w:t xml:space="preserve">Vista la información adicional </w:t>
      </w:r>
      <w:r w:rsidR="00EF4E47" w:rsidRPr="000848FA">
        <w:t xml:space="preserve">proporcionada </w:t>
      </w:r>
      <w:r w:rsidRPr="000848FA">
        <w:t>por la Fiscalía Federal de Bélgica, mediante carta de 27 de junio de 2025,</w:t>
      </w:r>
    </w:p>
    <w:p w14:paraId="1872429D" w14:textId="77777777" w:rsidR="003A6D10" w:rsidRPr="000848FA" w:rsidRDefault="003A6D10" w:rsidP="003A6D10">
      <w:pPr>
        <w:pStyle w:val="NormalHanging12a"/>
      </w:pPr>
      <w:r w:rsidRPr="000848FA">
        <w:t>–</w:t>
      </w:r>
      <w:r w:rsidRPr="000848FA">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72724285" w14:textId="77777777" w:rsidR="003A6D10" w:rsidRPr="000848FA" w:rsidRDefault="003A6D10" w:rsidP="003A6D10">
      <w:pPr>
        <w:pStyle w:val="NormalHanging12a"/>
      </w:pPr>
      <w:r w:rsidRPr="000848FA">
        <w:t>–</w:t>
      </w:r>
      <w:r w:rsidRPr="000848FA">
        <w:tab/>
        <w:t xml:space="preserve">Vistas las sentencias del Tribunal de Justicia de la Unión Europea de 21 de octubre de 2008, 19 de marzo de 2010, 6 de septiembre de 2011, 17 de enero de 2013, 19 de </w:t>
      </w:r>
      <w:r w:rsidRPr="000848FA">
        <w:lastRenderedPageBreak/>
        <w:t>diciembre de 2019 y 5 de julio de 2023</w:t>
      </w:r>
      <w:r w:rsidRPr="000848FA">
        <w:rPr>
          <w:rStyle w:val="FootnoteReference"/>
        </w:rPr>
        <w:footnoteReference w:id="1"/>
      </w:r>
      <w:r w:rsidRPr="000848FA">
        <w:t>,</w:t>
      </w:r>
    </w:p>
    <w:p w14:paraId="246EDF14" w14:textId="77777777" w:rsidR="003A6D10" w:rsidRPr="000848FA" w:rsidRDefault="003A6D10" w:rsidP="003A6D10">
      <w:pPr>
        <w:pStyle w:val="NormalHanging12a"/>
      </w:pPr>
      <w:r w:rsidRPr="000848FA">
        <w:t>–</w:t>
      </w:r>
      <w:r w:rsidRPr="000848FA">
        <w:tab/>
        <w:t>Vistos el artículo 5, apartado 2, el artículo 6, apartado 1, y el artículo 9 de su Reglamento interno,</w:t>
      </w:r>
    </w:p>
    <w:p w14:paraId="4C70D85C" w14:textId="77777777" w:rsidR="003A6D10" w:rsidRPr="000848FA" w:rsidRDefault="003A6D10" w:rsidP="003A6D10">
      <w:pPr>
        <w:pStyle w:val="NormalHanging12a"/>
      </w:pPr>
      <w:r w:rsidRPr="000848FA">
        <w:t>–</w:t>
      </w:r>
      <w:r w:rsidRPr="000848FA">
        <w:tab/>
        <w:t>Visto el informe de la Comisión de Asuntos Jurídicos (A10-0263/2025),</w:t>
      </w:r>
    </w:p>
    <w:p w14:paraId="20290FF3" w14:textId="77777777" w:rsidR="003A6D10" w:rsidRPr="000848FA" w:rsidRDefault="003A6D10" w:rsidP="003A6D10">
      <w:pPr>
        <w:pStyle w:val="NormalHanging12a"/>
      </w:pPr>
      <w:r w:rsidRPr="000848FA">
        <w:t>A.</w:t>
      </w:r>
      <w:r w:rsidRPr="000848FA">
        <w:tab/>
      </w:r>
      <w:bookmarkStart w:id="8" w:name="_Hlk210981952"/>
      <w:r w:rsidRPr="000848FA">
        <w:t xml:space="preserve">Considerando que, el 27 de febrero de 2025, la Fiscalía Federal de Bélgica presentó un suplicatorio de suspensión de la inmunidad de </w:t>
      </w:r>
      <w:proofErr w:type="spellStart"/>
      <w:r w:rsidRPr="000848FA">
        <w:t>Elisabetta</w:t>
      </w:r>
      <w:proofErr w:type="spellEnd"/>
      <w:r w:rsidRPr="000848FA">
        <w:t xml:space="preserve"> </w:t>
      </w:r>
      <w:proofErr w:type="spellStart"/>
      <w:r w:rsidRPr="000848FA">
        <w:t>Gualmini</w:t>
      </w:r>
      <w:proofErr w:type="spellEnd"/>
      <w:r w:rsidRPr="000848FA">
        <w:t>, diputada al Parlamento Europeo elegida en Italia, en relación con un procedimiento penal que debe incoarse contra ella;</w:t>
      </w:r>
      <w:bookmarkEnd w:id="8"/>
    </w:p>
    <w:p w14:paraId="62559E8A" w14:textId="67F2CBF0" w:rsidR="003A6D10" w:rsidRPr="000848FA" w:rsidRDefault="003A6D10" w:rsidP="003A6D10">
      <w:pPr>
        <w:pStyle w:val="NormalHanging12a"/>
      </w:pPr>
      <w:r w:rsidRPr="000848FA">
        <w:t>B.</w:t>
      </w:r>
      <w:r w:rsidRPr="000848FA">
        <w:tab/>
      </w:r>
      <w:bookmarkStart w:id="9" w:name="_Hlk210982188"/>
      <w:r w:rsidRPr="000848FA">
        <w:t xml:space="preserve">Considerando que una investigación en curso en el contexto del denominado asunto </w:t>
      </w:r>
      <w:proofErr w:type="spellStart"/>
      <w:r w:rsidRPr="000848FA">
        <w:t>Qatargate</w:t>
      </w:r>
      <w:proofErr w:type="spellEnd"/>
      <w:r w:rsidRPr="000848FA">
        <w:t xml:space="preserve"> ha revelado supuestamente la existencia de una organización delictiva en el seno de las instituciones de la Unión, en particular en el Parlamento Europeo, cuyo objetivo era utilizar su red de influencias dentro de las instituciones de la Unión</w:t>
      </w:r>
      <w:r w:rsidR="00054D6F" w:rsidRPr="000848FA">
        <w:t>,</w:t>
      </w:r>
      <w:r w:rsidRPr="000848FA">
        <w:t xml:space="preserve"> en particular en lo que respecta a diputados, asistentes y otros funcionarios</w:t>
      </w:r>
      <w:r w:rsidR="00054D6F" w:rsidRPr="000848FA">
        <w:t>,</w:t>
      </w:r>
      <w:r w:rsidRPr="000848FA">
        <w:t xml:space="preserve"> con el fin de influir en el proceso de toma de decisiones del Parlamento en favor de los intereses geopolíticos de determinados terceros países;</w:t>
      </w:r>
    </w:p>
    <w:p w14:paraId="09AFF5FE" w14:textId="0AB41A1A" w:rsidR="003A6D10" w:rsidRPr="000848FA" w:rsidRDefault="003A6D10" w:rsidP="003A6D10">
      <w:pPr>
        <w:pStyle w:val="NormalHanging12a"/>
      </w:pPr>
      <w:r w:rsidRPr="000848FA">
        <w:t>C.</w:t>
      </w:r>
      <w:r w:rsidRPr="000848FA">
        <w:tab/>
        <w:t>Considerando que, según el suplicatorio</w:t>
      </w:r>
      <w:r w:rsidR="00054D6F" w:rsidRPr="000848FA">
        <w:t xml:space="preserve"> de suspensión de la inmunidad de </w:t>
      </w:r>
      <w:proofErr w:type="spellStart"/>
      <w:r w:rsidR="00054D6F" w:rsidRPr="000848FA">
        <w:t>Elisabetta</w:t>
      </w:r>
      <w:proofErr w:type="spellEnd"/>
      <w:r w:rsidR="00054D6F" w:rsidRPr="000848FA">
        <w:t xml:space="preserve"> </w:t>
      </w:r>
      <w:proofErr w:type="spellStart"/>
      <w:r w:rsidR="00054D6F" w:rsidRPr="000848FA">
        <w:t>Gualmini</w:t>
      </w:r>
      <w:proofErr w:type="spellEnd"/>
      <w:r w:rsidRPr="000848FA">
        <w:t xml:space="preserve">, en el curso de dicha investigación se ha puesto de manifiesto supuestamente que </w:t>
      </w:r>
      <w:proofErr w:type="spellStart"/>
      <w:r w:rsidRPr="000848FA">
        <w:t>Elisabetta</w:t>
      </w:r>
      <w:proofErr w:type="spellEnd"/>
      <w:r w:rsidRPr="000848FA">
        <w:t xml:space="preserve"> </w:t>
      </w:r>
      <w:proofErr w:type="spellStart"/>
      <w:r w:rsidRPr="000848FA">
        <w:t>Gualmini</w:t>
      </w:r>
      <w:proofErr w:type="spellEnd"/>
      <w:r w:rsidRPr="000848FA">
        <w:t xml:space="preserve"> pudo haber estado implicada en actos de corrupción al aceptar que la supuesta organización delictiva ejerciera su influencia con el fin de que ella obtuviera el puesto de vicepresidenta de su grupo político en octubre de 2022, a cambio de que ella ejerciera influencia desde dicho puesto dentro de ese grupo político en interés de la supuesta organización delictiva; que el proceso de nombramiento de vicepresidente del grupo político en cuestión se basa, de hecho, en un procedimiento detallado y establecido que culmina con una decisión adoptada por la asamblea plenaria del grupo </w:t>
      </w:r>
      <w:r w:rsidR="00054D6F" w:rsidRPr="000848FA">
        <w:t xml:space="preserve">político </w:t>
      </w:r>
      <w:r w:rsidRPr="000848FA">
        <w:t xml:space="preserve">de manera abierta y transparente; que, al parecer, el puesto de vicepresidente del grupo político en cuestión quedó vacante el 12 de octubre de 2022; que, de conformidad con el procedimiento establecido, el grupo político nombró a </w:t>
      </w:r>
      <w:proofErr w:type="spellStart"/>
      <w:r w:rsidRPr="000848FA">
        <w:t>Elisabetta</w:t>
      </w:r>
      <w:proofErr w:type="spellEnd"/>
      <w:r w:rsidRPr="000848FA">
        <w:t xml:space="preserve"> </w:t>
      </w:r>
      <w:proofErr w:type="spellStart"/>
      <w:r w:rsidRPr="000848FA">
        <w:t>Gualmini</w:t>
      </w:r>
      <w:proofErr w:type="spellEnd"/>
      <w:r w:rsidRPr="000848FA">
        <w:t xml:space="preserve"> vicepresidenta el 18 de octubre de 2022; que, justo después de su nombramiento, </w:t>
      </w:r>
      <w:proofErr w:type="spellStart"/>
      <w:r w:rsidRPr="000848FA">
        <w:t>Elisabetta</w:t>
      </w:r>
      <w:proofErr w:type="spellEnd"/>
      <w:r w:rsidRPr="000848FA">
        <w:t xml:space="preserve"> </w:t>
      </w:r>
      <w:proofErr w:type="spellStart"/>
      <w:r w:rsidRPr="000848FA">
        <w:t>Gualmini</w:t>
      </w:r>
      <w:proofErr w:type="spellEnd"/>
      <w:r w:rsidRPr="000848FA">
        <w:t xml:space="preserve">, al parecer, agradeció al presunto miembro dirigente de la supuesta organización delictiva el supuesto apoyo y asesoramiento recibidos en este contexto; que el presunto líder de la supuesta organización delictiva no ocupó ningún cargo en el Parlamento a partir del 1 de julio de 2019 y, además, pertenecía a un partido político nacional distinto al de </w:t>
      </w:r>
      <w:proofErr w:type="spellStart"/>
      <w:r w:rsidRPr="000848FA">
        <w:t>Elisabetta</w:t>
      </w:r>
      <w:proofErr w:type="spellEnd"/>
      <w:r w:rsidRPr="000848FA">
        <w:t xml:space="preserve"> </w:t>
      </w:r>
      <w:proofErr w:type="spellStart"/>
      <w:r w:rsidRPr="000848FA">
        <w:t>Gualmini</w:t>
      </w:r>
      <w:proofErr w:type="spellEnd"/>
      <w:r w:rsidRPr="000848FA">
        <w:t xml:space="preserve">, pero, según se desprende implícitamente del suplicatorio, sin más explicaciones, supuestamente ejerció una influencia de amplio alcance en todo el proceso de nombramiento de un vicepresidente </w:t>
      </w:r>
      <w:r w:rsidR="00054D6F" w:rsidRPr="000848FA">
        <w:t xml:space="preserve">de </w:t>
      </w:r>
      <w:r w:rsidRPr="000848FA">
        <w:t>dicho grupo político;</w:t>
      </w:r>
    </w:p>
    <w:p w14:paraId="54DC7CAE" w14:textId="2A6AD2CD" w:rsidR="003A6D10" w:rsidRPr="000848FA" w:rsidRDefault="003A6D10" w:rsidP="009A159A">
      <w:pPr>
        <w:pStyle w:val="NormalHanging12a"/>
      </w:pPr>
      <w:r w:rsidRPr="000848FA">
        <w:lastRenderedPageBreak/>
        <w:t>D.</w:t>
      </w:r>
      <w:r w:rsidRPr="000848FA">
        <w:tab/>
        <w:t xml:space="preserve">Considerando que la supuesta organización delictiva, a través de su presunta red de influencias, supuestamente intentó, según se sugiere en el suplicatorio, sin más explicaciones, imponer a </w:t>
      </w:r>
      <w:proofErr w:type="spellStart"/>
      <w:r w:rsidRPr="000848FA">
        <w:t>Elisabetta</w:t>
      </w:r>
      <w:proofErr w:type="spellEnd"/>
      <w:r w:rsidRPr="000848FA">
        <w:t xml:space="preserve"> </w:t>
      </w:r>
      <w:proofErr w:type="spellStart"/>
      <w:r w:rsidRPr="000848FA">
        <w:t>Gualmini</w:t>
      </w:r>
      <w:proofErr w:type="spellEnd"/>
      <w:r w:rsidRPr="000848FA">
        <w:t xml:space="preserve"> </w:t>
      </w:r>
      <w:r w:rsidR="00EF4E47" w:rsidRPr="000848FA">
        <w:t>para presidir</w:t>
      </w:r>
      <w:r w:rsidRPr="000848FA">
        <w:t xml:space="preserve"> la reunión de su grupo político </w:t>
      </w:r>
      <w:r w:rsidR="00054D6F" w:rsidRPr="000848FA">
        <w:t xml:space="preserve">el </w:t>
      </w:r>
      <w:r w:rsidRPr="000848FA">
        <w:t xml:space="preserve">16 de noviembre de 2022, cuyo objetivo era determinar la posición del grupo en relación con la conveniencia política de celebrar un debate en el Pleno sobre la situación en Qatar y la votación de una resolución urgente sobre </w:t>
      </w:r>
      <w:r w:rsidR="00054D6F" w:rsidRPr="000848FA">
        <w:t xml:space="preserve">dicho </w:t>
      </w:r>
      <w:r w:rsidRPr="000848FA">
        <w:t>tema;</w:t>
      </w:r>
      <w:bookmarkEnd w:id="9"/>
      <w:r w:rsidRPr="000848FA">
        <w:t xml:space="preserve"> que, supuestamente, ella solicitó o aceptó recibir instrucciones sobre el contenido de sus declaraciones en </w:t>
      </w:r>
      <w:r w:rsidR="00054D6F" w:rsidRPr="000848FA">
        <w:t xml:space="preserve">dicha </w:t>
      </w:r>
      <w:r w:rsidRPr="000848FA">
        <w:t xml:space="preserve">reunión y que, supuestamente, utilizó los argumentos que le habían dictado en el sentido de </w:t>
      </w:r>
      <w:r w:rsidR="00634C32" w:rsidRPr="000848FA">
        <w:t>que sería inconveniente</w:t>
      </w:r>
      <w:r w:rsidRPr="000848FA">
        <w:t xml:space="preserve"> celebrar un debate en el Pleno sobre Qatar y </w:t>
      </w:r>
      <w:r w:rsidR="00634C32" w:rsidRPr="000848FA">
        <w:t>obtener una</w:t>
      </w:r>
      <w:r w:rsidRPr="000848FA">
        <w:t xml:space="preserve"> resolución sobre </w:t>
      </w:r>
      <w:r w:rsidR="00634C32" w:rsidRPr="000848FA">
        <w:t xml:space="preserve">dicho </w:t>
      </w:r>
      <w:r w:rsidRPr="000848FA">
        <w:t xml:space="preserve">tema; que durante el procedimiento se tuvo conocimiento de que </w:t>
      </w:r>
      <w:proofErr w:type="spellStart"/>
      <w:r w:rsidRPr="000848FA">
        <w:t>Elisabetta</w:t>
      </w:r>
      <w:proofErr w:type="spellEnd"/>
      <w:r w:rsidRPr="000848FA">
        <w:t xml:space="preserve"> </w:t>
      </w:r>
      <w:proofErr w:type="spellStart"/>
      <w:r w:rsidRPr="000848FA">
        <w:t>Gualmini</w:t>
      </w:r>
      <w:proofErr w:type="spellEnd"/>
      <w:r w:rsidRPr="000848FA">
        <w:t>, en realidad, no presidió dicha reunión, puesto que esta función fue asumida por otro vicepresidente del grupo político</w:t>
      </w:r>
      <w:r w:rsidR="00634C32" w:rsidRPr="000848FA">
        <w:t xml:space="preserve"> en cuestión</w:t>
      </w:r>
      <w:r w:rsidRPr="000848FA">
        <w:t xml:space="preserve">, y que parece que el papel de </w:t>
      </w:r>
      <w:proofErr w:type="spellStart"/>
      <w:r w:rsidRPr="000848FA">
        <w:t>Elisabetta</w:t>
      </w:r>
      <w:proofErr w:type="spellEnd"/>
      <w:r w:rsidRPr="000848FA">
        <w:t xml:space="preserve"> </w:t>
      </w:r>
      <w:proofErr w:type="spellStart"/>
      <w:r w:rsidRPr="000848FA">
        <w:t>Gualmini</w:t>
      </w:r>
      <w:proofErr w:type="spellEnd"/>
      <w:r w:rsidRPr="000848FA">
        <w:t xml:space="preserve"> en </w:t>
      </w:r>
      <w:r w:rsidR="00634C32" w:rsidRPr="000848FA">
        <w:t xml:space="preserve">dicha </w:t>
      </w:r>
      <w:r w:rsidRPr="000848FA">
        <w:t xml:space="preserve">reunión fue simplemente presentar el punto del orden del día correspondiente a la reunión del grupo político sobre la preparación del Pleno de noviembre II de 2022; que, además, la conclusión que </w:t>
      </w:r>
      <w:proofErr w:type="spellStart"/>
      <w:r w:rsidRPr="000848FA">
        <w:t>Elisabetta</w:t>
      </w:r>
      <w:proofErr w:type="spellEnd"/>
      <w:r w:rsidRPr="000848FA">
        <w:t xml:space="preserve"> </w:t>
      </w:r>
      <w:proofErr w:type="spellStart"/>
      <w:r w:rsidRPr="000848FA">
        <w:t>Gualmini</w:t>
      </w:r>
      <w:proofErr w:type="spellEnd"/>
      <w:r w:rsidRPr="000848FA">
        <w:t xml:space="preserve"> parece haber presentado tras el debate que tuvo lugar en la reunión del grupo político en cuestión contradice las instrucciones supuestamente recibidas de la supuesta organización delictiva;</w:t>
      </w:r>
    </w:p>
    <w:p w14:paraId="29A7EF29" w14:textId="5F25C322" w:rsidR="003A6D10" w:rsidRPr="000848FA" w:rsidRDefault="003A6D10" w:rsidP="003A6D10">
      <w:pPr>
        <w:pStyle w:val="NormalHanging12a"/>
      </w:pPr>
      <w:bookmarkStart w:id="10" w:name="_Hlk210982206"/>
      <w:r w:rsidRPr="000848FA">
        <w:t>E.</w:t>
      </w:r>
      <w:r w:rsidRPr="000848FA">
        <w:tab/>
        <w:t xml:space="preserve">Considerando que, según el suplicatorio, </w:t>
      </w:r>
      <w:proofErr w:type="spellStart"/>
      <w:r w:rsidRPr="000848FA">
        <w:t>Elisabetta</w:t>
      </w:r>
      <w:proofErr w:type="spellEnd"/>
      <w:r w:rsidRPr="000848FA">
        <w:t xml:space="preserve"> </w:t>
      </w:r>
      <w:proofErr w:type="spellStart"/>
      <w:r w:rsidRPr="000848FA">
        <w:t>Gualmini</w:t>
      </w:r>
      <w:proofErr w:type="spellEnd"/>
      <w:r w:rsidRPr="000848FA">
        <w:t xml:space="preserve"> es sospechosa de haber cometido, entre el 1 de julio de 2019 y el 10 de diciembre de 2022, hechos constitutivos de delito que, con arreglo al Derecho belga, pueden calificarse de participación en una organización delictiva y de cohecho pasivo, delitos tipificados</w:t>
      </w:r>
      <w:r w:rsidR="00634C32" w:rsidRPr="000848FA">
        <w:t>, respectivamente,</w:t>
      </w:r>
      <w:r w:rsidRPr="000848FA">
        <w:t xml:space="preserve"> en los artículos 324 bis y 324 ter y los artículos 246 a 250 del Código Penal belga; que tanto el suplicatorio como la información adicional recibida de la Fiscalía Federal de Bélgica solo proporcionan indicios de supuestos actos relativos al período comprendido entre el 4 de octubre y el 2 de diciembre de 2022, dejando sin justificación el período anterior al 4 de octubre de 2022; que, por lo tanto, existe una incoherencia entre el período en el que se cometió el supuesto delito y la justificación facilitada en los motivos del suplicatorio de suspensión de la inmunidad;</w:t>
      </w:r>
    </w:p>
    <w:bookmarkEnd w:id="10"/>
    <w:p w14:paraId="2A8ECA78" w14:textId="77777777" w:rsidR="003A6D10" w:rsidRPr="000848FA" w:rsidRDefault="003A6D10" w:rsidP="003A6D10">
      <w:pPr>
        <w:pStyle w:val="NormalHanging12a"/>
      </w:pPr>
      <w:r w:rsidRPr="000848FA">
        <w:t>F.</w:t>
      </w:r>
      <w:r w:rsidRPr="000848FA">
        <w:tab/>
        <w:t>Considerando, por un lado, que el Parlamento no puede equipararse a un órgano jurisdiccional y, por otro, que el diputado, en el contexto de un procedimiento de suspensión de la inmunidad, no puede considerarse un «acusado»</w:t>
      </w:r>
      <w:r w:rsidRPr="000848FA">
        <w:rPr>
          <w:rStyle w:val="FootnoteReference"/>
        </w:rPr>
        <w:footnoteReference w:id="2"/>
      </w:r>
      <w:r w:rsidRPr="000848FA">
        <w:t>;</w:t>
      </w:r>
    </w:p>
    <w:p w14:paraId="42FA1783" w14:textId="77777777" w:rsidR="003A6D10" w:rsidRPr="000848FA" w:rsidRDefault="003A6D10" w:rsidP="003A6D10">
      <w:pPr>
        <w:pStyle w:val="NormalHanging12a"/>
      </w:pPr>
      <w:bookmarkStart w:id="11" w:name="_Hlk210982236"/>
      <w:r w:rsidRPr="000848FA">
        <w:t>G.</w:t>
      </w:r>
      <w:r w:rsidRPr="000848FA">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0F64E618" w14:textId="77777777" w:rsidR="003A6D10" w:rsidRPr="000848FA" w:rsidRDefault="003A6D10" w:rsidP="003A6D10">
      <w:pPr>
        <w:pStyle w:val="NormalHanging12a"/>
      </w:pPr>
      <w:r w:rsidRPr="000848FA">
        <w:t>H.</w:t>
      </w:r>
      <w:r w:rsidRPr="000848FA">
        <w:tab/>
        <w:t xml:space="preserve">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artículo 8 del Protocolo n.º 7 sobre los privilegios y las inmunidades de la Unión Europea constituye una disposición especial que se propone proteger la libre expresión y la independencia de los diputados al </w:t>
      </w:r>
      <w:r w:rsidRPr="000848FA">
        <w:lastRenderedPageBreak/>
        <w:t>Parlamento Europeo</w:t>
      </w:r>
      <w:r w:rsidRPr="000848FA">
        <w:rPr>
          <w:rStyle w:val="FootnoteReference"/>
        </w:rPr>
        <w:footnoteReference w:id="3"/>
      </w:r>
      <w:r w:rsidRPr="000848FA">
        <w:t xml:space="preserve">; </w:t>
      </w:r>
    </w:p>
    <w:p w14:paraId="2CDBD09B" w14:textId="77777777" w:rsidR="003A6D10" w:rsidRPr="000848FA" w:rsidRDefault="003A6D10" w:rsidP="003A6D10">
      <w:pPr>
        <w:pStyle w:val="NormalHanging12a"/>
      </w:pPr>
      <w:r w:rsidRPr="000848FA">
        <w:t>I.</w:t>
      </w:r>
      <w:r w:rsidRPr="000848FA">
        <w:tab/>
        <w:t xml:space="preserve">Considerando que los supuestos delitos no constituyen opiniones o votos emitidos por </w:t>
      </w:r>
      <w:proofErr w:type="spellStart"/>
      <w:r w:rsidRPr="000848FA">
        <w:t>Elisabetta</w:t>
      </w:r>
      <w:proofErr w:type="spellEnd"/>
      <w:r w:rsidRPr="000848FA">
        <w:t xml:space="preserve"> </w:t>
      </w:r>
      <w:proofErr w:type="spellStart"/>
      <w:r w:rsidRPr="000848FA">
        <w:t>Gualmini</w:t>
      </w:r>
      <w:proofErr w:type="spellEnd"/>
      <w:r w:rsidRPr="000848FA">
        <w:t xml:space="preserve"> en el ejercicio de sus funciones en el sentido del artículo 8 del Protocolo n.º 7 sobre los privilegios y las inmunidades de la Unión Europea, y que por tanto el suplicatorio de suspensión de la inmunidad de </w:t>
      </w:r>
      <w:proofErr w:type="spellStart"/>
      <w:r w:rsidRPr="000848FA">
        <w:t>Elisabetta</w:t>
      </w:r>
      <w:proofErr w:type="spellEnd"/>
      <w:r w:rsidRPr="000848FA">
        <w:t xml:space="preserve"> </w:t>
      </w:r>
      <w:proofErr w:type="spellStart"/>
      <w:r w:rsidRPr="000848FA">
        <w:t>Gualmini</w:t>
      </w:r>
      <w:proofErr w:type="spellEnd"/>
      <w:r w:rsidRPr="000848FA">
        <w:t xml:space="preserve"> resultante no está relacionado con tales opiniones o votos;</w:t>
      </w:r>
    </w:p>
    <w:p w14:paraId="07DE9265" w14:textId="46C4B892" w:rsidR="003A6D10" w:rsidRPr="000848FA" w:rsidRDefault="003A6D10" w:rsidP="003A6D10">
      <w:pPr>
        <w:pStyle w:val="NormalHanging12a"/>
      </w:pPr>
      <w:bookmarkStart w:id="12" w:name="_Hlk210982264"/>
      <w:bookmarkEnd w:id="11"/>
      <w:r w:rsidRPr="000848FA">
        <w:t>J.</w:t>
      </w:r>
      <w:r w:rsidRPr="000848FA">
        <w:tab/>
      </w:r>
      <w:r w:rsidR="00634C32" w:rsidRPr="000848FA">
        <w:t>Considerando que el artículo 9, párrafo primero, letra b), del Protocolo n.º 7 sobre los privilegios y las inmunidades de la Unión Europea establece que, mientras el Parlamento Europeo esté en per</w:t>
      </w:r>
      <w:r w:rsidR="00C52B68" w:rsidRPr="000848FA">
        <w:t>í</w:t>
      </w:r>
      <w:r w:rsidR="00634C32" w:rsidRPr="000848FA">
        <w:t xml:space="preserve">odo de sesiones, sus miembros </w:t>
      </w:r>
      <w:r w:rsidR="00C52B68" w:rsidRPr="000848FA">
        <w:t xml:space="preserve">han de </w:t>
      </w:r>
      <w:r w:rsidR="00634C32" w:rsidRPr="000848FA">
        <w:t>goza</w:t>
      </w:r>
      <w:r w:rsidR="00C52B68" w:rsidRPr="000848FA">
        <w:t>r</w:t>
      </w:r>
      <w:r w:rsidR="00634C32" w:rsidRPr="000848FA">
        <w:t>, en el territorio de cualquier Estado miembro distinto del suyo, de inmunidad frente a toda medida de detención y a toda actuación judicial</w:t>
      </w:r>
      <w:r w:rsidRPr="000848FA">
        <w:t>;</w:t>
      </w:r>
      <w:bookmarkEnd w:id="12"/>
    </w:p>
    <w:p w14:paraId="00A2D622" w14:textId="77777777" w:rsidR="003A6D10" w:rsidRPr="000848FA" w:rsidRDefault="003A6D10" w:rsidP="003A6D10">
      <w:pPr>
        <w:pStyle w:val="NormalHanging12a"/>
      </w:pPr>
      <w:bookmarkStart w:id="13" w:name="_Hlk210982279"/>
      <w:r w:rsidRPr="000848FA">
        <w:t xml:space="preserve">K. </w:t>
      </w:r>
      <w:r w:rsidRPr="000848FA">
        <w:tab/>
        <w:t>Considerando que, de conformidad con el artículo 5, apartado 2, del Reglamento interno del Parlamento, la inmunidad parlamentaria no es un privilegio personal del diputado, sino una garantía de independencia del Parlamento Europeo en su conjunto y de sus diputados;</w:t>
      </w:r>
    </w:p>
    <w:p w14:paraId="01FD74A0" w14:textId="77777777" w:rsidR="003A6D10" w:rsidRPr="000848FA" w:rsidRDefault="003A6D10" w:rsidP="003A6D10">
      <w:pPr>
        <w:pStyle w:val="NormalHanging12a"/>
        <w:widowControl/>
      </w:pPr>
      <w:r w:rsidRPr="000848FA">
        <w:t>L.</w:t>
      </w:r>
      <w:r w:rsidRPr="000848FA">
        <w:tab/>
        <w:t>Considerando que de la jurisprudencia del Tribunal de Justicia de la Unión Europea se desprende que el Parlamento goza de «una amplia facultad de apreciación acerca de la orientación que pretende dar a una decisión por la que se resuelve un suplicatorio de suspensión de la inmunidad [...], dado el carácter político que reviste tal decisión»</w:t>
      </w:r>
      <w:r w:rsidRPr="000848FA">
        <w:rPr>
          <w:vertAlign w:val="superscript"/>
        </w:rPr>
        <w:footnoteReference w:id="4"/>
      </w:r>
      <w:r w:rsidRPr="000848FA">
        <w:t>;</w:t>
      </w:r>
    </w:p>
    <w:p w14:paraId="736FE049" w14:textId="5FECD220" w:rsidR="003A6D10" w:rsidRPr="000848FA" w:rsidRDefault="003A6D10" w:rsidP="003A6D10">
      <w:pPr>
        <w:pStyle w:val="NormalHanging12a"/>
      </w:pPr>
      <w:r w:rsidRPr="000848FA">
        <w:t>M.</w:t>
      </w:r>
      <w:r w:rsidRPr="000848FA">
        <w:tab/>
        <w:t xml:space="preserve">Considerando que cualquier conclusión sobre el suplicatorio de suspensión de la inmunidad </w:t>
      </w:r>
      <w:r w:rsidR="00634C32" w:rsidRPr="000848FA">
        <w:t xml:space="preserve">de </w:t>
      </w:r>
      <w:proofErr w:type="spellStart"/>
      <w:r w:rsidR="00634C32" w:rsidRPr="000848FA">
        <w:t>Elisabetta</w:t>
      </w:r>
      <w:proofErr w:type="spellEnd"/>
      <w:r w:rsidR="00634C32" w:rsidRPr="000848FA">
        <w:t xml:space="preserve"> </w:t>
      </w:r>
      <w:proofErr w:type="spellStart"/>
      <w:r w:rsidR="00634C32" w:rsidRPr="000848FA">
        <w:t>Gualmini</w:t>
      </w:r>
      <w:proofErr w:type="spellEnd"/>
      <w:r w:rsidR="00634C32" w:rsidRPr="000848FA">
        <w:t xml:space="preserve"> </w:t>
      </w:r>
      <w:r w:rsidRPr="000848FA">
        <w:t>debe extraerse sobre la base de la información y las explicaciones facilitadas en este caso, en particular las facilitadas por la Fiscalía Federal de Bélgica; que la descripción de los hechos alegados y las consiguientes conclusiones en el suplicatorio de suspensión, a falta de explicaciones más detalladas, parece</w:t>
      </w:r>
      <w:r w:rsidR="006B292C" w:rsidRPr="000848FA">
        <w:t>n</w:t>
      </w:r>
      <w:r w:rsidRPr="000848FA">
        <w:t xml:space="preserve"> ser incoherente</w:t>
      </w:r>
      <w:r w:rsidR="00C52B68" w:rsidRPr="000848FA">
        <w:t>s</w:t>
      </w:r>
      <w:r w:rsidRPr="000848FA">
        <w:t xml:space="preserve">, basarse en presunciones </w:t>
      </w:r>
      <w:r w:rsidR="006B292C" w:rsidRPr="000848FA">
        <w:t xml:space="preserve">e </w:t>
      </w:r>
      <w:r w:rsidRPr="000848FA">
        <w:t xml:space="preserve">insinuaciones o no respetar los procesos políticos establecidos en el Parlamento en relación con el nombramiento de vicepresidentes </w:t>
      </w:r>
      <w:r w:rsidR="006B292C" w:rsidRPr="000848FA">
        <w:t xml:space="preserve">de </w:t>
      </w:r>
      <w:r w:rsidRPr="000848FA">
        <w:t>los grupos políticos y la preparación y conclusión de posiciones internas dentro de un grupo político; que no parece haberse demostrado ninguna contrapartida clara</w:t>
      </w:r>
      <w:r w:rsidR="006B292C" w:rsidRPr="000848FA">
        <w:t>,</w:t>
      </w:r>
      <w:r w:rsidRPr="000848FA">
        <w:t xml:space="preserve"> y que no se ha demostrado suficientemente ningún beneficio personal para </w:t>
      </w:r>
      <w:proofErr w:type="spellStart"/>
      <w:r w:rsidRPr="000848FA">
        <w:t>Elisabetta</w:t>
      </w:r>
      <w:proofErr w:type="spellEnd"/>
      <w:r w:rsidRPr="000848FA">
        <w:t xml:space="preserve"> </w:t>
      </w:r>
      <w:proofErr w:type="spellStart"/>
      <w:r w:rsidRPr="000848FA">
        <w:t>Gualmini</w:t>
      </w:r>
      <w:proofErr w:type="spellEnd"/>
      <w:r w:rsidRPr="000848FA">
        <w:t xml:space="preserve"> que se derive inequívocamente de los supuestos hechos presentados en el suplicatorio; </w:t>
      </w:r>
    </w:p>
    <w:p w14:paraId="25FC44C5" w14:textId="1139F341" w:rsidR="003A6D10" w:rsidRPr="000848FA" w:rsidRDefault="003A6D10" w:rsidP="003A6D10">
      <w:pPr>
        <w:pStyle w:val="NormalHanging12a"/>
      </w:pPr>
      <w:r w:rsidRPr="000848FA">
        <w:t>N.</w:t>
      </w:r>
      <w:r w:rsidRPr="000848FA">
        <w:tab/>
        <w:t xml:space="preserve">Considerando que, además, los supuestos hechos expuestos en el suplicatorio de suspensión de la inmunidad de </w:t>
      </w:r>
      <w:proofErr w:type="spellStart"/>
      <w:r w:rsidRPr="000848FA">
        <w:t>Elisabetta</w:t>
      </w:r>
      <w:proofErr w:type="spellEnd"/>
      <w:r w:rsidRPr="000848FA">
        <w:t xml:space="preserve"> </w:t>
      </w:r>
      <w:proofErr w:type="spellStart"/>
      <w:r w:rsidRPr="000848FA">
        <w:t>Gualmini</w:t>
      </w:r>
      <w:proofErr w:type="spellEnd"/>
      <w:r w:rsidRPr="000848FA">
        <w:t xml:space="preserve"> no respetan el contexto indisociable y el vínculo con las actividades políticas habituales de un grupo político o con las </w:t>
      </w:r>
      <w:r w:rsidR="006B292C" w:rsidRPr="000848FA">
        <w:t xml:space="preserve">actividades políticas habituales </w:t>
      </w:r>
      <w:r w:rsidR="00C52B68" w:rsidRPr="000848FA">
        <w:t xml:space="preserve">que </w:t>
      </w:r>
      <w:r w:rsidRPr="000848FA">
        <w:t>lleva</w:t>
      </w:r>
      <w:r w:rsidR="00C52B68" w:rsidRPr="000848FA">
        <w:t>n</w:t>
      </w:r>
      <w:r w:rsidRPr="000848FA">
        <w:t xml:space="preserve"> a cabo los diputados dentro de un grupo político; que los grupos políticos del Parlamento están constituidos en virtud de su Reglamento interno y se rigen por este, desempeñan un papel fundamental </w:t>
      </w:r>
      <w:r w:rsidR="006B292C" w:rsidRPr="000848FA">
        <w:t xml:space="preserve">en </w:t>
      </w:r>
      <w:r w:rsidRPr="000848FA">
        <w:t xml:space="preserve">la organización interna y el trabajo del Parlamento como institución y son cruciales para su función democrática esencial; que, en particular, los grupos políticos ejercen sus funciones en el marco de las actividades de la Unión, incluidas las tareas que les </w:t>
      </w:r>
      <w:r w:rsidRPr="000848FA">
        <w:lastRenderedPageBreak/>
        <w:t>atribuye el Reglamento interno del Parlamento;</w:t>
      </w:r>
    </w:p>
    <w:p w14:paraId="59E7089D" w14:textId="77777777" w:rsidR="003A6D10" w:rsidRPr="000848FA" w:rsidRDefault="003A6D10" w:rsidP="003A6D10">
      <w:pPr>
        <w:pStyle w:val="NormalHanging12a"/>
      </w:pPr>
      <w:r w:rsidRPr="000848FA">
        <w:t>O.</w:t>
      </w:r>
      <w:r w:rsidRPr="000848FA">
        <w:tab/>
        <w:t>Considerando que el objetivo de la inmunidad parlamentaria no es proteger las irregularidades, sino proteger el funcionamiento democrático del Parlamento;</w:t>
      </w:r>
    </w:p>
    <w:p w14:paraId="0F426114" w14:textId="7735C08E" w:rsidR="003A6D10" w:rsidRPr="000848FA" w:rsidRDefault="003A6D10" w:rsidP="003A6D10">
      <w:pPr>
        <w:pStyle w:val="NormalHanging12a"/>
      </w:pPr>
      <w:r w:rsidRPr="000848FA">
        <w:t>P.</w:t>
      </w:r>
      <w:r w:rsidRPr="000848FA">
        <w:tab/>
        <w:t xml:space="preserve">Considerando que, sobre la base de lo anterior, las incoherencias en cuanto al período en el que se cometió el supuesto delito y la justificación aportada, las incertidumbres en cuanto a los elementos en los que se basa el suplicatorio de suspensión de la inmunidad </w:t>
      </w:r>
      <w:r w:rsidR="006B292C" w:rsidRPr="000848FA">
        <w:t xml:space="preserve">de </w:t>
      </w:r>
      <w:proofErr w:type="spellStart"/>
      <w:r w:rsidR="006B292C" w:rsidRPr="000848FA">
        <w:t>Elisabetta</w:t>
      </w:r>
      <w:proofErr w:type="spellEnd"/>
      <w:r w:rsidR="006B292C" w:rsidRPr="000848FA">
        <w:t xml:space="preserve"> </w:t>
      </w:r>
      <w:proofErr w:type="spellStart"/>
      <w:r w:rsidR="006B292C" w:rsidRPr="000848FA">
        <w:t>Gualmini</w:t>
      </w:r>
      <w:proofErr w:type="spellEnd"/>
      <w:r w:rsidR="006B292C" w:rsidRPr="000848FA">
        <w:t xml:space="preserve"> </w:t>
      </w:r>
      <w:r w:rsidRPr="000848FA">
        <w:t xml:space="preserve">y los motivos del suplicatorio, así como la falta de pruebas o explicaciones suficientes de la supuesta irregularidad, también en el contexto de los procesos políticos establecidos, suscitan preocupación por el hecho de que la intención subyacente al procedimiento pueda haber sido dañar la reputación de la diputada en cuestión e indican que no existen elementos suficientes para que el Parlamento </w:t>
      </w:r>
      <w:r w:rsidR="005D0B84" w:rsidRPr="000848FA">
        <w:t>establezca</w:t>
      </w:r>
      <w:r w:rsidR="00C52B68" w:rsidRPr="000848FA">
        <w:t xml:space="preserve"> </w:t>
      </w:r>
      <w:r w:rsidRPr="000848FA">
        <w:t>un motivo serio y bien fundado para suspender la inmunidad</w:t>
      </w:r>
      <w:r w:rsidR="006B292C" w:rsidRPr="000848FA">
        <w:t xml:space="preserve"> de </w:t>
      </w:r>
      <w:proofErr w:type="spellStart"/>
      <w:r w:rsidR="006B292C" w:rsidRPr="000848FA">
        <w:t>Elisabetta</w:t>
      </w:r>
      <w:proofErr w:type="spellEnd"/>
      <w:r w:rsidR="006B292C" w:rsidRPr="000848FA">
        <w:t xml:space="preserve"> </w:t>
      </w:r>
      <w:proofErr w:type="spellStart"/>
      <w:r w:rsidR="006B292C" w:rsidRPr="000848FA">
        <w:t>Gualmini</w:t>
      </w:r>
      <w:proofErr w:type="spellEnd"/>
      <w:r w:rsidRPr="000848FA">
        <w:t>;</w:t>
      </w:r>
    </w:p>
    <w:p w14:paraId="00930147" w14:textId="77777777" w:rsidR="003A6D10" w:rsidRPr="000848FA" w:rsidRDefault="003A6D10" w:rsidP="003A6D10">
      <w:pPr>
        <w:pStyle w:val="NormalHanging12a"/>
      </w:pPr>
      <w:r w:rsidRPr="000848FA">
        <w:t>Q.</w:t>
      </w:r>
      <w:r w:rsidRPr="000848FA">
        <w:tab/>
        <w:t xml:space="preserve">Considerando que, por tanto, se trata al parecer de un caso en el que puede suponerse la existencia de </w:t>
      </w:r>
      <w:proofErr w:type="spellStart"/>
      <w:r w:rsidRPr="000848FA">
        <w:rPr>
          <w:i/>
        </w:rPr>
        <w:t>fumus</w:t>
      </w:r>
      <w:proofErr w:type="spellEnd"/>
      <w:r w:rsidRPr="000848FA">
        <w:rPr>
          <w:i/>
        </w:rPr>
        <w:t xml:space="preserve"> </w:t>
      </w:r>
      <w:proofErr w:type="spellStart"/>
      <w:r w:rsidRPr="000848FA">
        <w:rPr>
          <w:i/>
        </w:rPr>
        <w:t>persecutionis</w:t>
      </w:r>
      <w:proofErr w:type="spellEnd"/>
      <w:r w:rsidRPr="000848FA">
        <w:t>, es decir, de «elementos de hecho»</w:t>
      </w:r>
      <w:r w:rsidRPr="000848FA">
        <w:rPr>
          <w:vertAlign w:val="superscript"/>
        </w:rPr>
        <w:footnoteReference w:id="5"/>
      </w:r>
      <w:r w:rsidRPr="000848FA">
        <w:t xml:space="preserve"> que apunten a que el procedimiento judicial en cuestión se ha iniciado con la intención de dañar la actividad política de </w:t>
      </w:r>
      <w:proofErr w:type="spellStart"/>
      <w:r w:rsidRPr="000848FA">
        <w:t>Elisabetta</w:t>
      </w:r>
      <w:proofErr w:type="spellEnd"/>
      <w:r w:rsidRPr="000848FA">
        <w:t xml:space="preserve"> </w:t>
      </w:r>
      <w:proofErr w:type="spellStart"/>
      <w:r w:rsidRPr="000848FA">
        <w:t>Gualmini</w:t>
      </w:r>
      <w:proofErr w:type="spellEnd"/>
      <w:r w:rsidRPr="000848FA">
        <w:t xml:space="preserve"> y por ende la del Parlamento en su conjunto, incluida la de su proceso interno de toma de decisiones políticas expresado a través del trabajo establecido y periódico de un grupo político;</w:t>
      </w:r>
      <w:bookmarkEnd w:id="13"/>
    </w:p>
    <w:p w14:paraId="22A4BF6F" w14:textId="77777777" w:rsidR="003A6D10" w:rsidRPr="000848FA" w:rsidRDefault="003A6D10" w:rsidP="003A6D10">
      <w:pPr>
        <w:pStyle w:val="NormalHanging12a"/>
      </w:pPr>
      <w:r w:rsidRPr="000848FA">
        <w:t>1.</w:t>
      </w:r>
      <w:r w:rsidRPr="000848FA">
        <w:tab/>
        <w:t xml:space="preserve">Decide no suspender la inmunidad parlamentaria de </w:t>
      </w:r>
      <w:proofErr w:type="spellStart"/>
      <w:r w:rsidRPr="000848FA">
        <w:t>Elisabetta</w:t>
      </w:r>
      <w:proofErr w:type="spellEnd"/>
      <w:r w:rsidRPr="000848FA">
        <w:t xml:space="preserve"> </w:t>
      </w:r>
      <w:proofErr w:type="spellStart"/>
      <w:r w:rsidRPr="000848FA">
        <w:t>Gualmini</w:t>
      </w:r>
      <w:proofErr w:type="spellEnd"/>
      <w:r w:rsidRPr="000848FA">
        <w:t>;</w:t>
      </w:r>
    </w:p>
    <w:p w14:paraId="03E20361" w14:textId="686A227B" w:rsidR="00E365E1" w:rsidRPr="000848FA" w:rsidRDefault="003A6D10" w:rsidP="00054D6F">
      <w:pPr>
        <w:pStyle w:val="NormalHanging12a"/>
      </w:pPr>
      <w:r w:rsidRPr="000848FA">
        <w:t>2.</w:t>
      </w:r>
      <w:r w:rsidRPr="000848FA">
        <w:tab/>
        <w:t xml:space="preserve">Encarga a su presidenta que transmita inmediatamente la presente Decisión y el informe de la comisión competente a la autoridad competente del Reino de Bélgica y a </w:t>
      </w:r>
      <w:proofErr w:type="spellStart"/>
      <w:r w:rsidRPr="000848FA">
        <w:t>Elisabetta</w:t>
      </w:r>
      <w:proofErr w:type="spellEnd"/>
      <w:r w:rsidRPr="000848FA">
        <w:t xml:space="preserve"> </w:t>
      </w:r>
      <w:proofErr w:type="spellStart"/>
      <w:r w:rsidRPr="000848FA">
        <w:t>Gualmini</w:t>
      </w:r>
      <w:proofErr w:type="spellEnd"/>
      <w:r w:rsidRPr="000848FA">
        <w:t>.</w:t>
      </w:r>
    </w:p>
    <w:sectPr w:rsidR="00E365E1" w:rsidRPr="000848FA" w:rsidSect="009A55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2E79F" w14:textId="77777777" w:rsidR="0024579C" w:rsidRPr="009A55A3" w:rsidRDefault="0024579C">
      <w:r w:rsidRPr="009A55A3">
        <w:separator/>
      </w:r>
    </w:p>
  </w:endnote>
  <w:endnote w:type="continuationSeparator" w:id="0">
    <w:p w14:paraId="5B0FC17B" w14:textId="77777777" w:rsidR="0024579C" w:rsidRPr="009A55A3" w:rsidRDefault="0024579C">
      <w:r w:rsidRPr="009A55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95149" w14:textId="77777777" w:rsidR="00064002" w:rsidRPr="009A55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B0F0" w14:textId="77777777" w:rsidR="00064002" w:rsidRPr="009A55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0BA9E" w14:textId="77777777" w:rsidR="00064002" w:rsidRPr="009A55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74560" w14:textId="77777777" w:rsidR="0024579C" w:rsidRPr="009A55A3" w:rsidRDefault="0024579C">
      <w:r w:rsidRPr="009A55A3">
        <w:separator/>
      </w:r>
    </w:p>
  </w:footnote>
  <w:footnote w:type="continuationSeparator" w:id="0">
    <w:p w14:paraId="23F192A2" w14:textId="77777777" w:rsidR="0024579C" w:rsidRPr="009A55A3" w:rsidRDefault="0024579C">
      <w:r w:rsidRPr="009A55A3">
        <w:continuationSeparator/>
      </w:r>
    </w:p>
  </w:footnote>
  <w:footnote w:id="1">
    <w:p w14:paraId="6E3D934E" w14:textId="07739AB8" w:rsidR="003A6D10" w:rsidRPr="009A55A3" w:rsidRDefault="003A6D10" w:rsidP="009A55A3">
      <w:pPr>
        <w:pStyle w:val="FootnoteText"/>
        <w:ind w:left="567" w:hanging="567"/>
        <w:rPr>
          <w:sz w:val="24"/>
          <w:lang w:val="es-ES_tradnl"/>
        </w:rPr>
      </w:pPr>
      <w:r w:rsidRPr="009A55A3">
        <w:rPr>
          <w:rStyle w:val="FootnoteReference"/>
          <w:sz w:val="24"/>
          <w:lang w:val="es-ES_tradnl"/>
        </w:rPr>
        <w:footnoteRef/>
      </w:r>
      <w:r w:rsidR="009A55A3" w:rsidRPr="009A55A3">
        <w:rPr>
          <w:sz w:val="24"/>
          <w:lang w:val="es-ES_tradnl"/>
        </w:rPr>
        <w:t xml:space="preserve"> </w:t>
      </w:r>
      <w:r w:rsidR="009A55A3" w:rsidRPr="009A55A3">
        <w:rPr>
          <w:sz w:val="24"/>
          <w:lang w:val="es-ES_tradnl"/>
        </w:rPr>
        <w:tab/>
      </w:r>
      <w:r w:rsidRPr="009A55A3">
        <w:rPr>
          <w:sz w:val="24"/>
          <w:lang w:val="es-ES_tradnl"/>
        </w:rPr>
        <w:t> Sentencia del Tribunal de Justicia de 21 de octubre de 2008, Marra / De Gregorio y Clemente, C-200/07 y C-201/07, ECLI:EU:C:2008:579; sentencia del Tribunal General de 19 de marzo de 2010, Gollnisch/Parlamento, T-42/06, ECLI:EU:T:2010:102; sentencia del Tribunal de Justicia de 6 de septiembre de 2011, Patriciello, C-163/10, ECLI:EU:C:2011:543; sentencia del Tribunal General de 17 de enero de 2013, Gollnisch/Parlamento, T-346/11 y T-347/11, ECLI:EU:T:2013:23; sentencia del Tribunal de Justicia de 19 de diciembre de 2019, Junqueras Vies, C-502/19, ECLI:EU:C:2019:1115; sentencia del Tribunal General de 5 de julio de 2023, Puigdemont i Casamajó y otros / Parlamento, T-272/21, ECLI:EU:T:2023:373.</w:t>
      </w:r>
    </w:p>
  </w:footnote>
  <w:footnote w:id="2">
    <w:p w14:paraId="4B49163A" w14:textId="0A020592" w:rsidR="003A6D10" w:rsidRPr="009A55A3" w:rsidRDefault="003A6D10" w:rsidP="009A55A3">
      <w:pPr>
        <w:pStyle w:val="FootnoteText"/>
        <w:ind w:left="567" w:hanging="567"/>
        <w:rPr>
          <w:sz w:val="24"/>
          <w:lang w:val="es-ES_tradnl"/>
        </w:rPr>
      </w:pPr>
      <w:r w:rsidRPr="009A55A3">
        <w:rPr>
          <w:rStyle w:val="FootnoteReference"/>
          <w:sz w:val="24"/>
          <w:lang w:val="es-ES_tradnl"/>
        </w:rPr>
        <w:footnoteRef/>
      </w:r>
      <w:r w:rsidR="009A55A3" w:rsidRPr="009A55A3">
        <w:rPr>
          <w:sz w:val="24"/>
          <w:lang w:val="es-ES_tradnl"/>
        </w:rPr>
        <w:t xml:space="preserve"> </w:t>
      </w:r>
      <w:r w:rsidR="009A55A3" w:rsidRPr="009A55A3">
        <w:rPr>
          <w:sz w:val="24"/>
          <w:lang w:val="es-ES_tradnl"/>
        </w:rPr>
        <w:tab/>
      </w:r>
      <w:r w:rsidRPr="009A55A3">
        <w:rPr>
          <w:sz w:val="24"/>
          <w:lang w:val="es-ES_tradnl"/>
        </w:rPr>
        <w:t>Sentencia del Tribunal General de 30 de abril de 2019, Briois/Parlamento, T-214/18, ECLI:EU:T:2019:266.</w:t>
      </w:r>
    </w:p>
  </w:footnote>
  <w:footnote w:id="3">
    <w:p w14:paraId="4DE68D1B" w14:textId="2D1D488F" w:rsidR="003A6D10" w:rsidRPr="009A55A3" w:rsidRDefault="003A6D10" w:rsidP="009A55A3">
      <w:pPr>
        <w:pStyle w:val="FootnoteText"/>
        <w:ind w:left="567" w:hanging="567"/>
        <w:rPr>
          <w:sz w:val="24"/>
          <w:lang w:val="es-ES_tradnl"/>
        </w:rPr>
      </w:pPr>
      <w:r w:rsidRPr="009A55A3">
        <w:rPr>
          <w:rStyle w:val="FootnoteReference"/>
          <w:sz w:val="24"/>
          <w:lang w:val="es-ES_tradnl"/>
        </w:rPr>
        <w:footnoteRef/>
      </w:r>
      <w:r w:rsidR="009A55A3" w:rsidRPr="009A55A3">
        <w:rPr>
          <w:sz w:val="24"/>
          <w:lang w:val="es-ES_tradnl"/>
        </w:rPr>
        <w:t xml:space="preserve"> </w:t>
      </w:r>
      <w:r w:rsidR="009A55A3" w:rsidRPr="009A55A3">
        <w:rPr>
          <w:sz w:val="24"/>
          <w:lang w:val="es-ES_tradnl"/>
        </w:rPr>
        <w:tab/>
      </w:r>
      <w:r w:rsidRPr="009A55A3">
        <w:rPr>
          <w:sz w:val="24"/>
          <w:lang w:val="es-ES_tradnl"/>
        </w:rPr>
        <w:t>Sentencia del Tribunal de Justicia de 6 de septiembre de 2011, Patriciello, C‑163/10, ECLI:EU:C:2011:543, apartado 26.</w:t>
      </w:r>
    </w:p>
  </w:footnote>
  <w:footnote w:id="4">
    <w:p w14:paraId="20C01D14" w14:textId="4B1B5A6C" w:rsidR="003A6D10" w:rsidRPr="009A55A3" w:rsidRDefault="003A6D10" w:rsidP="009A55A3">
      <w:pPr>
        <w:pStyle w:val="FootnoteText"/>
        <w:ind w:left="567" w:hanging="567"/>
        <w:rPr>
          <w:sz w:val="24"/>
          <w:lang w:val="es-ES_tradnl"/>
        </w:rPr>
      </w:pPr>
      <w:r w:rsidRPr="009A55A3">
        <w:rPr>
          <w:rStyle w:val="FootnoteReference"/>
          <w:sz w:val="24"/>
          <w:lang w:val="es-ES_tradnl"/>
        </w:rPr>
        <w:footnoteRef/>
      </w:r>
      <w:r w:rsidR="009A55A3" w:rsidRPr="009A55A3">
        <w:rPr>
          <w:sz w:val="24"/>
          <w:lang w:val="es-ES_tradnl"/>
        </w:rPr>
        <w:t xml:space="preserve"> </w:t>
      </w:r>
      <w:r w:rsidR="009A55A3" w:rsidRPr="009A55A3">
        <w:rPr>
          <w:sz w:val="24"/>
          <w:lang w:val="es-ES_tradnl"/>
        </w:rPr>
        <w:tab/>
      </w:r>
      <w:r w:rsidRPr="009A55A3">
        <w:rPr>
          <w:sz w:val="24"/>
          <w:lang w:val="es-ES_tradnl"/>
        </w:rPr>
        <w:t>Sentencia del Tribunal General de 17 de enero de 2013, Gollnisch/Parlamento, T-346/11 y T-347/11, ECLI:EU:T:2013:23, apartado 59 y la jurisprudencia citada.</w:t>
      </w:r>
    </w:p>
  </w:footnote>
  <w:footnote w:id="5">
    <w:p w14:paraId="05283AB2" w14:textId="14CF0EB7" w:rsidR="003A6D10" w:rsidRPr="009A55A3" w:rsidRDefault="003A6D10" w:rsidP="009A55A3">
      <w:pPr>
        <w:pStyle w:val="FootnoteText"/>
        <w:ind w:left="567" w:hanging="567"/>
        <w:rPr>
          <w:sz w:val="24"/>
          <w:lang w:val="es-ES_tradnl"/>
        </w:rPr>
      </w:pPr>
      <w:r w:rsidRPr="009A55A3">
        <w:rPr>
          <w:rStyle w:val="FootnoteReference"/>
          <w:sz w:val="24"/>
          <w:lang w:val="es-ES_tradnl"/>
        </w:rPr>
        <w:footnoteRef/>
      </w:r>
      <w:r w:rsidR="009A55A3" w:rsidRPr="009A55A3">
        <w:rPr>
          <w:sz w:val="24"/>
          <w:lang w:val="es-ES_tradnl"/>
        </w:rPr>
        <w:t xml:space="preserve"> </w:t>
      </w:r>
      <w:r w:rsidR="009A55A3" w:rsidRPr="009A55A3">
        <w:rPr>
          <w:sz w:val="24"/>
          <w:lang w:val="es-ES_tradnl"/>
        </w:rPr>
        <w:tab/>
      </w:r>
      <w:r w:rsidRPr="009A55A3">
        <w:rPr>
          <w:sz w:val="24"/>
          <w:lang w:val="es-ES_tradnl"/>
        </w:rPr>
        <w:t>Sentencia del Tribunal de Justicia de 17 de septiembre de 2020, Troszczynski/Parlamento, C-12/19 P, ECLI:EU:C:2020:725, apartado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34E5" w14:textId="77777777" w:rsidR="00064002" w:rsidRPr="009A55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1DB11" w14:textId="77777777" w:rsidR="00064002" w:rsidRPr="009A55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A423" w14:textId="77777777" w:rsidR="00064002" w:rsidRPr="009A55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844147">
    <w:abstractNumId w:val="9"/>
  </w:num>
  <w:num w:numId="2" w16cid:durableId="165680282">
    <w:abstractNumId w:val="9"/>
  </w:num>
  <w:num w:numId="3" w16cid:durableId="410781370">
    <w:abstractNumId w:val="7"/>
  </w:num>
  <w:num w:numId="4" w16cid:durableId="1743019151">
    <w:abstractNumId w:val="7"/>
  </w:num>
  <w:num w:numId="5" w16cid:durableId="445464641">
    <w:abstractNumId w:val="6"/>
  </w:num>
  <w:num w:numId="6" w16cid:durableId="951866509">
    <w:abstractNumId w:val="6"/>
  </w:num>
  <w:num w:numId="7" w16cid:durableId="1942028758">
    <w:abstractNumId w:val="5"/>
  </w:num>
  <w:num w:numId="8" w16cid:durableId="1239091977">
    <w:abstractNumId w:val="5"/>
  </w:num>
  <w:num w:numId="9" w16cid:durableId="2010864708">
    <w:abstractNumId w:val="4"/>
  </w:num>
  <w:num w:numId="10" w16cid:durableId="1597783844">
    <w:abstractNumId w:val="4"/>
  </w:num>
  <w:num w:numId="11" w16cid:durableId="1842770755">
    <w:abstractNumId w:val="8"/>
  </w:num>
  <w:num w:numId="12" w16cid:durableId="792796391">
    <w:abstractNumId w:val="8"/>
  </w:num>
  <w:num w:numId="13" w16cid:durableId="1515918530">
    <w:abstractNumId w:val="3"/>
  </w:num>
  <w:num w:numId="14" w16cid:durableId="1248542596">
    <w:abstractNumId w:val="3"/>
  </w:num>
  <w:num w:numId="15" w16cid:durableId="1649901366">
    <w:abstractNumId w:val="2"/>
  </w:num>
  <w:num w:numId="16" w16cid:durableId="1663587348">
    <w:abstractNumId w:val="2"/>
  </w:num>
  <w:num w:numId="17" w16cid:durableId="2029524214">
    <w:abstractNumId w:val="1"/>
  </w:num>
  <w:num w:numId="18" w16cid:durableId="2009167686">
    <w:abstractNumId w:val="1"/>
  </w:num>
  <w:num w:numId="19" w16cid:durableId="54856664">
    <w:abstractNumId w:val="0"/>
  </w:num>
  <w:num w:numId="20" w16cid:durableId="1414737272">
    <w:abstractNumId w:val="0"/>
  </w:num>
  <w:num w:numId="21" w16cid:durableId="1005330008">
    <w:abstractNumId w:val="9"/>
  </w:num>
  <w:num w:numId="22" w16cid:durableId="1600529195">
    <w:abstractNumId w:val="7"/>
  </w:num>
  <w:num w:numId="23" w16cid:durableId="737169445">
    <w:abstractNumId w:val="6"/>
  </w:num>
  <w:num w:numId="24" w16cid:durableId="959411296">
    <w:abstractNumId w:val="5"/>
  </w:num>
  <w:num w:numId="25" w16cid:durableId="1602562793">
    <w:abstractNumId w:val="4"/>
  </w:num>
  <w:num w:numId="26" w16cid:durableId="1327904275">
    <w:abstractNumId w:val="8"/>
  </w:num>
  <w:num w:numId="27" w16cid:durableId="1585217260">
    <w:abstractNumId w:val="3"/>
  </w:num>
  <w:num w:numId="28" w16cid:durableId="705640566">
    <w:abstractNumId w:val="2"/>
  </w:num>
  <w:num w:numId="29" w16cid:durableId="2019690666">
    <w:abstractNumId w:val="1"/>
  </w:num>
  <w:num w:numId="30" w16cid:durableId="528642768">
    <w:abstractNumId w:val="0"/>
  </w:num>
  <w:num w:numId="31" w16cid:durableId="1760254738">
    <w:abstractNumId w:val="9"/>
  </w:num>
  <w:num w:numId="32" w16cid:durableId="583103888">
    <w:abstractNumId w:val="7"/>
  </w:num>
  <w:num w:numId="33" w16cid:durableId="155151291">
    <w:abstractNumId w:val="6"/>
  </w:num>
  <w:num w:numId="34" w16cid:durableId="1805660981">
    <w:abstractNumId w:val="5"/>
  </w:num>
  <w:num w:numId="35" w16cid:durableId="1247955974">
    <w:abstractNumId w:val="4"/>
  </w:num>
  <w:num w:numId="36" w16cid:durableId="753818370">
    <w:abstractNumId w:val="8"/>
  </w:num>
  <w:num w:numId="37" w16cid:durableId="1904948969">
    <w:abstractNumId w:val="3"/>
  </w:num>
  <w:num w:numId="38" w16cid:durableId="115951676">
    <w:abstractNumId w:val="2"/>
  </w:num>
  <w:num w:numId="39" w16cid:durableId="1608543060">
    <w:abstractNumId w:val="1"/>
  </w:num>
  <w:num w:numId="40" w16cid:durableId="1082725565">
    <w:abstractNumId w:val="0"/>
  </w:num>
  <w:num w:numId="41" w16cid:durableId="1826242777">
    <w:abstractNumId w:val="10"/>
  </w:num>
  <w:num w:numId="42" w16cid:durableId="555432069">
    <w:abstractNumId w:val="10"/>
  </w:num>
  <w:num w:numId="43" w16cid:durableId="675957961">
    <w:abstractNumId w:val="10"/>
  </w:num>
  <w:num w:numId="44" w16cid:durableId="189072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ES"/>
    <w:docVar w:name="dvnumam" w:val="0"/>
    <w:docVar w:name="dvpe" w:val="774.382"/>
    <w:docVar w:name="dvrapporteur" w:val="Ponente: "/>
    <w:docVar w:name="dvtitre" w:val="Decisión del Parlamento Europeo, de 16 de diciembre de 2025, sobre el suplicatorio de suspensión de la inmunidad de Elisabetta Gualmini(2025/2063(IMM))"/>
  </w:docVars>
  <w:rsids>
    <w:rsidRoot w:val="0024579C"/>
    <w:rsid w:val="00002272"/>
    <w:rsid w:val="00054D6F"/>
    <w:rsid w:val="00064002"/>
    <w:rsid w:val="000677B9"/>
    <w:rsid w:val="000831BA"/>
    <w:rsid w:val="000848FA"/>
    <w:rsid w:val="000A42CC"/>
    <w:rsid w:val="000E7DD9"/>
    <w:rsid w:val="0010095E"/>
    <w:rsid w:val="00105DB1"/>
    <w:rsid w:val="00125B37"/>
    <w:rsid w:val="00187494"/>
    <w:rsid w:val="001F32AE"/>
    <w:rsid w:val="0024579C"/>
    <w:rsid w:val="002767FF"/>
    <w:rsid w:val="002B18FE"/>
    <w:rsid w:val="002B5493"/>
    <w:rsid w:val="00303606"/>
    <w:rsid w:val="00343214"/>
    <w:rsid w:val="00361C00"/>
    <w:rsid w:val="00395FA1"/>
    <w:rsid w:val="003A6D10"/>
    <w:rsid w:val="003E15D4"/>
    <w:rsid w:val="00411CCE"/>
    <w:rsid w:val="0041666E"/>
    <w:rsid w:val="00421060"/>
    <w:rsid w:val="00471C19"/>
    <w:rsid w:val="004867E3"/>
    <w:rsid w:val="00494A28"/>
    <w:rsid w:val="004C0004"/>
    <w:rsid w:val="004C5D52"/>
    <w:rsid w:val="0050519A"/>
    <w:rsid w:val="005072A1"/>
    <w:rsid w:val="00511997"/>
    <w:rsid w:val="00514517"/>
    <w:rsid w:val="00545827"/>
    <w:rsid w:val="00560270"/>
    <w:rsid w:val="005C2568"/>
    <w:rsid w:val="005D0B84"/>
    <w:rsid w:val="005F1B17"/>
    <w:rsid w:val="006037C0"/>
    <w:rsid w:val="00634C32"/>
    <w:rsid w:val="0066088F"/>
    <w:rsid w:val="006631B6"/>
    <w:rsid w:val="00680577"/>
    <w:rsid w:val="006B292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59A"/>
    <w:rsid w:val="009A55A3"/>
    <w:rsid w:val="009A6D3D"/>
    <w:rsid w:val="00A1687D"/>
    <w:rsid w:val="00A43E52"/>
    <w:rsid w:val="00A4678D"/>
    <w:rsid w:val="00A778C7"/>
    <w:rsid w:val="00AB441E"/>
    <w:rsid w:val="00AB6293"/>
    <w:rsid w:val="00AE0928"/>
    <w:rsid w:val="00AF3B82"/>
    <w:rsid w:val="00B12E95"/>
    <w:rsid w:val="00B20B60"/>
    <w:rsid w:val="00B22876"/>
    <w:rsid w:val="00B558F0"/>
    <w:rsid w:val="00BC0181"/>
    <w:rsid w:val="00BD48FE"/>
    <w:rsid w:val="00BD7BD8"/>
    <w:rsid w:val="00BE6ADC"/>
    <w:rsid w:val="00C05BFE"/>
    <w:rsid w:val="00C23CD4"/>
    <w:rsid w:val="00C52B68"/>
    <w:rsid w:val="00C61C0C"/>
    <w:rsid w:val="00C941CB"/>
    <w:rsid w:val="00CC2357"/>
    <w:rsid w:val="00CD6DA9"/>
    <w:rsid w:val="00CF071A"/>
    <w:rsid w:val="00D058B8"/>
    <w:rsid w:val="00D56C11"/>
    <w:rsid w:val="00D834A0"/>
    <w:rsid w:val="00D872DF"/>
    <w:rsid w:val="00D91E21"/>
    <w:rsid w:val="00DA7FCD"/>
    <w:rsid w:val="00E365E1"/>
    <w:rsid w:val="00E820A4"/>
    <w:rsid w:val="00E85FFE"/>
    <w:rsid w:val="00EB006A"/>
    <w:rsid w:val="00EB4772"/>
    <w:rsid w:val="00ED169E"/>
    <w:rsid w:val="00ED4235"/>
    <w:rsid w:val="00EF4E47"/>
    <w:rsid w:val="00F04346"/>
    <w:rsid w:val="00F075DC"/>
    <w:rsid w:val="00F149E9"/>
    <w:rsid w:val="00F263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7E1EF"/>
  <w15:chartTrackingRefBased/>
  <w15:docId w15:val="{6662B204-F036-4628-9A87-71F0168D3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6D10"/>
    <w:pPr>
      <w:spacing w:after="240"/>
      <w:ind w:left="567" w:hanging="567"/>
    </w:pPr>
  </w:style>
  <w:style w:type="paragraph" w:customStyle="1" w:styleId="EPComma">
    <w:name w:val="EPComma"/>
    <w:basedOn w:val="Normal"/>
    <w:rsid w:val="003A6D10"/>
    <w:pPr>
      <w:spacing w:before="480" w:after="240"/>
    </w:pPr>
  </w:style>
  <w:style w:type="paragraph" w:styleId="Revision">
    <w:name w:val="Revision"/>
    <w:hidden/>
    <w:uiPriority w:val="99"/>
    <w:semiHidden/>
    <w:rsid w:val="00054D6F"/>
    <w:rPr>
      <w:sz w:val="24"/>
      <w:lang w:val="es-ES_tradnl"/>
    </w:rPr>
  </w:style>
  <w:style w:type="character" w:styleId="CommentReference">
    <w:name w:val="annotation reference"/>
    <w:basedOn w:val="DefaultParagraphFont"/>
    <w:rsid w:val="00634C32"/>
    <w:rPr>
      <w:sz w:val="16"/>
      <w:szCs w:val="16"/>
    </w:rPr>
  </w:style>
  <w:style w:type="paragraph" w:styleId="CommentText">
    <w:name w:val="annotation text"/>
    <w:basedOn w:val="Normal"/>
    <w:link w:val="CommentTextChar"/>
    <w:rsid w:val="00634C32"/>
    <w:rPr>
      <w:sz w:val="20"/>
    </w:rPr>
  </w:style>
  <w:style w:type="character" w:customStyle="1" w:styleId="CommentTextChar">
    <w:name w:val="Comment Text Char"/>
    <w:basedOn w:val="DefaultParagraphFont"/>
    <w:link w:val="CommentText"/>
    <w:rsid w:val="00634C32"/>
    <w:rPr>
      <w:lang w:val="es-ES_tradnl"/>
    </w:rPr>
  </w:style>
  <w:style w:type="character" w:styleId="Hyperlink">
    <w:name w:val="Hyperlink"/>
    <w:basedOn w:val="DefaultParagraphFont"/>
    <w:rsid w:val="00634C32"/>
    <w:rPr>
      <w:color w:val="0563C1" w:themeColor="hyperlink"/>
      <w:u w:val="single"/>
    </w:rPr>
  </w:style>
  <w:style w:type="paragraph" w:styleId="CommentSubject">
    <w:name w:val="annotation subject"/>
    <w:basedOn w:val="CommentText"/>
    <w:next w:val="CommentText"/>
    <w:link w:val="CommentSubjectChar"/>
    <w:rsid w:val="009A6D3D"/>
    <w:rPr>
      <w:b/>
      <w:bCs/>
    </w:rPr>
  </w:style>
  <w:style w:type="character" w:customStyle="1" w:styleId="CommentSubjectChar">
    <w:name w:val="Comment Subject Char"/>
    <w:basedOn w:val="CommentTextChar"/>
    <w:link w:val="CommentSubject"/>
    <w:rsid w:val="009A6D3D"/>
    <w:rPr>
      <w:b/>
      <w:bCs/>
      <w:lang w:val="es-ES_tradnl"/>
    </w:rPr>
  </w:style>
  <w:style w:type="character" w:styleId="UnresolvedMention">
    <w:name w:val="Unresolved Mention"/>
    <w:basedOn w:val="DefaultParagraphFont"/>
    <w:uiPriority w:val="99"/>
    <w:semiHidden/>
    <w:unhideWhenUsed/>
    <w:rsid w:val="009A6D3D"/>
    <w:rPr>
      <w:color w:val="605E5C"/>
      <w:shd w:val="clear" w:color="auto" w:fill="E1DFDD"/>
    </w:rPr>
  </w:style>
  <w:style w:type="character" w:styleId="FollowedHyperlink">
    <w:name w:val="FollowedHyperlink"/>
    <w:basedOn w:val="DefaultParagraphFont"/>
    <w:rsid w:val="00C52B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2006</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LAPORTA GRAU Manuel</cp:lastModifiedBy>
  <cp:revision>2</cp:revision>
  <cp:lastPrinted>2004-11-19T15:42:00Z</cp:lastPrinted>
  <dcterms:created xsi:type="dcterms:W3CDTF">2025-12-16T13:16:00Z</dcterms:created>
  <dcterms:modified xsi:type="dcterms:W3CDTF">2025-12-16T13:16:00Z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A10-0263/2025</vt:lpwstr>
  </property>
  <property fmtid="{D5CDD505-2E9C-101B-9397-08002B2CF9AE}" pid="4" name="&lt;Type&gt;">
    <vt:lpwstr>RR</vt:lpwstr>
  </property>
</Properties>
</file>