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3980" w14:paraId="605C3734" w14:textId="77777777" w:rsidTr="0010095E">
        <w:trPr>
          <w:trHeight w:hRule="exact" w:val="1418"/>
        </w:trPr>
        <w:tc>
          <w:tcPr>
            <w:tcW w:w="6804" w:type="dxa"/>
            <w:shd w:val="clear" w:color="auto" w:fill="auto"/>
            <w:vAlign w:val="center"/>
          </w:tcPr>
          <w:p w14:paraId="29C43B28" w14:textId="77777777" w:rsidR="00751A4A" w:rsidRPr="00883980" w:rsidRDefault="008A56E4" w:rsidP="0010095E">
            <w:pPr>
              <w:pStyle w:val="EPName"/>
            </w:pPr>
            <w:r w:rsidRPr="00883980">
              <w:t>Europos Parlamentas</w:t>
            </w:r>
          </w:p>
          <w:p w14:paraId="681E32FD" w14:textId="77777777" w:rsidR="00751A4A" w:rsidRPr="00883980" w:rsidRDefault="005F1B17" w:rsidP="005F1B17">
            <w:pPr>
              <w:pStyle w:val="EPTerm"/>
              <w:rPr>
                <w:rStyle w:val="HideTWBExt"/>
                <w:noProof w:val="0"/>
                <w:vanish w:val="0"/>
                <w:color w:val="auto"/>
              </w:rPr>
            </w:pPr>
            <w:r w:rsidRPr="00883980">
              <w:t>2024</w:t>
            </w:r>
            <w:r w:rsidR="00817416" w:rsidRPr="00883980">
              <w:t>-202</w:t>
            </w:r>
            <w:r w:rsidRPr="00883980">
              <w:t>9</w:t>
            </w:r>
          </w:p>
        </w:tc>
        <w:tc>
          <w:tcPr>
            <w:tcW w:w="2268" w:type="dxa"/>
            <w:shd w:val="clear" w:color="auto" w:fill="auto"/>
          </w:tcPr>
          <w:p w14:paraId="6996FC5C" w14:textId="77777777" w:rsidR="00751A4A" w:rsidRPr="00883980" w:rsidRDefault="00187494" w:rsidP="0010095E">
            <w:pPr>
              <w:pStyle w:val="EPLogo"/>
            </w:pPr>
            <w:r w:rsidRPr="00883980">
              <w:rPr>
                <w:noProof/>
                <w:lang w:eastAsia="ja-JP"/>
              </w:rPr>
              <w:drawing>
                <wp:inline distT="0" distB="0" distL="0" distR="0" wp14:anchorId="446A3C9D" wp14:editId="3AA428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EA14D" w14:textId="77777777" w:rsidR="00D058B8" w:rsidRPr="00883980" w:rsidRDefault="00D058B8" w:rsidP="004C5D52">
      <w:pPr>
        <w:pStyle w:val="LineTop"/>
      </w:pPr>
    </w:p>
    <w:p w14:paraId="483EF7E4" w14:textId="77777777" w:rsidR="00680577" w:rsidRPr="00883980" w:rsidRDefault="008A56E4" w:rsidP="00680577">
      <w:pPr>
        <w:pStyle w:val="EPBodyTA1"/>
      </w:pPr>
      <w:r w:rsidRPr="00883980">
        <w:t>PRIIMTI TEKSTAI</w:t>
      </w:r>
    </w:p>
    <w:p w14:paraId="32B8B567" w14:textId="77777777" w:rsidR="00D058B8" w:rsidRPr="00883980" w:rsidRDefault="00D058B8" w:rsidP="00D058B8">
      <w:pPr>
        <w:pStyle w:val="LineBottom"/>
      </w:pPr>
    </w:p>
    <w:p w14:paraId="73140682" w14:textId="5D69A8EF" w:rsidR="008A56E4" w:rsidRPr="00883980" w:rsidRDefault="008A56E4" w:rsidP="008A56E4">
      <w:pPr>
        <w:pStyle w:val="ATHeading1"/>
      </w:pPr>
      <w:bookmarkStart w:id="0" w:name="TANumber"/>
      <w:r w:rsidRPr="00883980">
        <w:t>P10_TA(2025)0</w:t>
      </w:r>
      <w:r w:rsidR="00F27207">
        <w:t>316</w:t>
      </w:r>
      <w:bookmarkEnd w:id="0"/>
    </w:p>
    <w:p w14:paraId="624A9E1D" w14:textId="77777777" w:rsidR="008A56E4" w:rsidRPr="00883980" w:rsidRDefault="008A56E4" w:rsidP="008A56E4">
      <w:pPr>
        <w:pStyle w:val="ATHeading2"/>
      </w:pPr>
      <w:bookmarkStart w:id="1" w:name="title"/>
      <w:r w:rsidRPr="00883980">
        <w:t>Prašymas atšaukti Elisabettos Gualmini (Elisabetta Gualmini) imunitetą</w:t>
      </w:r>
      <w:bookmarkEnd w:id="1"/>
    </w:p>
    <w:p w14:paraId="63A0A629" w14:textId="77777777" w:rsidR="008A56E4" w:rsidRPr="00883980" w:rsidRDefault="008A56E4" w:rsidP="008A56E4">
      <w:pPr>
        <w:rPr>
          <w:i/>
          <w:vanish/>
        </w:rPr>
      </w:pPr>
      <w:r w:rsidRPr="00883980">
        <w:rPr>
          <w:i/>
        </w:rPr>
        <w:fldChar w:fldCharType="begin"/>
      </w:r>
      <w:r w:rsidRPr="00883980">
        <w:rPr>
          <w:i/>
        </w:rPr>
        <w:instrText xml:space="preserve"> TC"(</w:instrText>
      </w:r>
      <w:bookmarkStart w:id="2" w:name="DocNumber"/>
      <w:r w:rsidRPr="00883980">
        <w:rPr>
          <w:i/>
        </w:rPr>
        <w:instrText>A10-0263/2025</w:instrText>
      </w:r>
      <w:bookmarkEnd w:id="2"/>
      <w:r w:rsidRPr="00883980">
        <w:rPr>
          <w:i/>
        </w:rPr>
        <w:instrText xml:space="preserve"> - Pranešėjas: Ilhan Kyuchyuk)"\l3 \n&gt; \* MERGEFORMAT </w:instrText>
      </w:r>
      <w:r w:rsidRPr="00883980">
        <w:rPr>
          <w:i/>
        </w:rPr>
        <w:fldChar w:fldCharType="end"/>
      </w:r>
    </w:p>
    <w:p w14:paraId="251354C1" w14:textId="77777777" w:rsidR="008A56E4" w:rsidRPr="00883980" w:rsidRDefault="008A56E4" w:rsidP="008A56E4">
      <w:pPr>
        <w:rPr>
          <w:vanish/>
        </w:rPr>
      </w:pPr>
      <w:bookmarkStart w:id="3" w:name="Commission"/>
      <w:r w:rsidRPr="00883980">
        <w:rPr>
          <w:vanish/>
        </w:rPr>
        <w:t>Teisės reikalų komitetas</w:t>
      </w:r>
      <w:bookmarkEnd w:id="3"/>
    </w:p>
    <w:p w14:paraId="71A72C21" w14:textId="77777777" w:rsidR="008A56E4" w:rsidRPr="00883980" w:rsidRDefault="008A56E4" w:rsidP="008A56E4">
      <w:pPr>
        <w:rPr>
          <w:vanish/>
        </w:rPr>
      </w:pPr>
      <w:bookmarkStart w:id="4" w:name="PE"/>
      <w:r w:rsidRPr="00883980">
        <w:rPr>
          <w:vanish/>
        </w:rPr>
        <w:t>PE774.382</w:t>
      </w:r>
      <w:bookmarkEnd w:id="4"/>
    </w:p>
    <w:p w14:paraId="135A20F9" w14:textId="74B556AC" w:rsidR="008A56E4" w:rsidRPr="00883980" w:rsidRDefault="008A56E4" w:rsidP="00B12CC4">
      <w:pPr>
        <w:pStyle w:val="ATHeading3"/>
      </w:pPr>
      <w:bookmarkStart w:id="5" w:name="Sujet"/>
      <w:r w:rsidRPr="00883980">
        <w:t xml:space="preserve">2025 m. </w:t>
      </w:r>
      <w:r w:rsidR="00B12CC4" w:rsidRPr="00883980">
        <w:t>gruodžio</w:t>
      </w:r>
      <w:r w:rsidRPr="00883980">
        <w:t xml:space="preserve"> 16 d. Europos Parlamento sprendimas dėl prašymo atšaukti Elisabettos Gualmini (Elisabetta Gualmini) imunitetą</w:t>
      </w:r>
      <w:bookmarkEnd w:id="5"/>
      <w:r w:rsidRPr="00883980">
        <w:t xml:space="preserve"> </w:t>
      </w:r>
      <w:bookmarkStart w:id="6" w:name="References"/>
      <w:r w:rsidRPr="00883980">
        <w:t>(2025/2063(IMM))</w:t>
      </w:r>
      <w:bookmarkEnd w:id="6"/>
    </w:p>
    <w:p w14:paraId="42CA3303" w14:textId="77777777" w:rsidR="004C77B7" w:rsidRPr="00883980" w:rsidRDefault="004C77B7" w:rsidP="004C77B7">
      <w:pPr>
        <w:pStyle w:val="EPComma"/>
      </w:pPr>
      <w:bookmarkStart w:id="7" w:name="TextBodyBegin"/>
      <w:bookmarkEnd w:id="7"/>
      <w:r w:rsidRPr="00883980">
        <w:rPr>
          <w:i/>
        </w:rPr>
        <w:t>Europos Parlamentas</w:t>
      </w:r>
      <w:r w:rsidRPr="00883980">
        <w:t>,</w:t>
      </w:r>
    </w:p>
    <w:p w14:paraId="6213CAB6" w14:textId="77777777" w:rsidR="004C77B7" w:rsidRPr="00883980" w:rsidRDefault="004C77B7" w:rsidP="004C77B7">
      <w:pPr>
        <w:pStyle w:val="NormalHanging12a"/>
      </w:pPr>
      <w:r w:rsidRPr="00883980">
        <w:t>–</w:t>
      </w:r>
      <w:r w:rsidRPr="00883980">
        <w:tab/>
        <w:t>atsižvelgdamas į Belgijos federalinės užsienio reikalų, užsienio prekybos ir vystomojo bendradarbiavimo tarnybos Protokolo direktorato 2025 m. vasario 27 d. laišku, kuriuo perduodamas Belgijos federalinės prokuratūros prašymas, pateiktą prašymą atšaukti Elisabettos Gualmini imunitetą ryšium su jos atžvilgiu pradėtinu baudžiamuoju procesu, kuris buvo paskelbtas 2025 m. kovo 10 d. plenariniame posėdyje,</w:t>
      </w:r>
    </w:p>
    <w:p w14:paraId="2C54930B" w14:textId="77777777" w:rsidR="004C77B7" w:rsidRPr="00883980" w:rsidRDefault="004C77B7" w:rsidP="004C77B7">
      <w:pPr>
        <w:pStyle w:val="NormalHanging12a"/>
      </w:pPr>
      <w:r w:rsidRPr="00883980">
        <w:t>–</w:t>
      </w:r>
      <w:r w:rsidRPr="00883980">
        <w:tab/>
        <w:t>2025 m. birželio 4 d. išklausęs Elisabettos Gualmini paaiškinimų ir atsižvelgdamas į jos pateiktus dokumentus, kaip nurodyta Darbo tvarkos taisyklių 9 straipsnio 6 dalyje,</w:t>
      </w:r>
    </w:p>
    <w:p w14:paraId="4399C831" w14:textId="77777777" w:rsidR="004C77B7" w:rsidRPr="00883980" w:rsidRDefault="004C77B7" w:rsidP="004C77B7">
      <w:pPr>
        <w:pStyle w:val="NormalHanging12a"/>
      </w:pPr>
      <w:r w:rsidRPr="00883980">
        <w:t>–</w:t>
      </w:r>
      <w:r w:rsidRPr="00883980">
        <w:tab/>
        <w:t>atsižvelgdamas į Belgijos federalinės prokurorės 2025 m. birželio 27 d. laišku pateiktą papildomą informaciją,</w:t>
      </w:r>
    </w:p>
    <w:p w14:paraId="7DA1C64E" w14:textId="77777777" w:rsidR="004C77B7" w:rsidRPr="00883980" w:rsidRDefault="004C77B7" w:rsidP="004C77B7">
      <w:pPr>
        <w:pStyle w:val="NormalHanging12a"/>
      </w:pPr>
      <w:r w:rsidRPr="00883980">
        <w:t>–</w:t>
      </w:r>
      <w:r w:rsidRPr="00883980">
        <w:tab/>
        <w:t>atsižvelgdamas į Protokolo Nr. 7 dėl Europos Sąjungos privilegijų ir imunitetų 8 ir 9 straipsnius ir į 1976 m. rugsėjo 20 d. Akto dėl Europos Parlamento narių rinkimų remiantis tiesiogine visuotine rinkimų teise 6 straipsnio 2 dalį,</w:t>
      </w:r>
    </w:p>
    <w:p w14:paraId="42419B9E" w14:textId="77777777" w:rsidR="004C77B7" w:rsidRPr="00883980" w:rsidRDefault="004C77B7" w:rsidP="004C77B7">
      <w:pPr>
        <w:pStyle w:val="NormalHanging12a"/>
      </w:pPr>
      <w:r w:rsidRPr="00883980">
        <w:t>–</w:t>
      </w:r>
      <w:r w:rsidRPr="00883980">
        <w:tab/>
        <w:t>atsižvelgdamas į Europos Sąjungos Teisingumo Teismo 2008 m. spalio 21 d., 2010 m. kovo 19 d., 2011 m. rugsėjo 6 d., 2013 m. sausio 17 d., 2019 m. gruodžio 19 d. ir 2023 m. liepos 5 d. sprendimus</w:t>
      </w:r>
      <w:r w:rsidRPr="00883980">
        <w:rPr>
          <w:rStyle w:val="FootnoteReference"/>
        </w:rPr>
        <w:footnoteReference w:id="1"/>
      </w:r>
      <w:r w:rsidRPr="00883980">
        <w:t>,</w:t>
      </w:r>
    </w:p>
    <w:p w14:paraId="69FBCAD9" w14:textId="77777777" w:rsidR="004C77B7" w:rsidRPr="00883980" w:rsidRDefault="004C77B7" w:rsidP="004C77B7">
      <w:pPr>
        <w:pStyle w:val="NormalHanging12a"/>
      </w:pPr>
      <w:r w:rsidRPr="00883980">
        <w:lastRenderedPageBreak/>
        <w:t>–</w:t>
      </w:r>
      <w:r w:rsidRPr="00883980">
        <w:tab/>
        <w:t>atsižvelgdamas į Darbo tvarkos taisyklių 5 straipsnio 2 dalį, 6 straipsnio 1 dalį ir 9 straipsnį,</w:t>
      </w:r>
    </w:p>
    <w:p w14:paraId="7BA1C77C" w14:textId="77777777" w:rsidR="004C77B7" w:rsidRPr="00883980" w:rsidRDefault="004C77B7" w:rsidP="004C77B7">
      <w:pPr>
        <w:pStyle w:val="NormalHanging12a"/>
      </w:pPr>
      <w:r w:rsidRPr="00883980">
        <w:t>–</w:t>
      </w:r>
      <w:r w:rsidRPr="00883980">
        <w:tab/>
        <w:t>atsižvelgdamas į Teisės reikalų komiteto pranešimą (A10-0263/2025),</w:t>
      </w:r>
    </w:p>
    <w:p w14:paraId="086EEC64" w14:textId="77777777" w:rsidR="004C77B7" w:rsidRPr="00883980" w:rsidRDefault="004C77B7" w:rsidP="004C77B7">
      <w:pPr>
        <w:pStyle w:val="NormalHanging12a"/>
      </w:pPr>
      <w:r w:rsidRPr="00883980">
        <w:t>A.</w:t>
      </w:r>
      <w:r w:rsidRPr="00883980">
        <w:tab/>
      </w:r>
      <w:bookmarkStart w:id="8" w:name="_Hlk210981952"/>
      <w:r w:rsidRPr="00883980">
        <w:t>kadangi 2025 m. vasario 27 d. Belgijos federalinė prokurorė pateikė prašymą atšaukti Italijoje išrinktos Europos Parlamento narės Elisabettos Gualmini imunitetą ryšium su jos atžvilgiu pradėtinu baudžiamuoju procesu;</w:t>
      </w:r>
      <w:bookmarkEnd w:id="8"/>
    </w:p>
    <w:p w14:paraId="226F740C" w14:textId="26504ECE" w:rsidR="004C77B7" w:rsidRPr="00883980" w:rsidRDefault="004C77B7" w:rsidP="004C77B7">
      <w:pPr>
        <w:pStyle w:val="NormalHanging12a"/>
      </w:pPr>
      <w:r w:rsidRPr="00883980">
        <w:t>B.</w:t>
      </w:r>
      <w:r w:rsidRPr="00883980">
        <w:tab/>
      </w:r>
      <w:bookmarkStart w:id="9" w:name="_Hlk210982188"/>
      <w:r w:rsidRPr="00883980">
        <w:t xml:space="preserve">kadangi vadinamosios Katargeito bylos kontekste vykstančio tyrimo metu galimai buvo išsiaiškinta, kad </w:t>
      </w:r>
      <w:r w:rsidR="00B12CC4">
        <w:t>Sąjungos</w:t>
      </w:r>
      <w:r w:rsidR="00B12CC4" w:rsidRPr="00883980">
        <w:t xml:space="preserve"> </w:t>
      </w:r>
      <w:r w:rsidRPr="00883980">
        <w:t xml:space="preserve">institucijose, visų pirma Europos Parlamente, egzistuoja nusikalstamas susivienijimas, kurio tikslas – pasinaudoti savo įtaka </w:t>
      </w:r>
      <w:r w:rsidR="00B12CC4" w:rsidRPr="00B12CC4">
        <w:t xml:space="preserve">Sąjungos </w:t>
      </w:r>
      <w:r w:rsidRPr="00883980">
        <w:t>institucijose</w:t>
      </w:r>
      <w:r w:rsidR="00B12CC4">
        <w:t>,</w:t>
      </w:r>
      <w:r w:rsidRPr="00883980">
        <w:t xml:space="preserve"> visų pirma Parlameno narių, padėjėjų ir pareigūnų atžvilgiu</w:t>
      </w:r>
      <w:r w:rsidR="00B12CC4">
        <w:t>,</w:t>
      </w:r>
      <w:r w:rsidRPr="00883980">
        <w:t xml:space="preserve"> siekiant paveikti Parlamento sprendimų priėmimo procesą tam tikrų trečiųjų valstybių geopolitiniams interesams palankia linkme;</w:t>
      </w:r>
    </w:p>
    <w:p w14:paraId="28C3C149" w14:textId="0310CD2B" w:rsidR="004C77B7" w:rsidRPr="00883980" w:rsidRDefault="004C77B7" w:rsidP="004C77B7">
      <w:pPr>
        <w:pStyle w:val="NormalHanging12a"/>
      </w:pPr>
      <w:r w:rsidRPr="00883980">
        <w:t>C.</w:t>
      </w:r>
      <w:r w:rsidRPr="00883980">
        <w:tab/>
        <w:t xml:space="preserve">kadangi prašyme </w:t>
      </w:r>
      <w:r w:rsidR="00F97C56" w:rsidRPr="00F97C56">
        <w:t>atšaukti Elisabettos Gualmini (Elisabetta Gualmini) imunitetą</w:t>
      </w:r>
      <w:r w:rsidR="00F97C56">
        <w:t xml:space="preserve"> </w:t>
      </w:r>
      <w:r w:rsidRPr="00883980">
        <w:t xml:space="preserve">nurodyta, kad atliekant šį tyrimą galimai paaiškėjo, kad Elisabetta Gualmini galėjo dalyvauti darant korupcines veikas sutikdama, kad įtariamas nusikalstamas susivienijimas panaudotų savo įtaką tam, kad 2022 m. spalio mėn. ji galėtų užimti savo frakcijos pirmininko pavaduotojos pareigas mainais už tai, kad eidama tas pareigas frakcijoje darytų įtaką nusikalstamo susivienijimo naudai; kadangi atitinkamos frakcijos pirmininko pavaduotojo skyrimo procesas iš tiesų yra grindžiamas detalia ir nustatyta procedūra, kuri užbaigiama atvirai ir skaidriai priimant sprendimą frakcijos plenarinėje sesijoje; kadangi panašu, kad atitinkamos frakcijos pirmininko pavaduotojo pareigos tapo laisvos 2022 m. spalio 12 d.; kadangi, laikydamasi nustatytos procedūros, 2022 m. spalio 18 d. frakcija savo pirmininko pavaduotoja paskyrė Elisabettą Gualmini; kadangi, kaip pranešama, iškart po paskyrimo Elisabetta Gualmini padėkojo spėjamam įtariamo nusikalstamo susivienijimo vadovaujančiam nariui už tomis aplinkybėmis galimai gautą paramą ir patarimus; kadangi spėjamas įtariamo nusikalstamo susivienijimo vadovas nuo 2019 m. liepos 1 d. nėjo pareigų Parlamente ir, be to, priklausė kitai nacionalinei politinei partijai nei Elisabetta Gualmini, tačiau, kaip leista suprasti prašyme, bet išsamiau </w:t>
      </w:r>
      <w:r w:rsidR="00F97C56">
        <w:t xml:space="preserve">tai </w:t>
      </w:r>
      <w:r w:rsidRPr="00883980">
        <w:t>nepaaiškinta, galimai darė didelę įtaką visam tos frakcijos pirmininko pavaduotojo skyrimo procesui;</w:t>
      </w:r>
    </w:p>
    <w:p w14:paraId="7C27BCED" w14:textId="3F66C242" w:rsidR="004C77B7" w:rsidRPr="00883980" w:rsidRDefault="004C77B7" w:rsidP="00F27207">
      <w:pPr>
        <w:pStyle w:val="NormalHanging12a"/>
      </w:pPr>
      <w:r w:rsidRPr="00883980">
        <w:t>D.</w:t>
      </w:r>
      <w:r w:rsidRPr="00883980">
        <w:tab/>
        <w:t xml:space="preserve">kadangi, kaip teigiama prašyme, bet išsamiau </w:t>
      </w:r>
      <w:r w:rsidR="00F97C56">
        <w:t xml:space="preserve">tai </w:t>
      </w:r>
      <w:r w:rsidRPr="00883980">
        <w:t xml:space="preserve">nepaaiškinta, įtariamas nusikalstamas susivienijimas, pasinaudodamas savo spėjama įtaka, galimai mėgino paskirti Elisabettą Gualmini pirmininkauti jos frakcijos 2022 m. lapkričio 16 d. posėdžiui, kurio tikslas buvo nustatyti frakcijos poziciją dėl politinio tikslingumo plenariniame posėdyje surengti diskusijas dėl padėties Katare ir balsuoti dėl skubios rezoliucijos </w:t>
      </w:r>
      <w:r w:rsidR="00BD600B">
        <w:t>tuo</w:t>
      </w:r>
      <w:r w:rsidR="00BD600B" w:rsidRPr="00883980">
        <w:t xml:space="preserve"> </w:t>
      </w:r>
      <w:r w:rsidRPr="00883980">
        <w:t>klausimu;</w:t>
      </w:r>
      <w:bookmarkEnd w:id="9"/>
      <w:r w:rsidRPr="00883980">
        <w:t xml:space="preserve"> kadangi ji galimai prašė nurodymų dėl savo pareiškimų </w:t>
      </w:r>
      <w:r w:rsidR="00BD600B">
        <w:t>tame</w:t>
      </w:r>
      <w:r w:rsidRPr="00883980">
        <w:t xml:space="preserve"> frakcijos posėdyje turinio ir (arba) sutiko juos priimti ir galimai panaudojo jai padiktuotus argumentus dėl to, kad nėra tikslinga plenariniame posėdyje surengti diskusijas dėl Kataro ir </w:t>
      </w:r>
      <w:r w:rsidR="00BD600B">
        <w:t>priimti</w:t>
      </w:r>
      <w:r w:rsidRPr="00883980">
        <w:t xml:space="preserve"> rezoliuciją šiuo klausimu; kadangi vykstant procedūrai tapo žinoma, kad Elisabetta Gualmini iš tiesų nepirmininkavo tam posėdžiui, nes šią funkciją perėmė kitas </w:t>
      </w:r>
      <w:r w:rsidR="003A2055">
        <w:t xml:space="preserve">atitinkamos </w:t>
      </w:r>
      <w:r w:rsidRPr="00883980">
        <w:t xml:space="preserve">frakcijos pirmininko pavaduotojas, ir kadangi atrodo, kad Elisabettos Gualmini vaidmuo </w:t>
      </w:r>
      <w:r w:rsidR="00BD600B">
        <w:t xml:space="preserve">tame </w:t>
      </w:r>
      <w:r w:rsidRPr="00883980">
        <w:t>posėdyje apsiribojo tik frakcijos posėdžio darbotvarkės punkto dėl pasirengimo 2022 m. lapkričio mėn. antrajai plenarinei sesijai pristatymu; kadangi, be to, išvada, kurią, kaip panašu, Elisabetta Gualmini pateikė po minėtame frakcijos posėdyje vykusių diskusijų, prieštaravo iš įtariamo nusikalstamo susivienijimo galimai gautiems nurodymams;</w:t>
      </w:r>
    </w:p>
    <w:p w14:paraId="1B87BE9F" w14:textId="6611A15F" w:rsidR="004C77B7" w:rsidRPr="00883980" w:rsidRDefault="004C77B7" w:rsidP="004C77B7">
      <w:pPr>
        <w:pStyle w:val="NormalHanging12a"/>
      </w:pPr>
      <w:bookmarkStart w:id="10" w:name="_Hlk210982206"/>
      <w:r w:rsidRPr="00883980">
        <w:lastRenderedPageBreak/>
        <w:t>E.</w:t>
      </w:r>
      <w:r w:rsidRPr="00883980">
        <w:tab/>
        <w:t xml:space="preserve">kadangi prašyme nurodoma, jog Elisabetta Gualmini yra įtariama tuo, kad laikotarpiu nuo 2019 m. liepos 1 d. iki 2022 m. gruodžio 10 d. ji galimai padarė neteisėtas veikas, kurios pagal Belgijos teisę gali būti kvalifikuojamos kaip dalyvavimas nusikalstamo susivienijimo veikloje ir pasyvioji korupcija, t. y. nusikalstamos veikos, numatytos Belgijos baudžiamojo kodekso atitinkamai 324bis ir 324ter straipsniuose ir 246–250 straipsniuose; kadangi tiek Belgijos federalinio prokuroro prašyme, tiek iš jo gautoje papildomoje informacijoje pateikiami tik galimų veiksmų laikotarpiu nuo 2022 m. spalio 4 d. iki gruodžio 2 d. </w:t>
      </w:r>
      <w:r w:rsidR="00274654">
        <w:t>požymiai</w:t>
      </w:r>
      <w:r w:rsidRPr="00883980">
        <w:t>, o laikotarpis iki 2022 m. spalio 4 d. niekaip nepagrindžiamas; kadangi todėl esama neatitikimo tarp laikotarpio, kuriuo buvo padaryta galima nusikalstama veika, ir pateiktų motyvų, kuriais grindžiamas prašymas atšaukti imunitetą;</w:t>
      </w:r>
    </w:p>
    <w:bookmarkEnd w:id="10"/>
    <w:p w14:paraId="41A88A3E" w14:textId="55ADC4AB" w:rsidR="004C77B7" w:rsidRPr="00883980" w:rsidRDefault="004C77B7" w:rsidP="004C77B7">
      <w:pPr>
        <w:pStyle w:val="NormalHanging12a"/>
      </w:pPr>
      <w:r w:rsidRPr="00883980">
        <w:t>F.</w:t>
      </w:r>
      <w:r w:rsidRPr="00883980">
        <w:tab/>
        <w:t xml:space="preserve">kadangi Parlamentas negali būti prilyginamas teismui ir </w:t>
      </w:r>
      <w:r w:rsidR="00173776">
        <w:t xml:space="preserve">kadangi </w:t>
      </w:r>
      <w:r w:rsidRPr="00883980">
        <w:t>vykstant imuniteto atšaukimo procedūrai Parlamento narys negali būti laikomas kaltinamuoju</w:t>
      </w:r>
      <w:r w:rsidRPr="00883980">
        <w:rPr>
          <w:rStyle w:val="FootnoteReference"/>
        </w:rPr>
        <w:footnoteReference w:id="2"/>
      </w:r>
      <w:r w:rsidRPr="00883980">
        <w:t>;</w:t>
      </w:r>
    </w:p>
    <w:p w14:paraId="79CC3400" w14:textId="77777777" w:rsidR="004C77B7" w:rsidRPr="00883980" w:rsidRDefault="004C77B7" w:rsidP="004C77B7">
      <w:pPr>
        <w:pStyle w:val="NormalHanging12a"/>
      </w:pPr>
      <w:bookmarkStart w:id="11" w:name="_Hlk210982236"/>
      <w:r w:rsidRPr="00883980">
        <w:t>G.</w:t>
      </w:r>
      <w:r w:rsidRPr="00883980">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29F3EF25" w14:textId="77777777" w:rsidR="004C77B7" w:rsidRPr="00883980" w:rsidRDefault="004C77B7" w:rsidP="004C77B7">
      <w:pPr>
        <w:pStyle w:val="NormalHanging12a"/>
      </w:pPr>
      <w:r w:rsidRPr="00883980">
        <w:t>H.</w:t>
      </w:r>
      <w:r w:rsidRPr="00883980">
        <w:tab/>
        <w:t>kadangi Protokolo Nr. 7 dėl Europos Sąjungos privilegijų ir imunitetų 8 straipsnyje nustatyta, kad Europos Parlamento nariai negali būti apklausiami, sulaikomi ar traukiami atsakomybėn dėl einant pareigas pareikštos nuomonės ar balsavimo; kadangi Protokolo Nr. 7 dėl Europos Sąjungos privilegijų ir imunitetų 8 straipsnis yra speciali nuostata, kuria siekiama apsaugoti Europos Parlamento narių saviraiškos laisvę ir nepriklausomumą</w:t>
      </w:r>
      <w:r w:rsidRPr="00883980">
        <w:rPr>
          <w:rStyle w:val="FootnoteReference"/>
        </w:rPr>
        <w:footnoteReference w:id="3"/>
      </w:r>
      <w:r w:rsidRPr="00883980">
        <w:t xml:space="preserve">; </w:t>
      </w:r>
    </w:p>
    <w:p w14:paraId="0E2A1DC2" w14:textId="77777777" w:rsidR="004C77B7" w:rsidRPr="00883980" w:rsidRDefault="004C77B7" w:rsidP="004C77B7">
      <w:pPr>
        <w:pStyle w:val="NormalHanging12a"/>
      </w:pPr>
      <w:r w:rsidRPr="00883980">
        <w:t>I.</w:t>
      </w:r>
      <w:r w:rsidRPr="00883980">
        <w:tab/>
        <w:t>kadangi todėl galimos nusikalstamos veikos ir dėl jų pateiktas prašymas atšaukti Elisabettos Gualmini imunitetą nėra susiję su jai einant pareigas pareikšta nuomone ar balsavimu, kaip numatyta Protokolo Nr. 7 dėl Europos Sąjungos privilegijų ir imunitetų 8 straipsnyje;</w:t>
      </w:r>
    </w:p>
    <w:p w14:paraId="00C4619D" w14:textId="75D35FAE" w:rsidR="004C77B7" w:rsidRPr="00883980" w:rsidRDefault="004C77B7" w:rsidP="004C77B7">
      <w:pPr>
        <w:pStyle w:val="NormalHanging12a"/>
      </w:pPr>
      <w:bookmarkStart w:id="12" w:name="_Hlk210982264"/>
      <w:bookmarkEnd w:id="11"/>
      <w:r w:rsidRPr="00883980">
        <w:t>J.</w:t>
      </w:r>
      <w:r w:rsidRPr="00883980">
        <w:tab/>
        <w:t xml:space="preserve">kadangi Protokolo Nr. 7 dėl Europos Sąjungos privilegijų ir imunitetų 9 straipsnio pirmos pastraipos b punkte nustatyta, kad </w:t>
      </w:r>
      <w:r w:rsidR="001F6FC4">
        <w:t xml:space="preserve">per </w:t>
      </w:r>
      <w:r w:rsidRPr="00883980">
        <w:t xml:space="preserve">Europos Parlamento </w:t>
      </w:r>
      <w:r w:rsidR="001F6FC4">
        <w:t xml:space="preserve">sesijas jo </w:t>
      </w:r>
      <w:r w:rsidRPr="00883980">
        <w:t>nariai visų kitų valstybių narių teritorijose</w:t>
      </w:r>
      <w:r w:rsidR="001F6FC4">
        <w:t xml:space="preserve">, </w:t>
      </w:r>
      <w:r w:rsidR="001F6FC4" w:rsidRPr="001F6FC4">
        <w:t>išskyrus jų valstybę narę</w:t>
      </w:r>
      <w:r w:rsidR="001F6FC4">
        <w:t>,</w:t>
      </w:r>
      <w:r w:rsidRPr="00883980">
        <w:t xml:space="preserve"> naudojasi imunitetu nuo bet kokios sulaikymo priemonės ir patraukimo atsakomybėn;</w:t>
      </w:r>
      <w:bookmarkEnd w:id="12"/>
    </w:p>
    <w:p w14:paraId="08E1781D" w14:textId="52CDE75C" w:rsidR="004C77B7" w:rsidRPr="00883980" w:rsidRDefault="004C77B7" w:rsidP="004C77B7">
      <w:pPr>
        <w:pStyle w:val="NormalHanging12a"/>
      </w:pPr>
      <w:bookmarkStart w:id="13" w:name="_Hlk210982279"/>
      <w:r w:rsidRPr="00883980">
        <w:t>K.</w:t>
      </w:r>
      <w:r w:rsidRPr="00883980">
        <w:tab/>
        <w:t>kadangi Parlamento Darbo tvarkos taisyklių 5 straipsnio 2 dalyje numatyta, kad Parlamento nario imunitetas yra ne jo asmeninė privilegija, bet viso Europos Parlamento ir jo narių nepriklausomumo garantija;</w:t>
      </w:r>
    </w:p>
    <w:p w14:paraId="4CC9AD3A" w14:textId="4B02B14B" w:rsidR="004C77B7" w:rsidRPr="00883980" w:rsidRDefault="004C77B7" w:rsidP="004C77B7">
      <w:pPr>
        <w:pStyle w:val="NormalHanging12a"/>
      </w:pPr>
      <w:r w:rsidRPr="00883980">
        <w:t>L.</w:t>
      </w:r>
      <w:r w:rsidRPr="00883980">
        <w:tab/>
        <w:t xml:space="preserve">kadangi iš Europos Sąjungos Teisingumo Teismo </w:t>
      </w:r>
      <w:r w:rsidR="004C4587">
        <w:t>jurisprudencijos</w:t>
      </w:r>
      <w:r w:rsidR="004C4587" w:rsidRPr="00883980">
        <w:t xml:space="preserve"> </w:t>
      </w:r>
      <w:r w:rsidRPr="00883980">
        <w:t>matyti, kad Parlamentas turi plačią „</w:t>
      </w:r>
      <w:proofErr w:type="spellStart"/>
      <w:r w:rsidRPr="00883980">
        <w:t>diskreciją</w:t>
      </w:r>
      <w:proofErr w:type="spellEnd"/>
      <w:r w:rsidRPr="00883980">
        <w:t xml:space="preserve"> priimti teigiamą ar neigiamą sprendimą dėl prašymo atšaukti [...] imunitetą, dėl tokio sprendimo politinio pobūdžio“</w:t>
      </w:r>
      <w:r w:rsidRPr="00883980">
        <w:rPr>
          <w:vertAlign w:val="superscript"/>
        </w:rPr>
        <w:footnoteReference w:id="4"/>
      </w:r>
      <w:r w:rsidRPr="00883980">
        <w:t>;</w:t>
      </w:r>
    </w:p>
    <w:p w14:paraId="7007745A" w14:textId="37DB40C1" w:rsidR="004C77B7" w:rsidRPr="00883980" w:rsidRDefault="004C77B7" w:rsidP="004C77B7">
      <w:pPr>
        <w:pStyle w:val="NormalHanging12a"/>
      </w:pPr>
      <w:r w:rsidRPr="00883980">
        <w:lastRenderedPageBreak/>
        <w:t>M.</w:t>
      </w:r>
      <w:r w:rsidRPr="00883980">
        <w:tab/>
        <w:t xml:space="preserve">kadangi bet kokia išvada dėl prašymo atšaukti </w:t>
      </w:r>
      <w:r w:rsidR="001F6FC4" w:rsidRPr="001F6FC4">
        <w:t xml:space="preserve">Elisabettos Gualmini </w:t>
      </w:r>
      <w:r w:rsidRPr="00883980">
        <w:t xml:space="preserve">imunitetą turi būti daroma remiantis šioje byloje pateikta informacija ir paaiškinimais, visų pirma tais, kuriuos pateikė Belgijos federalinė prokurorė; kadangi panašu, kad, nesant išsamesnių paaiškinimų, inkriminuojamų faktų aprašymas ir iš to išplaukiančios išvados prašyme dėl imuniteto atšaukimo yra nenuoseklūs, grindžiami prielaidomis ar užuominomis </w:t>
      </w:r>
      <w:r w:rsidR="001F6FC4">
        <w:t>ir</w:t>
      </w:r>
      <w:r w:rsidR="001F6FC4" w:rsidRPr="00883980">
        <w:t xml:space="preserve"> </w:t>
      </w:r>
      <w:r w:rsidRPr="00883980">
        <w:t xml:space="preserve">jais neatsižvelgiama į Parlamente nustatytus frakcijos pirmininko pavaduotojų skyrimo ir vidaus pozicijų rengimo bei priėmimo frakcijoje politinius procesus; kadangi nepanašu, kad būtų įrodytas aiškus </w:t>
      </w:r>
      <w:r w:rsidRPr="00883980">
        <w:rPr>
          <w:i/>
        </w:rPr>
        <w:t>quid pro quo</w:t>
      </w:r>
      <w:r w:rsidRPr="00883980">
        <w:t xml:space="preserve"> santykis, ir kadangi nėra pakankamai įrodyta, kad Elisabetta Gualmini būtų gavusi asmeninės naudos, kuri būtų vienareikšmiškai kildinama iš prašyme nurodytų inkriminuojamų faktų; </w:t>
      </w:r>
    </w:p>
    <w:p w14:paraId="6907A6F7" w14:textId="3358782E" w:rsidR="004C77B7" w:rsidRPr="00883980" w:rsidRDefault="004C77B7" w:rsidP="004C77B7">
      <w:pPr>
        <w:pStyle w:val="NormalHanging12a"/>
      </w:pPr>
      <w:r w:rsidRPr="00883980">
        <w:t>N.</w:t>
      </w:r>
      <w:r w:rsidRPr="00883980">
        <w:tab/>
        <w:t xml:space="preserve">kadangi, be to, prašyme atšaukti Elisabettos Gualmini imunitetą išdėstytais inkriminuojamais faktais neatsižvelgiama į neatsiejamą kontekstą ir ryšį su įprasta frakcijos politine veikla arba su Parlamento narių vykdoma </w:t>
      </w:r>
      <w:r w:rsidR="007946B6" w:rsidRPr="007946B6">
        <w:t xml:space="preserve">įprasta </w:t>
      </w:r>
      <w:r w:rsidRPr="00883980">
        <w:t>politine veikla frakcijoje; kadangi Parlamento frakcijos steigiamos vadovaujantis Darbo tvarkos taisyklėmis ir tos taisyklės reglamentuoja jų veiklą, joms tenka pagrindinis vaidmuo Parlamento, kaip institucijos, vidaus organizacinėje struktūroje bei darbe, ir jos yra reikalingos jo pagrindinei demokratinei funkcijai; kadangi, visų pirma, frakcijų vykdomos funkcijos, įskaitant ir Parlamento darbo tvarkos taisyklėmis joms pavestas užduotis, yra Sąjungos veiklos dalis;</w:t>
      </w:r>
    </w:p>
    <w:p w14:paraId="659D3EC0" w14:textId="77777777" w:rsidR="004C77B7" w:rsidRPr="00883980" w:rsidRDefault="004C77B7" w:rsidP="004C77B7">
      <w:pPr>
        <w:pStyle w:val="NormalHanging12a"/>
      </w:pPr>
      <w:r w:rsidRPr="00883980">
        <w:t>O.</w:t>
      </w:r>
      <w:r w:rsidRPr="00883980">
        <w:tab/>
        <w:t>kadangi Parlamento nario imuniteto tikslas yra ne pridengti pažeidimus, o apsaugoti Parlamento demokratinį veikimą;</w:t>
      </w:r>
    </w:p>
    <w:p w14:paraId="5C7D309A" w14:textId="714FFC5C" w:rsidR="004C77B7" w:rsidRPr="00883980" w:rsidRDefault="004C77B7" w:rsidP="004C77B7">
      <w:pPr>
        <w:pStyle w:val="NormalHanging12a"/>
      </w:pPr>
      <w:r w:rsidRPr="00883980">
        <w:t>P.</w:t>
      </w:r>
      <w:r w:rsidRPr="00883980">
        <w:tab/>
        <w:t xml:space="preserve">kadangi, remiantis tuo, kas išdėstyta pirmiau, nenuoseklūs paaiškinimai dėl laikotarpio, kuriuo </w:t>
      </w:r>
      <w:r w:rsidR="00370827">
        <w:t>tariamai</w:t>
      </w:r>
      <w:r w:rsidR="00370827" w:rsidRPr="00883980">
        <w:t xml:space="preserve"> </w:t>
      </w:r>
      <w:r w:rsidRPr="00883980">
        <w:t xml:space="preserve">padaryta galima nusikalstama veika, ir pateiktas pagrindimas, neaiškumai dėl elementų, kuriais grindžiamas prašymas atšaukti </w:t>
      </w:r>
      <w:r w:rsidR="009C3F51" w:rsidRPr="009C3F51">
        <w:t xml:space="preserve">Elisabettos Gualmini </w:t>
      </w:r>
      <w:r w:rsidRPr="00883980">
        <w:t xml:space="preserve">imunitetą, ir prašymo motyvai, taip pat nepakankami įrodymai ar paaiškinimai dėl galimo pažeidimo, be kita ko, nusistovėjusių politinių procesų kontekste, kelia susirūpinimą dėl to, kad procesas galėjo būti pradėtas siekiant pakenkti atitinkamos Parlamento narės reputacijai, ir rodo, jog nesama pakankamai įrodymų, kad Parlamentas galėtų turėti rimtą ir tinkamai pagrįstą pagrindą atšaukti </w:t>
      </w:r>
      <w:r w:rsidR="009C3F51" w:rsidRPr="009C3F51">
        <w:t xml:space="preserve">Elisabettos Gualmini </w:t>
      </w:r>
      <w:r w:rsidRPr="00883980">
        <w:t>imunitetą;</w:t>
      </w:r>
    </w:p>
    <w:p w14:paraId="49BE7084" w14:textId="77777777" w:rsidR="004C77B7" w:rsidRPr="00883980" w:rsidRDefault="004C77B7" w:rsidP="004C77B7">
      <w:pPr>
        <w:pStyle w:val="NormalHanging12a"/>
      </w:pPr>
      <w:r w:rsidRPr="00883980">
        <w:t>Q.</w:t>
      </w:r>
      <w:r w:rsidRPr="00883980">
        <w:tab/>
        <w:t xml:space="preserve">kadangi dėl to šiuo atveju galima daryti prielaidą, jog esama </w:t>
      </w:r>
      <w:r w:rsidRPr="00883980">
        <w:rPr>
          <w:i/>
        </w:rPr>
        <w:t>fumus persecutionis</w:t>
      </w:r>
      <w:r w:rsidRPr="00883980">
        <w:t>, t. y. konkrečių įrodymų</w:t>
      </w:r>
      <w:r w:rsidRPr="00883980">
        <w:rPr>
          <w:vertAlign w:val="superscript"/>
        </w:rPr>
        <w:footnoteReference w:id="5"/>
      </w:r>
      <w:r w:rsidRPr="00883980">
        <w:t>, iš kurių matyti, kad atitinkamu procesu siekiama pakenkti Elisabettos Gualmini, taigi ir viso Parlamento, politinei veiklai, įskaitant jo vidaus politinių sprendimų priėmimo procesą, kurio išraiška yra nustatytas ir reguliarus frakcijos darbas;</w:t>
      </w:r>
      <w:bookmarkEnd w:id="13"/>
    </w:p>
    <w:p w14:paraId="29EF595D" w14:textId="77777777" w:rsidR="004C77B7" w:rsidRPr="00883980" w:rsidRDefault="004C77B7" w:rsidP="004C77B7">
      <w:pPr>
        <w:pStyle w:val="NormalHanging12a"/>
      </w:pPr>
      <w:r w:rsidRPr="00883980">
        <w:t>1.</w:t>
      </w:r>
      <w:r w:rsidRPr="00883980">
        <w:tab/>
        <w:t>nusprendžia neatšaukti Elisabettos Gualmini imuniteto;</w:t>
      </w:r>
    </w:p>
    <w:p w14:paraId="031A060B" w14:textId="05E2CC84" w:rsidR="00E365E1" w:rsidRPr="00883980" w:rsidRDefault="004C77B7" w:rsidP="00F27207">
      <w:pPr>
        <w:pStyle w:val="NormalHanging12a"/>
      </w:pPr>
      <w:r w:rsidRPr="00883980">
        <w:t>2.</w:t>
      </w:r>
      <w:r w:rsidRPr="00883980">
        <w:tab/>
        <w:t>paveda Pirmininkei nedelsiant perduoti šį sprendimą ir atsakingo komiteto pranešimą Belgijos Karalystės kompetentingoms institucijoms ir Elisabettai Gualmini.</w:t>
      </w:r>
    </w:p>
    <w:sectPr w:rsidR="00E365E1" w:rsidRPr="00883980" w:rsidSect="008839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0E1C8" w14:textId="77777777" w:rsidR="008A56E4" w:rsidRPr="00883980" w:rsidRDefault="008A56E4">
      <w:r w:rsidRPr="00883980">
        <w:separator/>
      </w:r>
    </w:p>
  </w:endnote>
  <w:endnote w:type="continuationSeparator" w:id="0">
    <w:p w14:paraId="6B6F8437" w14:textId="77777777" w:rsidR="008A56E4" w:rsidRPr="00883980" w:rsidRDefault="008A56E4">
      <w:r w:rsidRPr="008839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8E0BF" w14:textId="77777777" w:rsidR="00064002" w:rsidRPr="008839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3BA3" w14:textId="77777777" w:rsidR="00064002" w:rsidRPr="008839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71D2" w14:textId="77777777" w:rsidR="00064002" w:rsidRPr="008839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2D2A8" w14:textId="77777777" w:rsidR="008A56E4" w:rsidRPr="00883980" w:rsidRDefault="008A56E4">
      <w:r w:rsidRPr="00883980">
        <w:separator/>
      </w:r>
    </w:p>
  </w:footnote>
  <w:footnote w:type="continuationSeparator" w:id="0">
    <w:p w14:paraId="347DA3A6" w14:textId="77777777" w:rsidR="008A56E4" w:rsidRPr="00883980" w:rsidRDefault="008A56E4">
      <w:r w:rsidRPr="00883980">
        <w:continuationSeparator/>
      </w:r>
    </w:p>
  </w:footnote>
  <w:footnote w:id="1">
    <w:p w14:paraId="6AF3BAC5" w14:textId="315E3844" w:rsidR="004C77B7" w:rsidRPr="00883980" w:rsidRDefault="004C77B7" w:rsidP="00883980">
      <w:pPr>
        <w:pStyle w:val="FootnoteText"/>
        <w:ind w:left="567" w:hanging="567"/>
        <w:rPr>
          <w:sz w:val="24"/>
          <w:lang w:val="lt-LT"/>
        </w:rPr>
      </w:pPr>
      <w:r w:rsidRPr="00883980">
        <w:rPr>
          <w:rStyle w:val="FootnoteReference"/>
          <w:sz w:val="24"/>
          <w:lang w:val="lt-LT"/>
        </w:rPr>
        <w:footnoteRef/>
      </w:r>
      <w:r w:rsidR="00883980" w:rsidRPr="00883980">
        <w:rPr>
          <w:sz w:val="24"/>
          <w:lang w:val="lt-LT"/>
        </w:rPr>
        <w:t xml:space="preserve"> </w:t>
      </w:r>
      <w:r w:rsidR="00883980" w:rsidRPr="00883980">
        <w:rPr>
          <w:sz w:val="24"/>
          <w:lang w:val="lt-LT"/>
        </w:rPr>
        <w:tab/>
      </w:r>
      <w:r w:rsidRPr="00883980">
        <w:rPr>
          <w:sz w:val="24"/>
          <w:lang w:val="lt-LT"/>
        </w:rPr>
        <w:t xml:space="preserve">2008 m. spalio 21 d. Teisingumo Teismo sprendimas </w:t>
      </w:r>
      <w:r w:rsidRPr="00883980">
        <w:rPr>
          <w:i/>
          <w:sz w:val="24"/>
          <w:lang w:val="lt-LT"/>
        </w:rPr>
        <w:t>Marra / De Gregorio ir Clemente</w:t>
      </w:r>
      <w:r w:rsidRPr="00883980">
        <w:rPr>
          <w:sz w:val="24"/>
          <w:lang w:val="lt-LT"/>
        </w:rPr>
        <w:t xml:space="preserve">, C-200/07 ir C-201/07, ECLI:EU:C:2008:579; 2010 m. kovo 19 d. Bendrojo Teismo sprendimas </w:t>
      </w:r>
      <w:r w:rsidRPr="00883980">
        <w:rPr>
          <w:i/>
          <w:iCs/>
          <w:sz w:val="24"/>
          <w:lang w:val="lt-LT"/>
        </w:rPr>
        <w:t>Gollnisch / Parlamentas</w:t>
      </w:r>
      <w:r w:rsidRPr="00883980">
        <w:rPr>
          <w:sz w:val="24"/>
          <w:lang w:val="lt-LT"/>
        </w:rPr>
        <w:t xml:space="preserve">, T-42/06, ECLI:EU:T:2010:102; 2011 m. rugsėjo 6 d. Teisingumo Teismo sprendimas </w:t>
      </w:r>
      <w:r w:rsidRPr="00883980">
        <w:rPr>
          <w:i/>
          <w:sz w:val="24"/>
          <w:lang w:val="lt-LT"/>
        </w:rPr>
        <w:t>Patriciello</w:t>
      </w:r>
      <w:r w:rsidRPr="00883980">
        <w:rPr>
          <w:sz w:val="24"/>
          <w:lang w:val="lt-LT"/>
        </w:rPr>
        <w:t xml:space="preserve">, C-163/10, ECLI: EU:C:2011:543; 2013 m. sausio 17 d. Bendrojo Teismo sprendimas </w:t>
      </w:r>
      <w:r w:rsidRPr="00883980">
        <w:rPr>
          <w:i/>
          <w:iCs/>
          <w:sz w:val="24"/>
          <w:lang w:val="lt-LT"/>
        </w:rPr>
        <w:t>Gollnisch / Parlamentas</w:t>
      </w:r>
      <w:r w:rsidRPr="00883980">
        <w:rPr>
          <w:sz w:val="24"/>
          <w:lang w:val="lt-LT"/>
        </w:rPr>
        <w:t xml:space="preserve">, T-346/11 ir T-347/11, ECLI:EU:T:2013:23; 2019 m. gruodžio 19 d. Teisingumo Teismo sprendimas </w:t>
      </w:r>
      <w:r w:rsidRPr="00883980">
        <w:rPr>
          <w:i/>
          <w:iCs/>
          <w:sz w:val="24"/>
          <w:lang w:val="lt-LT"/>
        </w:rPr>
        <w:t>Junqueras Vies</w:t>
      </w:r>
      <w:r w:rsidRPr="00883980">
        <w:rPr>
          <w:sz w:val="24"/>
          <w:lang w:val="lt-LT"/>
        </w:rPr>
        <w:t xml:space="preserve">, C-502/19, ECLI:EU:C:2019:1115; 2023 m. liepos 5 d. Bendrojo Teismo sprendimas </w:t>
      </w:r>
      <w:r w:rsidRPr="00883980">
        <w:rPr>
          <w:i/>
          <w:sz w:val="24"/>
          <w:lang w:val="lt-LT"/>
        </w:rPr>
        <w:t>Puigdemont i Casamajó ir kt. / Parlamentas</w:t>
      </w:r>
      <w:r w:rsidRPr="00883980">
        <w:rPr>
          <w:sz w:val="24"/>
          <w:lang w:val="lt-LT"/>
        </w:rPr>
        <w:t>, T-272/21, ECLI:EU:T:2023:373.</w:t>
      </w:r>
    </w:p>
  </w:footnote>
  <w:footnote w:id="2">
    <w:p w14:paraId="2351075D" w14:textId="761519C5" w:rsidR="004C77B7" w:rsidRPr="00883980" w:rsidRDefault="004C77B7" w:rsidP="00883980">
      <w:pPr>
        <w:pStyle w:val="FootnoteText"/>
        <w:ind w:left="567" w:hanging="567"/>
        <w:rPr>
          <w:sz w:val="24"/>
          <w:lang w:val="lt-LT"/>
        </w:rPr>
      </w:pPr>
      <w:r w:rsidRPr="00883980">
        <w:rPr>
          <w:rStyle w:val="FootnoteReference"/>
          <w:sz w:val="24"/>
          <w:lang w:val="lt-LT"/>
        </w:rPr>
        <w:footnoteRef/>
      </w:r>
      <w:r w:rsidR="00883980" w:rsidRPr="00883980">
        <w:rPr>
          <w:sz w:val="24"/>
          <w:lang w:val="lt-LT"/>
        </w:rPr>
        <w:t xml:space="preserve"> </w:t>
      </w:r>
      <w:r w:rsidR="00883980" w:rsidRPr="00883980">
        <w:rPr>
          <w:sz w:val="24"/>
          <w:lang w:val="lt-LT"/>
        </w:rPr>
        <w:tab/>
      </w:r>
      <w:r w:rsidRPr="00883980">
        <w:rPr>
          <w:sz w:val="24"/>
          <w:lang w:val="lt-LT"/>
        </w:rPr>
        <w:t xml:space="preserve">2019 m. balandžio 30 d. Bendrojo Teismo sprendimas </w:t>
      </w:r>
      <w:r w:rsidRPr="00883980">
        <w:rPr>
          <w:i/>
          <w:iCs/>
          <w:sz w:val="24"/>
          <w:lang w:val="lt-LT"/>
        </w:rPr>
        <w:t>Briois / Parlamentas</w:t>
      </w:r>
      <w:r w:rsidRPr="00883980">
        <w:rPr>
          <w:sz w:val="24"/>
          <w:lang w:val="lt-LT"/>
        </w:rPr>
        <w:t>, T-214/18, ECLI:EU:T:2019:266.</w:t>
      </w:r>
    </w:p>
  </w:footnote>
  <w:footnote w:id="3">
    <w:p w14:paraId="76942E8F" w14:textId="3BDBB83E" w:rsidR="004C77B7" w:rsidRPr="00883980" w:rsidRDefault="004C77B7" w:rsidP="00883980">
      <w:pPr>
        <w:pStyle w:val="FootnoteText"/>
        <w:ind w:left="567" w:hanging="567"/>
        <w:rPr>
          <w:sz w:val="24"/>
          <w:lang w:val="lt-LT"/>
        </w:rPr>
      </w:pPr>
      <w:r w:rsidRPr="00883980">
        <w:rPr>
          <w:rStyle w:val="FootnoteReference"/>
          <w:sz w:val="24"/>
          <w:lang w:val="lt-LT"/>
        </w:rPr>
        <w:footnoteRef/>
      </w:r>
      <w:r w:rsidR="00883980" w:rsidRPr="00883980">
        <w:rPr>
          <w:sz w:val="24"/>
          <w:lang w:val="lt-LT"/>
        </w:rPr>
        <w:t xml:space="preserve"> </w:t>
      </w:r>
      <w:r w:rsidR="00883980" w:rsidRPr="00883980">
        <w:rPr>
          <w:sz w:val="24"/>
          <w:lang w:val="lt-LT"/>
        </w:rPr>
        <w:tab/>
      </w:r>
      <w:r w:rsidRPr="00883980">
        <w:rPr>
          <w:sz w:val="24"/>
          <w:lang w:val="lt-LT"/>
        </w:rPr>
        <w:t xml:space="preserve">2011 m. rugsėjo 6 d. Teisingumo Teismo sprendimo </w:t>
      </w:r>
      <w:r w:rsidRPr="00883980">
        <w:rPr>
          <w:i/>
          <w:sz w:val="24"/>
          <w:lang w:val="lt-LT"/>
        </w:rPr>
        <w:t>Patriciello</w:t>
      </w:r>
      <w:r w:rsidRPr="00883980">
        <w:rPr>
          <w:sz w:val="24"/>
          <w:lang w:val="lt-LT"/>
        </w:rPr>
        <w:t>, C-163/10, ECLI: EU:C:2011:543, 26 punktas.</w:t>
      </w:r>
    </w:p>
  </w:footnote>
  <w:footnote w:id="4">
    <w:p w14:paraId="2DCB117F" w14:textId="39CAEE1B" w:rsidR="004C77B7" w:rsidRPr="00883980" w:rsidRDefault="004C77B7" w:rsidP="00883980">
      <w:pPr>
        <w:pStyle w:val="FootnoteText"/>
        <w:ind w:left="567" w:hanging="567"/>
        <w:rPr>
          <w:sz w:val="24"/>
          <w:lang w:val="lt-LT"/>
        </w:rPr>
      </w:pPr>
      <w:r w:rsidRPr="00883980">
        <w:rPr>
          <w:rStyle w:val="FootnoteReference"/>
          <w:sz w:val="24"/>
          <w:lang w:val="lt-LT"/>
        </w:rPr>
        <w:footnoteRef/>
      </w:r>
      <w:r w:rsidR="00883980" w:rsidRPr="00883980">
        <w:rPr>
          <w:sz w:val="24"/>
          <w:lang w:val="lt-LT"/>
        </w:rPr>
        <w:t xml:space="preserve"> </w:t>
      </w:r>
      <w:r w:rsidR="00883980" w:rsidRPr="00883980">
        <w:rPr>
          <w:sz w:val="24"/>
          <w:lang w:val="lt-LT"/>
        </w:rPr>
        <w:tab/>
      </w:r>
      <w:r w:rsidRPr="00883980">
        <w:rPr>
          <w:sz w:val="24"/>
          <w:lang w:val="lt-LT"/>
        </w:rPr>
        <w:t xml:space="preserve">2013 m. sausio 17 d. Teisingumo Teismo sprendimo </w:t>
      </w:r>
      <w:r w:rsidRPr="00883980">
        <w:rPr>
          <w:i/>
          <w:sz w:val="24"/>
          <w:lang w:val="lt-LT"/>
        </w:rPr>
        <w:t>Gollnisch / Parlamentas</w:t>
      </w:r>
      <w:r w:rsidRPr="00883980">
        <w:rPr>
          <w:sz w:val="24"/>
          <w:lang w:val="lt-LT"/>
        </w:rPr>
        <w:t>, T-346/11 ir T-347/11, ECLI:EU:T:2013:23, 59 punktas ir jame nurodyta jurisprudencija.</w:t>
      </w:r>
    </w:p>
  </w:footnote>
  <w:footnote w:id="5">
    <w:p w14:paraId="626AFE31" w14:textId="339A2046" w:rsidR="004C77B7" w:rsidRPr="00883980" w:rsidRDefault="004C77B7" w:rsidP="00883980">
      <w:pPr>
        <w:pStyle w:val="FootnoteText"/>
        <w:ind w:left="567" w:hanging="567"/>
        <w:rPr>
          <w:sz w:val="24"/>
          <w:lang w:val="lt-LT"/>
        </w:rPr>
      </w:pPr>
      <w:r w:rsidRPr="00883980">
        <w:rPr>
          <w:rStyle w:val="FootnoteReference"/>
          <w:sz w:val="24"/>
          <w:lang w:val="lt-LT"/>
        </w:rPr>
        <w:footnoteRef/>
      </w:r>
      <w:r w:rsidR="00883980" w:rsidRPr="00883980">
        <w:rPr>
          <w:sz w:val="24"/>
          <w:lang w:val="lt-LT"/>
        </w:rPr>
        <w:t xml:space="preserve"> </w:t>
      </w:r>
      <w:r w:rsidR="00883980" w:rsidRPr="00883980">
        <w:rPr>
          <w:sz w:val="24"/>
          <w:lang w:val="lt-LT"/>
        </w:rPr>
        <w:tab/>
      </w:r>
      <w:r w:rsidRPr="00883980">
        <w:rPr>
          <w:sz w:val="24"/>
          <w:lang w:val="lt-LT"/>
        </w:rPr>
        <w:t xml:space="preserve">2020 m. rugsėjo 17 d. Teisingumo Teismo sprendimo </w:t>
      </w:r>
      <w:r w:rsidRPr="00883980">
        <w:rPr>
          <w:i/>
          <w:sz w:val="24"/>
          <w:lang w:val="lt-LT"/>
        </w:rPr>
        <w:t>Troszczynski / Parlamentas</w:t>
      </w:r>
      <w:r w:rsidRPr="00883980">
        <w:rPr>
          <w:sz w:val="24"/>
          <w:lang w:val="lt-LT"/>
        </w:rPr>
        <w:t>, C-12/19 P, ECLI:EU:C:2020:725, 26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D8C61" w14:textId="77777777" w:rsidR="00064002" w:rsidRPr="008839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0C383" w14:textId="77777777" w:rsidR="00064002" w:rsidRPr="008839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4F48" w14:textId="77777777" w:rsidR="00064002" w:rsidRPr="008839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9745686">
    <w:abstractNumId w:val="9"/>
  </w:num>
  <w:num w:numId="2" w16cid:durableId="1282111095">
    <w:abstractNumId w:val="9"/>
  </w:num>
  <w:num w:numId="3" w16cid:durableId="2133555601">
    <w:abstractNumId w:val="7"/>
  </w:num>
  <w:num w:numId="4" w16cid:durableId="348222425">
    <w:abstractNumId w:val="7"/>
  </w:num>
  <w:num w:numId="5" w16cid:durableId="2066905846">
    <w:abstractNumId w:val="6"/>
  </w:num>
  <w:num w:numId="6" w16cid:durableId="325474564">
    <w:abstractNumId w:val="6"/>
  </w:num>
  <w:num w:numId="7" w16cid:durableId="516621251">
    <w:abstractNumId w:val="5"/>
  </w:num>
  <w:num w:numId="8" w16cid:durableId="1622227982">
    <w:abstractNumId w:val="5"/>
  </w:num>
  <w:num w:numId="9" w16cid:durableId="2082554888">
    <w:abstractNumId w:val="4"/>
  </w:num>
  <w:num w:numId="10" w16cid:durableId="1700818220">
    <w:abstractNumId w:val="4"/>
  </w:num>
  <w:num w:numId="11" w16cid:durableId="899173087">
    <w:abstractNumId w:val="8"/>
  </w:num>
  <w:num w:numId="12" w16cid:durableId="2087996605">
    <w:abstractNumId w:val="8"/>
  </w:num>
  <w:num w:numId="13" w16cid:durableId="1685159614">
    <w:abstractNumId w:val="3"/>
  </w:num>
  <w:num w:numId="14" w16cid:durableId="1248034325">
    <w:abstractNumId w:val="3"/>
  </w:num>
  <w:num w:numId="15" w16cid:durableId="468398582">
    <w:abstractNumId w:val="2"/>
  </w:num>
  <w:num w:numId="16" w16cid:durableId="624510528">
    <w:abstractNumId w:val="2"/>
  </w:num>
  <w:num w:numId="17" w16cid:durableId="455219788">
    <w:abstractNumId w:val="1"/>
  </w:num>
  <w:num w:numId="18" w16cid:durableId="278534186">
    <w:abstractNumId w:val="1"/>
  </w:num>
  <w:num w:numId="19" w16cid:durableId="1737045282">
    <w:abstractNumId w:val="0"/>
  </w:num>
  <w:num w:numId="20" w16cid:durableId="289823462">
    <w:abstractNumId w:val="0"/>
  </w:num>
  <w:num w:numId="21" w16cid:durableId="209924396">
    <w:abstractNumId w:val="9"/>
  </w:num>
  <w:num w:numId="22" w16cid:durableId="1364817789">
    <w:abstractNumId w:val="7"/>
  </w:num>
  <w:num w:numId="23" w16cid:durableId="952445656">
    <w:abstractNumId w:val="6"/>
  </w:num>
  <w:num w:numId="24" w16cid:durableId="12652458">
    <w:abstractNumId w:val="5"/>
  </w:num>
  <w:num w:numId="25" w16cid:durableId="1629818660">
    <w:abstractNumId w:val="4"/>
  </w:num>
  <w:num w:numId="26" w16cid:durableId="1291133842">
    <w:abstractNumId w:val="8"/>
  </w:num>
  <w:num w:numId="27" w16cid:durableId="1254438049">
    <w:abstractNumId w:val="3"/>
  </w:num>
  <w:num w:numId="28" w16cid:durableId="1214390729">
    <w:abstractNumId w:val="2"/>
  </w:num>
  <w:num w:numId="29" w16cid:durableId="2108500207">
    <w:abstractNumId w:val="1"/>
  </w:num>
  <w:num w:numId="30" w16cid:durableId="1578443270">
    <w:abstractNumId w:val="0"/>
  </w:num>
  <w:num w:numId="31" w16cid:durableId="2057003660">
    <w:abstractNumId w:val="9"/>
  </w:num>
  <w:num w:numId="32" w16cid:durableId="1198617218">
    <w:abstractNumId w:val="7"/>
  </w:num>
  <w:num w:numId="33" w16cid:durableId="1711299792">
    <w:abstractNumId w:val="6"/>
  </w:num>
  <w:num w:numId="34" w16cid:durableId="1158964488">
    <w:abstractNumId w:val="5"/>
  </w:num>
  <w:num w:numId="35" w16cid:durableId="1865367568">
    <w:abstractNumId w:val="4"/>
  </w:num>
  <w:num w:numId="36" w16cid:durableId="91434938">
    <w:abstractNumId w:val="8"/>
  </w:num>
  <w:num w:numId="37" w16cid:durableId="1046299375">
    <w:abstractNumId w:val="3"/>
  </w:num>
  <w:num w:numId="38" w16cid:durableId="1581400521">
    <w:abstractNumId w:val="2"/>
  </w:num>
  <w:num w:numId="39" w16cid:durableId="479422624">
    <w:abstractNumId w:val="1"/>
  </w:num>
  <w:num w:numId="40" w16cid:durableId="1015351526">
    <w:abstractNumId w:val="0"/>
  </w:num>
  <w:num w:numId="41" w16cid:durableId="1237740753">
    <w:abstractNumId w:val="10"/>
  </w:num>
  <w:num w:numId="42" w16cid:durableId="2054190716">
    <w:abstractNumId w:val="10"/>
  </w:num>
  <w:num w:numId="43" w16cid:durableId="1614507988">
    <w:abstractNumId w:val="10"/>
  </w:num>
  <w:num w:numId="44" w16cid:durableId="1941987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LT"/>
    <w:docVar w:name="dvnumam" w:val="0"/>
    <w:docVar w:name="dvpe" w:val="774.382"/>
    <w:docVar w:name="dvrapporteur" w:val="Pranešėjas: "/>
    <w:docVar w:name="dvtitre" w:val="2025 m. gruodzio 16 d. Europos Parlamento sprendimas dėl prašymo atšaukti Elisabettos Gualmini (Elisabetta Gualmini) imunitetą(2025/2063(IMM))"/>
  </w:docVars>
  <w:rsids>
    <w:rsidRoot w:val="008A56E4"/>
    <w:rsid w:val="00002272"/>
    <w:rsid w:val="00064002"/>
    <w:rsid w:val="000677B9"/>
    <w:rsid w:val="000831BA"/>
    <w:rsid w:val="000A42CC"/>
    <w:rsid w:val="000E7DD9"/>
    <w:rsid w:val="0010095E"/>
    <w:rsid w:val="00125B37"/>
    <w:rsid w:val="00173776"/>
    <w:rsid w:val="00187494"/>
    <w:rsid w:val="001D6CD6"/>
    <w:rsid w:val="001F32AE"/>
    <w:rsid w:val="001F6FC4"/>
    <w:rsid w:val="00274654"/>
    <w:rsid w:val="002767FF"/>
    <w:rsid w:val="002B18FE"/>
    <w:rsid w:val="002B5493"/>
    <w:rsid w:val="00343214"/>
    <w:rsid w:val="00361C00"/>
    <w:rsid w:val="00370827"/>
    <w:rsid w:val="00395FA1"/>
    <w:rsid w:val="003A2055"/>
    <w:rsid w:val="003D69B7"/>
    <w:rsid w:val="003E15D4"/>
    <w:rsid w:val="003E3E22"/>
    <w:rsid w:val="00411CCE"/>
    <w:rsid w:val="0041666E"/>
    <w:rsid w:val="00421060"/>
    <w:rsid w:val="00454496"/>
    <w:rsid w:val="00461378"/>
    <w:rsid w:val="00471C19"/>
    <w:rsid w:val="004867E3"/>
    <w:rsid w:val="00494A28"/>
    <w:rsid w:val="004C0004"/>
    <w:rsid w:val="004C4587"/>
    <w:rsid w:val="004C5D52"/>
    <w:rsid w:val="004C77B7"/>
    <w:rsid w:val="004E4141"/>
    <w:rsid w:val="0050519A"/>
    <w:rsid w:val="005072A1"/>
    <w:rsid w:val="00514517"/>
    <w:rsid w:val="00545827"/>
    <w:rsid w:val="00560270"/>
    <w:rsid w:val="005C2568"/>
    <w:rsid w:val="005F1B17"/>
    <w:rsid w:val="006037C0"/>
    <w:rsid w:val="006631B6"/>
    <w:rsid w:val="00680577"/>
    <w:rsid w:val="006F74FA"/>
    <w:rsid w:val="00731ADD"/>
    <w:rsid w:val="00734777"/>
    <w:rsid w:val="00744D2F"/>
    <w:rsid w:val="00747932"/>
    <w:rsid w:val="00751A4A"/>
    <w:rsid w:val="00756632"/>
    <w:rsid w:val="00762C74"/>
    <w:rsid w:val="0078421B"/>
    <w:rsid w:val="00786EC0"/>
    <w:rsid w:val="007946B6"/>
    <w:rsid w:val="007A6325"/>
    <w:rsid w:val="007D1690"/>
    <w:rsid w:val="007E22AD"/>
    <w:rsid w:val="00817416"/>
    <w:rsid w:val="00842779"/>
    <w:rsid w:val="00865F67"/>
    <w:rsid w:val="00881A7B"/>
    <w:rsid w:val="00883980"/>
    <w:rsid w:val="008840E5"/>
    <w:rsid w:val="00887B3E"/>
    <w:rsid w:val="008A56E4"/>
    <w:rsid w:val="008C2AC6"/>
    <w:rsid w:val="00930C23"/>
    <w:rsid w:val="0093193B"/>
    <w:rsid w:val="009509D8"/>
    <w:rsid w:val="00950B64"/>
    <w:rsid w:val="00981893"/>
    <w:rsid w:val="009C3F51"/>
    <w:rsid w:val="00A1687D"/>
    <w:rsid w:val="00A43E52"/>
    <w:rsid w:val="00A4483B"/>
    <w:rsid w:val="00A4678D"/>
    <w:rsid w:val="00A778C7"/>
    <w:rsid w:val="00AB441E"/>
    <w:rsid w:val="00AB6293"/>
    <w:rsid w:val="00AE0928"/>
    <w:rsid w:val="00AF3B82"/>
    <w:rsid w:val="00B12CC4"/>
    <w:rsid w:val="00B12E95"/>
    <w:rsid w:val="00B22876"/>
    <w:rsid w:val="00B558F0"/>
    <w:rsid w:val="00BC09AA"/>
    <w:rsid w:val="00BD48FE"/>
    <w:rsid w:val="00BD600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1D2"/>
    <w:rsid w:val="00E365E1"/>
    <w:rsid w:val="00E820A4"/>
    <w:rsid w:val="00EB006A"/>
    <w:rsid w:val="00EB4772"/>
    <w:rsid w:val="00ED169E"/>
    <w:rsid w:val="00ED4235"/>
    <w:rsid w:val="00F04346"/>
    <w:rsid w:val="00F075DC"/>
    <w:rsid w:val="00F149E9"/>
    <w:rsid w:val="00F27207"/>
    <w:rsid w:val="00F5134D"/>
    <w:rsid w:val="00F57972"/>
    <w:rsid w:val="00F74202"/>
    <w:rsid w:val="00F87713"/>
    <w:rsid w:val="00F97C5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9534A"/>
  <w15:chartTrackingRefBased/>
  <w15:docId w15:val="{B0D81849-65AB-4653-9E0F-75FA8B24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77B7"/>
    <w:pPr>
      <w:spacing w:after="240"/>
      <w:ind w:left="567" w:hanging="567"/>
    </w:pPr>
  </w:style>
  <w:style w:type="paragraph" w:customStyle="1" w:styleId="EPComma">
    <w:name w:val="EPComma"/>
    <w:basedOn w:val="Normal"/>
    <w:rsid w:val="004C77B7"/>
    <w:pPr>
      <w:spacing w:before="480" w:after="240"/>
    </w:pPr>
  </w:style>
  <w:style w:type="paragraph" w:styleId="Revision">
    <w:name w:val="Revision"/>
    <w:hidden/>
    <w:uiPriority w:val="99"/>
    <w:semiHidden/>
    <w:rsid w:val="00B12CC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9463</Characters>
  <Application>Microsoft Office Word</Application>
  <DocSecurity>0</DocSecurity>
  <Lines>78</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Prašymas atšaukti Elisabettos Gualmini (Elisabetta Gualmini) imunitetą</vt:lpstr>
      <vt:lpstr>        2025 m. gruodžio 16 d. Europos Parlamento sprendimas dėl prašymo atšaukti Elisab</vt:lpstr>
    </vt:vector>
  </TitlesOfParts>
  <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2025-12-16T11:43:00Z</cp:lastPrinted>
  <dcterms:created xsi:type="dcterms:W3CDTF">2025-12-16T15:31:00Z</dcterms:created>
  <dcterms:modified xsi:type="dcterms:W3CDTF">2025-12-16T15:31:00Z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A10-0263/2025</vt:lpwstr>
  </property>
  <property fmtid="{D5CDD505-2E9C-101B-9397-08002B2CF9AE}" pid="4" name="&lt;Type&gt;">
    <vt:lpwstr>RR</vt:lpwstr>
  </property>
</Properties>
</file>