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3314" w14:paraId="3D5AC4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A34ED8" w14:textId="77777777" w:rsidR="00751A4A" w:rsidRPr="00B43314" w:rsidRDefault="00481944" w:rsidP="0010095E">
            <w:pPr>
              <w:pStyle w:val="EPName"/>
            </w:pPr>
            <w:r w:rsidRPr="00B43314">
              <w:t>Parlament Europejski</w:t>
            </w:r>
          </w:p>
          <w:p w14:paraId="2D1494AE" w14:textId="77777777" w:rsidR="00751A4A" w:rsidRPr="00B433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3314">
              <w:t>2024</w:t>
            </w:r>
            <w:r w:rsidR="00817416" w:rsidRPr="00B43314">
              <w:t>-202</w:t>
            </w:r>
            <w:r w:rsidRPr="00B43314">
              <w:t>9</w:t>
            </w:r>
          </w:p>
        </w:tc>
        <w:tc>
          <w:tcPr>
            <w:tcW w:w="2268" w:type="dxa"/>
            <w:shd w:val="clear" w:color="auto" w:fill="auto"/>
          </w:tcPr>
          <w:p w14:paraId="09989362" w14:textId="77777777" w:rsidR="00751A4A" w:rsidRPr="00B43314" w:rsidRDefault="00187494" w:rsidP="0010095E">
            <w:pPr>
              <w:pStyle w:val="EPLogo"/>
            </w:pPr>
            <w:r w:rsidRPr="00B43314">
              <w:rPr>
                <w:noProof/>
                <w:lang w:eastAsia="ja-JP"/>
              </w:rPr>
              <w:drawing>
                <wp:inline distT="0" distB="0" distL="0" distR="0" wp14:anchorId="4EEE69C7" wp14:editId="2B5CD0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355C60" w14:textId="77777777" w:rsidR="00D058B8" w:rsidRPr="00B43314" w:rsidRDefault="00D058B8" w:rsidP="004C5D52">
      <w:pPr>
        <w:pStyle w:val="LineTop"/>
      </w:pPr>
    </w:p>
    <w:p w14:paraId="4025C88F" w14:textId="77777777" w:rsidR="00680577" w:rsidRPr="00B43314" w:rsidRDefault="00481944" w:rsidP="00680577">
      <w:pPr>
        <w:pStyle w:val="EPBodyTA1"/>
      </w:pPr>
      <w:r w:rsidRPr="00B43314">
        <w:t>TEKSTY PRZYJĘTE</w:t>
      </w:r>
    </w:p>
    <w:p w14:paraId="048BEF31" w14:textId="77777777" w:rsidR="00D058B8" w:rsidRPr="00B43314" w:rsidRDefault="00D058B8" w:rsidP="00D058B8">
      <w:pPr>
        <w:pStyle w:val="LineBottom"/>
      </w:pPr>
    </w:p>
    <w:p w14:paraId="0763EB18" w14:textId="48940AE2" w:rsidR="00481944" w:rsidRPr="00B43314" w:rsidRDefault="00481944" w:rsidP="00481944">
      <w:pPr>
        <w:pStyle w:val="ATHeading1"/>
      </w:pPr>
      <w:bookmarkStart w:id="0" w:name="TANumber"/>
      <w:r w:rsidRPr="00B43314">
        <w:t>P10_TA(2025)0</w:t>
      </w:r>
      <w:bookmarkEnd w:id="0"/>
      <w:r w:rsidR="00DB6A22">
        <w:t>316</w:t>
      </w:r>
    </w:p>
    <w:p w14:paraId="1F3EA55A" w14:textId="3C52E8DA" w:rsidR="00481944" w:rsidRPr="00D155E6" w:rsidRDefault="00D155E6" w:rsidP="00481944">
      <w:pPr>
        <w:pStyle w:val="ATHeading2"/>
      </w:pPr>
      <w:r w:rsidRPr="00D155E6">
        <w:rPr>
          <w:bCs/>
        </w:rPr>
        <w:t xml:space="preserve">Wniosek o uchylenie immunitetu </w:t>
      </w:r>
      <w:proofErr w:type="spellStart"/>
      <w:r w:rsidRPr="00D155E6">
        <w:rPr>
          <w:bCs/>
        </w:rPr>
        <w:t>Elisabetty</w:t>
      </w:r>
      <w:proofErr w:type="spellEnd"/>
      <w:r w:rsidRPr="00D155E6">
        <w:rPr>
          <w:bCs/>
        </w:rPr>
        <w:t xml:space="preserve"> </w:t>
      </w:r>
      <w:proofErr w:type="spellStart"/>
      <w:r w:rsidRPr="00D155E6">
        <w:rPr>
          <w:bCs/>
        </w:rPr>
        <w:t>Gualmini</w:t>
      </w:r>
      <w:proofErr w:type="spellEnd"/>
    </w:p>
    <w:p w14:paraId="415A38EC" w14:textId="77777777" w:rsidR="00481944" w:rsidRPr="00B43314" w:rsidRDefault="00481944" w:rsidP="00481944">
      <w:pPr>
        <w:rPr>
          <w:i/>
          <w:vanish/>
        </w:rPr>
      </w:pPr>
      <w:r w:rsidRPr="00B43314">
        <w:rPr>
          <w:i/>
        </w:rPr>
        <w:fldChar w:fldCharType="begin"/>
      </w:r>
      <w:r w:rsidRPr="00B43314">
        <w:rPr>
          <w:i/>
        </w:rPr>
        <w:instrText xml:space="preserve"> TC"(</w:instrText>
      </w:r>
      <w:bookmarkStart w:id="1" w:name="DocNumber"/>
      <w:r w:rsidRPr="00B43314">
        <w:rPr>
          <w:i/>
        </w:rPr>
        <w:instrText>A10-0263/2025</w:instrText>
      </w:r>
      <w:bookmarkEnd w:id="1"/>
      <w:r w:rsidRPr="00B43314">
        <w:rPr>
          <w:i/>
        </w:rPr>
        <w:instrText xml:space="preserve"> - Sprawozdawca: Ilhan Kyuchyuk)"\l3 \n&gt; \* MERGEFORMAT </w:instrText>
      </w:r>
      <w:r w:rsidRPr="00B43314">
        <w:rPr>
          <w:i/>
        </w:rPr>
        <w:fldChar w:fldCharType="end"/>
      </w:r>
    </w:p>
    <w:p w14:paraId="3D469DA9" w14:textId="77777777" w:rsidR="00481944" w:rsidRPr="00B43314" w:rsidRDefault="00481944" w:rsidP="00481944">
      <w:pPr>
        <w:rPr>
          <w:vanish/>
        </w:rPr>
      </w:pPr>
      <w:bookmarkStart w:id="2" w:name="Commission"/>
      <w:r w:rsidRPr="00B43314">
        <w:rPr>
          <w:vanish/>
        </w:rPr>
        <w:t>Komisja Prawna</w:t>
      </w:r>
      <w:bookmarkEnd w:id="2"/>
    </w:p>
    <w:p w14:paraId="591B33C2" w14:textId="77777777" w:rsidR="00481944" w:rsidRPr="00B43314" w:rsidRDefault="00481944" w:rsidP="00481944">
      <w:pPr>
        <w:rPr>
          <w:vanish/>
        </w:rPr>
      </w:pPr>
      <w:bookmarkStart w:id="3" w:name="PE"/>
      <w:r w:rsidRPr="00B43314">
        <w:rPr>
          <w:vanish/>
        </w:rPr>
        <w:t>PE774.382</w:t>
      </w:r>
      <w:bookmarkEnd w:id="3"/>
    </w:p>
    <w:p w14:paraId="4EECC797" w14:textId="2002EE81" w:rsidR="00481944" w:rsidRPr="00B43314" w:rsidRDefault="00481944" w:rsidP="00D155E6">
      <w:pPr>
        <w:pStyle w:val="ATHeading3"/>
      </w:pPr>
      <w:bookmarkStart w:id="4" w:name="Sujet"/>
      <w:r w:rsidRPr="00B43314">
        <w:t xml:space="preserve">Decyzja Parlamentu Europejskiego z dnia </w:t>
      </w:r>
      <w:r w:rsidR="00D155E6">
        <w:t>16 grudnia</w:t>
      </w:r>
      <w:r w:rsidRPr="00B43314">
        <w:t xml:space="preserve"> 2025 r. w sprawie wniosku o uchylenie immunitetu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bookmarkEnd w:id="4"/>
      <w:proofErr w:type="spellEnd"/>
      <w:r w:rsidRPr="00B43314">
        <w:t xml:space="preserve"> </w:t>
      </w:r>
      <w:bookmarkStart w:id="5" w:name="References"/>
      <w:r w:rsidRPr="00B43314">
        <w:t>(2025/2063(IMM))</w:t>
      </w:r>
      <w:bookmarkEnd w:id="5"/>
    </w:p>
    <w:p w14:paraId="1DED60A1" w14:textId="77777777" w:rsidR="00F5508D" w:rsidRPr="00B43314" w:rsidRDefault="00F5508D" w:rsidP="00F5508D">
      <w:pPr>
        <w:pStyle w:val="EPComma"/>
      </w:pPr>
      <w:bookmarkStart w:id="6" w:name="TextBodyBegin"/>
      <w:bookmarkEnd w:id="6"/>
      <w:r w:rsidRPr="00B43314">
        <w:rPr>
          <w:i/>
        </w:rPr>
        <w:t>Parlament Europejski</w:t>
      </w:r>
      <w:r w:rsidRPr="00B43314">
        <w:t>,</w:t>
      </w:r>
    </w:p>
    <w:p w14:paraId="36A0CBB8" w14:textId="414612CF" w:rsidR="00F5508D" w:rsidRPr="00B43314" w:rsidRDefault="00F5508D" w:rsidP="00F5508D">
      <w:pPr>
        <w:pStyle w:val="NormalHanging12a"/>
      </w:pPr>
      <w:r w:rsidRPr="00B43314">
        <w:t>–</w:t>
      </w:r>
      <w:r w:rsidRPr="00B43314">
        <w:tab/>
        <w:t xml:space="preserve">uwzględniając wniosek o uchylenie immunitetu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, otrzymany pismem z </w:t>
      </w:r>
      <w:r w:rsidR="00D155E6">
        <w:t xml:space="preserve">dnia </w:t>
      </w:r>
      <w:r w:rsidRPr="00B43314">
        <w:t>27 lutego 2025 r. od służby protokolarnej belgijskiego ministerstwa federalnego spraw zagranicznych, handlu zagranicznego i współpracy na rzecz rozwoju, przekazującym wniosek belgijskiej prokuratury federalnej w związku z postępowaniem karnym, które ma zostać wszczęte przeciwko niej, ogłoszony w Parlamencie 10 marca 2025 r.,</w:t>
      </w:r>
    </w:p>
    <w:p w14:paraId="51B41368" w14:textId="77777777" w:rsidR="00F5508D" w:rsidRPr="00B43314" w:rsidRDefault="00F5508D" w:rsidP="00F5508D">
      <w:pPr>
        <w:pStyle w:val="NormalHanging12a"/>
      </w:pPr>
      <w:r w:rsidRPr="00B43314">
        <w:t>–</w:t>
      </w:r>
      <w:r w:rsidRPr="00B43314">
        <w:tab/>
        <w:t xml:space="preserve">po wysłuchaniu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4 czerwca 2025 r. i uwzględniając przedstawione przez nią dokumenty, zgodnie z art. 9 ust. 6 Regulaminu,</w:t>
      </w:r>
    </w:p>
    <w:p w14:paraId="04595427" w14:textId="437910A3" w:rsidR="00F5508D" w:rsidRPr="00B43314" w:rsidRDefault="00F5508D" w:rsidP="00F5508D">
      <w:pPr>
        <w:pStyle w:val="NormalHanging12a"/>
      </w:pPr>
      <w:r w:rsidRPr="00B43314">
        <w:t>–</w:t>
      </w:r>
      <w:r w:rsidRPr="00B43314">
        <w:tab/>
        <w:t xml:space="preserve">uwzględniając dodatkowe informacje przekazane przez belgijskiego prokuratora federalnego pismem z </w:t>
      </w:r>
      <w:r w:rsidR="00D155E6">
        <w:t xml:space="preserve">dnia </w:t>
      </w:r>
      <w:r w:rsidRPr="00B43314">
        <w:t>27 czerwca 2025 r.,</w:t>
      </w:r>
    </w:p>
    <w:p w14:paraId="71FE07B3" w14:textId="77777777" w:rsidR="00F5508D" w:rsidRPr="00B43314" w:rsidRDefault="00F5508D" w:rsidP="00F5508D">
      <w:pPr>
        <w:pStyle w:val="NormalHanging12a"/>
      </w:pPr>
      <w:r w:rsidRPr="00B43314">
        <w:t>–</w:t>
      </w:r>
      <w:r w:rsidRPr="00B43314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397A4C53" w14:textId="77777777" w:rsidR="00F5508D" w:rsidRPr="00B43314" w:rsidRDefault="00F5508D" w:rsidP="00F5508D">
      <w:pPr>
        <w:pStyle w:val="NormalHanging12a"/>
      </w:pPr>
      <w:r w:rsidRPr="00B43314">
        <w:t>–</w:t>
      </w:r>
      <w:r w:rsidRPr="00B43314">
        <w:tab/>
        <w:t>uwzględniając wyroki wydane przez Trybunał Sprawiedliwości Unii Europejskiej 21 października 2008 r., 19 marca 2010 r., 6 września 2011 r., 17 stycznia 2013 r., 19 grudnia 2019 r. i 5 lipca 2023 r.</w:t>
      </w:r>
      <w:r w:rsidRPr="00B43314">
        <w:rPr>
          <w:rStyle w:val="FootnoteReference"/>
        </w:rPr>
        <w:footnoteReference w:id="1"/>
      </w:r>
      <w:r w:rsidRPr="00B43314">
        <w:t>,</w:t>
      </w:r>
    </w:p>
    <w:p w14:paraId="23CECE04" w14:textId="77777777" w:rsidR="00F5508D" w:rsidRPr="00B43314" w:rsidRDefault="00F5508D" w:rsidP="00F5508D">
      <w:pPr>
        <w:pStyle w:val="NormalHanging12a"/>
      </w:pPr>
      <w:r w:rsidRPr="00B43314">
        <w:lastRenderedPageBreak/>
        <w:t>–</w:t>
      </w:r>
      <w:r w:rsidRPr="00B43314">
        <w:tab/>
        <w:t>uwzględniając art. 5 ust. 2, art. 6 ust. 1 oraz art. 9 Regulaminu,</w:t>
      </w:r>
    </w:p>
    <w:p w14:paraId="4FC23C54" w14:textId="77777777" w:rsidR="00F5508D" w:rsidRPr="00B43314" w:rsidRDefault="00F5508D" w:rsidP="00F5508D">
      <w:pPr>
        <w:pStyle w:val="NormalHanging12a"/>
      </w:pPr>
      <w:r w:rsidRPr="00B43314">
        <w:t>–</w:t>
      </w:r>
      <w:r w:rsidRPr="00B43314">
        <w:tab/>
        <w:t>uwzględniając sprawozdanie Komisji Prawnej (A10-0263/2025),</w:t>
      </w:r>
    </w:p>
    <w:p w14:paraId="69914A4A" w14:textId="77777777" w:rsidR="00F5508D" w:rsidRPr="00B43314" w:rsidRDefault="00F5508D" w:rsidP="00F5508D">
      <w:pPr>
        <w:pStyle w:val="NormalHanging12a"/>
      </w:pPr>
      <w:r w:rsidRPr="00B43314">
        <w:t>A.</w:t>
      </w:r>
      <w:r w:rsidRPr="00B43314">
        <w:tab/>
      </w:r>
      <w:bookmarkStart w:id="7" w:name="_Hlk210981952"/>
      <w:r w:rsidRPr="00B43314">
        <w:t xml:space="preserve">mając na uwadze, że 27 lutego 2025 r. belgijski prokurator federalny złożył wniosek o uchylenie immunitetu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>, posłanki do Parlamentu Europejskiego wybranej we Włoszech, w związku z zamierzonym postępowaniem karnym przeciwko niej;</w:t>
      </w:r>
      <w:bookmarkEnd w:id="7"/>
    </w:p>
    <w:p w14:paraId="05DBE8AE" w14:textId="41FFEC84" w:rsidR="00F5508D" w:rsidRPr="00B43314" w:rsidRDefault="00F5508D" w:rsidP="00F5508D">
      <w:pPr>
        <w:pStyle w:val="NormalHanging12a"/>
      </w:pPr>
      <w:r w:rsidRPr="00B43314">
        <w:t>B.</w:t>
      </w:r>
      <w:r w:rsidRPr="00B43314">
        <w:tab/>
      </w:r>
      <w:bookmarkStart w:id="8" w:name="_Hlk210982188"/>
      <w:r w:rsidRPr="00B43314">
        <w:t xml:space="preserve">mając na uwadze, że trwające śledztwo w kontekście tzw. sprawy </w:t>
      </w:r>
      <w:proofErr w:type="spellStart"/>
      <w:r w:rsidRPr="00B43314">
        <w:t>Qatargate</w:t>
      </w:r>
      <w:proofErr w:type="spellEnd"/>
      <w:r w:rsidRPr="00B43314">
        <w:t xml:space="preserve"> miało ujawnić istnienie w instytucjach </w:t>
      </w:r>
      <w:r w:rsidR="00442EE3">
        <w:t>unijnych</w:t>
      </w:r>
      <w:r w:rsidRPr="00B43314">
        <w:t xml:space="preserve">, w szczególności w Parlamencie Europejskim, grupy przestępczej, której celem było wykorzystanie jej sieci wpływów w instytucjach </w:t>
      </w:r>
      <w:r w:rsidR="00442EE3">
        <w:t>unijnych</w:t>
      </w:r>
      <w:r w:rsidR="00D155E6">
        <w:t>,</w:t>
      </w:r>
      <w:r w:rsidRPr="00B43314">
        <w:t xml:space="preserve"> zwłaszcza w odniesieniu do posłów, asystentów i urzędników</w:t>
      </w:r>
      <w:r w:rsidR="00D155E6">
        <w:t>,</w:t>
      </w:r>
      <w:r w:rsidRPr="00B43314">
        <w:t xml:space="preserve"> w celu wywarcia wpływu na proces decyzyjny Parlamentu na rzecz interesów geopolitycznych niektórych państw trzecich;</w:t>
      </w:r>
    </w:p>
    <w:p w14:paraId="607A0EFC" w14:textId="26571811" w:rsidR="00F5508D" w:rsidRPr="00B43314" w:rsidRDefault="00F5508D" w:rsidP="00F5508D">
      <w:pPr>
        <w:pStyle w:val="NormalHanging12a"/>
      </w:pPr>
      <w:r w:rsidRPr="00B43314">
        <w:t>C.</w:t>
      </w:r>
      <w:r w:rsidRPr="00B43314">
        <w:tab/>
        <w:t xml:space="preserve">mając na uwadze, że zgodnie z wnioskiem </w:t>
      </w:r>
      <w:r w:rsidR="00D155E6">
        <w:t xml:space="preserve">o uchylenie immunitetu </w:t>
      </w:r>
      <w:proofErr w:type="spellStart"/>
      <w:r w:rsidR="00D155E6">
        <w:t>Elisabetty</w:t>
      </w:r>
      <w:proofErr w:type="spellEnd"/>
      <w:r w:rsidR="00D155E6">
        <w:t xml:space="preserve"> </w:t>
      </w:r>
      <w:proofErr w:type="spellStart"/>
      <w:r w:rsidR="00D155E6">
        <w:t>Gualmini</w:t>
      </w:r>
      <w:proofErr w:type="spellEnd"/>
      <w:r w:rsidR="00D155E6">
        <w:t xml:space="preserve"> </w:t>
      </w:r>
      <w:r w:rsidRPr="00B43314">
        <w:t xml:space="preserve">w trakcie tego śledztwa miało okazać się, iż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mogła być zaangażowana w czyny korupcyjne przez to, że miała zaakceptować, iż podejrzewana grupa przestępcza wykorzystuje swoje wpływy po to, aby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zajęła w październiku 2022 r. stanowisko wiceprzewodniczącej grupy politycznej, w zamian za wywieranie wpływu z tego stanowiska w owej grupie politycznej w interesie podejrzewanej grupy przestępczej; mając na uwadze, że proces powołania wiceprzewodniczącego od</w:t>
      </w:r>
      <w:r w:rsidR="00442EE3">
        <w:t>powiedniej</w:t>
      </w:r>
      <w:r w:rsidRPr="00B43314">
        <w:t xml:space="preserve"> grupy politycznej opiera się w rzeczywistości na szczegółowej i ustalonej procedurze, która kończy się decyzją podjętą na posiedzeniu plenarnym grupy </w:t>
      </w:r>
      <w:r w:rsidR="00D155E6">
        <w:t xml:space="preserve">politycznej </w:t>
      </w:r>
      <w:r w:rsidRPr="00B43314">
        <w:t>w sposób jawny i przejrzysty; mając na uwadze, że okazuje się, iż stanowisko wiceprzewodniczącego od</w:t>
      </w:r>
      <w:r w:rsidR="00442EE3">
        <w:t>powiedniej</w:t>
      </w:r>
      <w:r w:rsidRPr="00B43314">
        <w:t xml:space="preserve"> grupy politycznej zwolniło się 12 października 2022 r.; mając na uwadze, że zgodnie z ustaloną procedurą 18 października 2022 r. ta grupa polityczna powołała </w:t>
      </w:r>
      <w:proofErr w:type="spellStart"/>
      <w:r w:rsidRPr="00B43314">
        <w:t>Elisabettę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na wiceprzewodniczącą; mając na uwadze, że według doniesień tuż po jej powołaniu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miała podziękować rzekomemu liderowi podejrzewanej grupy przestępczej za wsparcie i porady, jakie miała otrzymać w tym kontekście; mając na uwadze, że rzekomy lider podejrzewanej grupy przestępczej nie pełnił żadnych funkcji w Parlamencie od 1 lipca 2019 r., a ponadto należał do innej krajowej partii politycznej niż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>, ale, jak wynika z wniosku, choć bez dalszego wyjaśnienia tej kwestii, miał mieć duży wpływ na cały proces powołania wiceprzewodniczącego w tej grupie politycznej;</w:t>
      </w:r>
    </w:p>
    <w:p w14:paraId="459DC718" w14:textId="160E503E" w:rsidR="00F5508D" w:rsidRPr="00B43314" w:rsidRDefault="00F5508D" w:rsidP="00F5508D">
      <w:pPr>
        <w:pStyle w:val="NormalHanging12a"/>
        <w:spacing w:after="0"/>
      </w:pPr>
      <w:r w:rsidRPr="00B43314">
        <w:t>D.</w:t>
      </w:r>
      <w:r w:rsidRPr="00B43314">
        <w:tab/>
        <w:t xml:space="preserve">mając na uwadze, że podejrzewana grupa przestępcza, za pośrednictwem swojej domniemanej sieci wpływów, miała próbować, jak zasugerowano we wniosku, bez dalszego wyjaśnienia, wymóc, aby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przewodniczyła posiedzeniu jej grupy politycznej 16 listopada 2022 r., którego celem było określenie stanowiska grupy w sprawie politycznej stosowności przeprowadzenia debaty plenarnej na temat sytuacji w Katarze i głosowania nad pilną rezolucją na ten temat;</w:t>
      </w:r>
      <w:bookmarkEnd w:id="8"/>
      <w:r w:rsidRPr="00B43314">
        <w:t xml:space="preserve"> mając na uwadze, że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miała zwrócić się o instrukcje co do treści jej wypowiedzi na </w:t>
      </w:r>
      <w:r w:rsidR="00442EE3">
        <w:t xml:space="preserve">tym </w:t>
      </w:r>
      <w:r w:rsidRPr="00B43314">
        <w:t xml:space="preserve">posiedzeniu </w:t>
      </w:r>
      <w:r w:rsidR="00442EE3">
        <w:t xml:space="preserve"> </w:t>
      </w:r>
      <w:r w:rsidRPr="00B43314">
        <w:t xml:space="preserve">lub też zgodzić się na ich otrzymanie, a także miała wykorzystać podyktowane jej argumenty wskazujące, że przeprowadzenie debaty plenarnej w sprawie Kataru oraz </w:t>
      </w:r>
      <w:r w:rsidR="00442EE3">
        <w:t>przyjęcie</w:t>
      </w:r>
      <w:r w:rsidRPr="00B43314">
        <w:t xml:space="preserve"> rezolucji na ten temat</w:t>
      </w:r>
      <w:r w:rsidR="00442EE3">
        <w:t xml:space="preserve"> byłoby niewłaściwe</w:t>
      </w:r>
      <w:r w:rsidRPr="00B43314">
        <w:t xml:space="preserve">; mając na uwadze, że w trakcie postępowania okazało się, iż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w rzeczywistości nie przewodniczyła temu posiedzeniu, ponieważ rolę tę przejął inny wiceprzewodniczący </w:t>
      </w:r>
      <w:r w:rsidR="00442EE3">
        <w:t>da</w:t>
      </w:r>
      <w:r w:rsidR="00442EE3" w:rsidRPr="00B43314">
        <w:t xml:space="preserve">nej </w:t>
      </w:r>
      <w:r w:rsidRPr="00B43314">
        <w:t xml:space="preserve">grupy politycznej, oraz mając na uwadze, że wydaje się, iż rola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w </w:t>
      </w:r>
      <w:r w:rsidRPr="00B43314">
        <w:lastRenderedPageBreak/>
        <w:t xml:space="preserve">posiedzeniu polegała jedynie na przedstawieniu punktu porządku obrad posiedzenia grupy politycznej w sprawie przygotowań do drugiej listopadowej sesji plenarnej w 2022 r.; mając ponadto na uwadze, że wniosek, jaki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najwyraźniej przedstawiła po dyskusji, która miała miejsce na wspomnianym posiedzeniu grupy politycznej, był sprzeczny z instrukcjami, jakie miała otrzymać od podejrzewanej grupy przestępczej;</w:t>
      </w:r>
    </w:p>
    <w:p w14:paraId="50EBACA0" w14:textId="77777777" w:rsidR="00F5508D" w:rsidRPr="00B43314" w:rsidRDefault="00F5508D" w:rsidP="00F5508D">
      <w:pPr>
        <w:pStyle w:val="NormalHanging12a"/>
        <w:spacing w:after="0"/>
      </w:pPr>
    </w:p>
    <w:p w14:paraId="7C4A45D8" w14:textId="1DE4A0E8" w:rsidR="00F5508D" w:rsidRPr="00B43314" w:rsidRDefault="00F5508D" w:rsidP="00F5508D">
      <w:pPr>
        <w:pStyle w:val="NormalHanging12a"/>
      </w:pPr>
      <w:bookmarkStart w:id="9" w:name="_Hlk210982206"/>
      <w:r w:rsidRPr="00B43314">
        <w:t>E.</w:t>
      </w:r>
      <w:r w:rsidRPr="00B43314">
        <w:tab/>
        <w:t xml:space="preserve">mając na uwadze, że zgodnie z wnioskiem </w:t>
      </w:r>
      <w:proofErr w:type="spellStart"/>
      <w:r w:rsidRPr="00B43314">
        <w:t>Elisabetta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jest podejrzana o popełnienie w okresie od 1 lipca 2019 r. do 10 grudnia 2022 r. czynów bezprawnych, które zgodnie z prawem belgijskim można zakwalifikować jako udział w działalności grupy przestępczej i bierne przekupstwo, czyli </w:t>
      </w:r>
      <w:r w:rsidR="008351D0">
        <w:t xml:space="preserve">odpowiednio </w:t>
      </w:r>
      <w:r w:rsidRPr="00B43314">
        <w:t>przestępstwa z art. 324</w:t>
      </w:r>
      <w:r w:rsidR="008351D0">
        <w:t>bis</w:t>
      </w:r>
      <w:r w:rsidRPr="00B43314">
        <w:t xml:space="preserve"> i 324</w:t>
      </w:r>
      <w:r w:rsidR="008351D0">
        <w:t>ter</w:t>
      </w:r>
      <w:r w:rsidRPr="00B43314">
        <w:t xml:space="preserve"> oraz art. 246–250 belgijskiego kodeksu karnego; mając na uwadze, że zarówno we wniosku, jak i w dodatkowych informacjach otrzymanych od belgijskiego prokuratora federalnego udzielono wyjaśnień jedynie co do popełnienia zarzucanych czynów w okresie od 4 października do 2 grudnia 2022 r., nie przedstawiając żadnego uzasadnienia co do okresu przed 4 października 2022 r.; mając na uwadze, że w związku z tym istnieje niespójność między okresem, w którym miano popełnić zarzucane przestępstwo, a uzasadnieniem wniosku o uchylenie immunitetu;</w:t>
      </w:r>
    </w:p>
    <w:bookmarkEnd w:id="9"/>
    <w:p w14:paraId="486679DC" w14:textId="77777777" w:rsidR="00F5508D" w:rsidRPr="00B43314" w:rsidRDefault="00F5508D" w:rsidP="00F5508D">
      <w:pPr>
        <w:pStyle w:val="NormalHanging12a"/>
      </w:pPr>
      <w:r w:rsidRPr="00B43314">
        <w:t>F.</w:t>
      </w:r>
      <w:r w:rsidRPr="00B43314">
        <w:tab/>
        <w:t>mając na uwadze, że w kontekście procedury uchylenia immunitetu Parlamentu nie można uznawać za sąd, a posła – za „oskarżonego”</w:t>
      </w:r>
      <w:r w:rsidRPr="00B43314">
        <w:rPr>
          <w:rStyle w:val="FootnoteReference"/>
        </w:rPr>
        <w:footnoteReference w:id="2"/>
      </w:r>
      <w:r w:rsidRPr="00B43314">
        <w:t>;</w:t>
      </w:r>
    </w:p>
    <w:p w14:paraId="1E5DD9A5" w14:textId="77777777" w:rsidR="00F5508D" w:rsidRPr="00B43314" w:rsidRDefault="00F5508D" w:rsidP="00F5508D">
      <w:pPr>
        <w:pStyle w:val="NormalHanging12a"/>
      </w:pPr>
      <w:bookmarkStart w:id="10" w:name="_Hlk210982236"/>
      <w:r w:rsidRPr="00B43314">
        <w:t>G.</w:t>
      </w:r>
      <w:r w:rsidRPr="00B43314">
        <w:tab/>
        <w:t>mając na uwadze, że immunitet parlamentarny, o którym mowa w protokole nr 7 w sprawie przywilejów i immunitetów Unii Europejskiej, ma chronić Parlament i posłów do niego przed postępowaniami sądowymi w związku z działaniami podejmowanymi w ramach wykonywania obowiązków parlamentarnych i niemożliwych do oddzielenia od tych obowiązków;</w:t>
      </w:r>
    </w:p>
    <w:p w14:paraId="117357ED" w14:textId="77777777" w:rsidR="00F5508D" w:rsidRPr="00B43314" w:rsidRDefault="00F5508D" w:rsidP="00F5508D">
      <w:pPr>
        <w:pStyle w:val="NormalHanging12a"/>
      </w:pPr>
      <w:r w:rsidRPr="00B43314">
        <w:t>H.</w:t>
      </w:r>
      <w:r w:rsidRPr="00B43314">
        <w:tab/>
        <w:t>mając na uwadze, że art. 8 Protokołu nr 7 w sprawie przywilejów i immunitetów Unii Europejskiej przewiduje, że wobec posłów do Parlamentu Europejskiego nie można prowadzić dochodzenia, postępowania sądowego, ani też ich zatrzymywać z powodu ich opinii lub stanowiska zajętego przez nich w głosowaniu w czasie wykonywania przez nich obowiązków służbowych; mając na uwadze, że art. 8 Protokołu nr 7 w sprawie przywilejów i immunitetów Unii Europejskiej stanowi przepis szczególny mający na celu ochronę swobody wypowiedzi i niezależności posłów do Parlamentu Europejskiego</w:t>
      </w:r>
      <w:r w:rsidRPr="00B43314">
        <w:rPr>
          <w:rStyle w:val="FootnoteReference"/>
        </w:rPr>
        <w:footnoteReference w:id="3"/>
      </w:r>
      <w:r w:rsidRPr="00B43314">
        <w:t xml:space="preserve">; </w:t>
      </w:r>
    </w:p>
    <w:p w14:paraId="1100CF6E" w14:textId="77777777" w:rsidR="00F5508D" w:rsidRPr="00B43314" w:rsidRDefault="00F5508D" w:rsidP="00F5508D">
      <w:pPr>
        <w:pStyle w:val="NormalHanging12a"/>
      </w:pPr>
      <w:r w:rsidRPr="00B43314">
        <w:t>I.</w:t>
      </w:r>
      <w:r w:rsidRPr="00B43314">
        <w:tab/>
        <w:t xml:space="preserve">mając na uwadze, że zarzucane czyny i późniejszy wniosek o uchylenie immunitetu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 nie dotyczą opinii ani stanowiska zajętego przez nią w głosowaniu w czasie wykonywania obowiązków posła w rozumieniu art. 8 Protokołu nr 7 w sprawie przywilejów i immunitetów Unii Europejskiej;</w:t>
      </w:r>
    </w:p>
    <w:p w14:paraId="67226881" w14:textId="0AC9BB3E" w:rsidR="00F5508D" w:rsidRPr="00B43314" w:rsidRDefault="00F5508D" w:rsidP="00F5508D">
      <w:pPr>
        <w:pStyle w:val="NormalHanging12a"/>
      </w:pPr>
      <w:bookmarkStart w:id="11" w:name="_Hlk210982264"/>
      <w:bookmarkEnd w:id="10"/>
      <w:r w:rsidRPr="00B43314">
        <w:t>J.</w:t>
      </w:r>
      <w:r w:rsidRPr="00B43314">
        <w:tab/>
        <w:t xml:space="preserve">mając na uwadze, że art. 9 akapit pierwszy lit. b) Protokołu nr 7 w sprawie przywilejów i immunitetów Unii Europejskiej stanowi, iż </w:t>
      </w:r>
      <w:r w:rsidR="008351D0">
        <w:t>w trakcie sesji plenarnych</w:t>
      </w:r>
      <w:r w:rsidRPr="00B43314">
        <w:t xml:space="preserve"> Parlamentu Europejskiego </w:t>
      </w:r>
      <w:r w:rsidR="008351D0">
        <w:t xml:space="preserve">posłowie </w:t>
      </w:r>
      <w:r w:rsidRPr="00B43314">
        <w:t xml:space="preserve">korzystają na terytorium państwa członkowskiego, innego niż ich państwo, z immunitetu chroniącego przed zatrzymaniem oraz immunitetu </w:t>
      </w:r>
      <w:r w:rsidRPr="00B43314">
        <w:lastRenderedPageBreak/>
        <w:t>jurysdykcyjnego;</w:t>
      </w:r>
      <w:bookmarkEnd w:id="11"/>
    </w:p>
    <w:p w14:paraId="2E1009E3" w14:textId="77777777" w:rsidR="00F5508D" w:rsidRPr="00B43314" w:rsidRDefault="00F5508D" w:rsidP="00F5508D">
      <w:pPr>
        <w:pStyle w:val="NormalHanging12a"/>
      </w:pPr>
      <w:bookmarkStart w:id="12" w:name="_Hlk210982279"/>
      <w:r w:rsidRPr="00B43314">
        <w:t xml:space="preserve">K. </w:t>
      </w:r>
      <w:r w:rsidRPr="00B43314">
        <w:tab/>
        <w:t>mając na uwadze, że zgodnie z art. 5 ust. 2 Regulaminu Parlamentu immunitet parlamentarny nie jest osobistym przywilejem posła, lecz gwarancją niezależności Parlamentu Europejskiego jako całości oraz jego posłów;</w:t>
      </w:r>
    </w:p>
    <w:p w14:paraId="385807F5" w14:textId="77777777" w:rsidR="00F5508D" w:rsidRPr="00B43314" w:rsidRDefault="00F5508D" w:rsidP="00F5508D">
      <w:pPr>
        <w:pStyle w:val="NormalHanging12a"/>
      </w:pPr>
      <w:r w:rsidRPr="00B43314">
        <w:t>L.</w:t>
      </w:r>
      <w:r w:rsidRPr="00B43314">
        <w:tab/>
        <w:t>mając na uwadze, że z orzecznictwa Trybunału Sprawiedliwości Unii Europejskiej wynika, iż Parlament dysponuje „bardzo szerokim zakresem uznania co do kierunku, jaki zamierza nadać decyzji w następstwie wniosku o uchylenie immunitetu [...], ze względu na polityczny charakter takiej decyzji”</w:t>
      </w:r>
      <w:r w:rsidRPr="00B43314">
        <w:rPr>
          <w:vertAlign w:val="superscript"/>
        </w:rPr>
        <w:footnoteReference w:id="4"/>
      </w:r>
      <w:r w:rsidRPr="00B43314">
        <w:t>;</w:t>
      </w:r>
    </w:p>
    <w:p w14:paraId="24360837" w14:textId="7DF8264D" w:rsidR="00F5508D" w:rsidRPr="00B43314" w:rsidRDefault="00F5508D" w:rsidP="00F5508D">
      <w:pPr>
        <w:pStyle w:val="NormalHanging12a"/>
      </w:pPr>
      <w:r w:rsidRPr="00B43314">
        <w:t>M.</w:t>
      </w:r>
      <w:r w:rsidRPr="00B43314">
        <w:tab/>
        <w:t xml:space="preserve">mając na uwadze, że wniosek o uchylenie immunitetu </w:t>
      </w:r>
      <w:proofErr w:type="spellStart"/>
      <w:r w:rsidR="00D155E6">
        <w:t>Elisabetty</w:t>
      </w:r>
      <w:proofErr w:type="spellEnd"/>
      <w:r w:rsidR="00D155E6">
        <w:t xml:space="preserve"> </w:t>
      </w:r>
      <w:proofErr w:type="spellStart"/>
      <w:r w:rsidR="00D155E6">
        <w:t>Gualmini</w:t>
      </w:r>
      <w:proofErr w:type="spellEnd"/>
      <w:r w:rsidR="00D155E6">
        <w:t xml:space="preserve"> </w:t>
      </w:r>
      <w:r w:rsidRPr="00B43314">
        <w:t xml:space="preserve">należy rozpatrzyć na podstawie informacji i wyjaśnień przedstawionych w tej sprawie, w szczególności informacji i wyjaśnień przedstawionych przez belgijskiego prokuratora federalnego; mając na uwadze, że przedstawiony we wniosku o uchylenie immunitetu opis podnoszonych faktów i wynikające z niego wnioski, w braku bardziej szczegółowych wyjaśnień, wydają się niespójne, opierają się na założeniach lub insynuacjach </w:t>
      </w:r>
      <w:r w:rsidR="008351D0">
        <w:t>oraz</w:t>
      </w:r>
      <w:r w:rsidR="008351D0" w:rsidRPr="00B43314">
        <w:t xml:space="preserve"> </w:t>
      </w:r>
      <w:r w:rsidRPr="00B43314">
        <w:t xml:space="preserve">nie są zgodne z utrwalonymi procesami politycznymi w Parlamencie w odniesieniu do powoływania wiceprzewodniczących grup politycznych oraz przygotowywania i zajmowania stanowisk wewnętrznych w grupie politycznej; mając na uwadze, że nie wydaje się, aby wykazano istnienie wyraźnego świadczenia wzajemnego, a także mając na uwadze, że nie wykazano w wystarczającym stopniu żadnych osobistych korzyści dla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, które jednoznacznie wynikałyby z okoliczności faktycznych, na jakie powołano się we wniosku; </w:t>
      </w:r>
    </w:p>
    <w:p w14:paraId="47E5E106" w14:textId="63194191" w:rsidR="00F5508D" w:rsidRPr="00B43314" w:rsidRDefault="00F5508D" w:rsidP="00F5508D">
      <w:pPr>
        <w:pStyle w:val="NormalHanging12a"/>
      </w:pPr>
      <w:r w:rsidRPr="00B43314">
        <w:t>N.</w:t>
      </w:r>
      <w:r w:rsidRPr="00B43314">
        <w:tab/>
        <w:t xml:space="preserve">mając ponadto na uwadze, że okoliczności faktyczne, na jakie powołano się we wniosku o uchylenie immunitetu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 xml:space="preserve">, nie uwzględniają nierozerwalnego kontekstu i związku z regularną działalnością polityczną grupy politycznej lub z </w:t>
      </w:r>
      <w:r w:rsidR="008351D0">
        <w:t xml:space="preserve">regularną </w:t>
      </w:r>
      <w:r w:rsidRPr="00B43314">
        <w:t xml:space="preserve">działalnością </w:t>
      </w:r>
      <w:r w:rsidR="008351D0">
        <w:t xml:space="preserve">polityczną </w:t>
      </w:r>
      <w:r w:rsidRPr="00B43314">
        <w:t>prowadzoną przez posłów w ramach grupy politycznej; mając na uwadze, że grupy polityczne w Parlamencie są tworzone na mocy Regulaminu i nim regulowane, odgrywają kluczową rolę w wewnętrznej organizacji i pracy Parlamentu jako instytucji oraz są niezbędne do realizacji jego podstawowej funkcji demokratycznej; mając zwłaszcza na uwadze, że grupy polityczne pełnią swoje funkcje, w tym zadania nałożone na nie w Regulaminie Parlamentu, w ramach działalności Unii;</w:t>
      </w:r>
    </w:p>
    <w:p w14:paraId="58F6821D" w14:textId="77777777" w:rsidR="00F5508D" w:rsidRPr="00B43314" w:rsidRDefault="00F5508D" w:rsidP="00F5508D">
      <w:pPr>
        <w:pStyle w:val="NormalHanging12a"/>
      </w:pPr>
      <w:r w:rsidRPr="00B43314">
        <w:t>O.</w:t>
      </w:r>
      <w:r w:rsidRPr="00B43314">
        <w:tab/>
        <w:t>mając na uwadze, że celem immunitetu parlamentarnego nie jest chronienie naruszeń, lecz ochrona demokratycznego funkcjonowania Parlamentu;</w:t>
      </w:r>
    </w:p>
    <w:p w14:paraId="03EA71B3" w14:textId="33E25FD2" w:rsidR="00F5508D" w:rsidRPr="00B43314" w:rsidRDefault="00F5508D" w:rsidP="00F5508D">
      <w:pPr>
        <w:pStyle w:val="NormalHanging12a"/>
      </w:pPr>
      <w:r w:rsidRPr="00B43314">
        <w:t>P.</w:t>
      </w:r>
      <w:r w:rsidRPr="00B43314">
        <w:tab/>
        <w:t>mając na uwadze, że w związku z powyższym niespójności co do okresu, w którym miano popełnić zarzucane przestępstwo, i przedstawionego uzasadnienia, niepewności co do dowodów, na których opiera się wniosek o uchylenie immunitetu</w:t>
      </w:r>
      <w:r w:rsidR="00D155E6">
        <w:t xml:space="preserve"> </w:t>
      </w:r>
      <w:proofErr w:type="spellStart"/>
      <w:r w:rsidR="00D155E6">
        <w:t>Elisabetty</w:t>
      </w:r>
      <w:proofErr w:type="spellEnd"/>
      <w:r w:rsidR="00D155E6">
        <w:t xml:space="preserve"> </w:t>
      </w:r>
      <w:proofErr w:type="spellStart"/>
      <w:r w:rsidR="00D155E6">
        <w:t>Gualmini</w:t>
      </w:r>
      <w:proofErr w:type="spellEnd"/>
      <w:r w:rsidRPr="00B43314">
        <w:t xml:space="preserve">, oraz powodów złożenia wniosku, a także brak wystarczających dowodów lub wyjaśnień dotyczących zarzucanych naruszeń, w tym w kontekście ustalonych procesów politycznych, budzą obawy, że celem postępowania mogło być zaszkodzenie reputacji </w:t>
      </w:r>
      <w:r w:rsidR="008351D0">
        <w:t>danej</w:t>
      </w:r>
      <w:r w:rsidRPr="00B43314">
        <w:t xml:space="preserve"> posłanki, i wskazują, że brakuje wystarczających dowodów, tak aby Parlament miał poważną i uzasadnioną podstawę do uchylenia immunitetu</w:t>
      </w:r>
      <w:r w:rsidR="008351D0">
        <w:t xml:space="preserve"> </w:t>
      </w:r>
      <w:proofErr w:type="spellStart"/>
      <w:r w:rsidR="008351D0">
        <w:t>Elisabetty</w:t>
      </w:r>
      <w:proofErr w:type="spellEnd"/>
      <w:r w:rsidR="008351D0">
        <w:t xml:space="preserve"> </w:t>
      </w:r>
      <w:proofErr w:type="spellStart"/>
      <w:r w:rsidR="008351D0">
        <w:lastRenderedPageBreak/>
        <w:t>Gualmini</w:t>
      </w:r>
      <w:proofErr w:type="spellEnd"/>
      <w:r w:rsidRPr="00B43314">
        <w:t>;</w:t>
      </w:r>
    </w:p>
    <w:p w14:paraId="5418875D" w14:textId="77777777" w:rsidR="00F5508D" w:rsidRPr="00B43314" w:rsidRDefault="00F5508D" w:rsidP="00F5508D">
      <w:pPr>
        <w:pStyle w:val="NormalHanging12a"/>
      </w:pPr>
      <w:r w:rsidRPr="00B43314">
        <w:t>Q.</w:t>
      </w:r>
      <w:r w:rsidRPr="00B43314">
        <w:tab/>
        <w:t xml:space="preserve">mając na uwadze, że w związku z tym wydaje się, iż w rozpatrywanej sprawie istnieje </w:t>
      </w:r>
      <w:proofErr w:type="spellStart"/>
      <w:r w:rsidRPr="00B43314">
        <w:rPr>
          <w:i/>
          <w:iCs/>
        </w:rPr>
        <w:t>fumus</w:t>
      </w:r>
      <w:proofErr w:type="spellEnd"/>
      <w:r w:rsidRPr="00B43314">
        <w:rPr>
          <w:i/>
          <w:iCs/>
        </w:rPr>
        <w:t xml:space="preserve"> </w:t>
      </w:r>
      <w:proofErr w:type="spellStart"/>
      <w:r w:rsidRPr="00B43314">
        <w:rPr>
          <w:i/>
          <w:iCs/>
        </w:rPr>
        <w:t>persecutionis</w:t>
      </w:r>
      <w:proofErr w:type="spellEnd"/>
      <w:r w:rsidRPr="00B43314">
        <w:t>, tj. „konkretny dowód”</w:t>
      </w:r>
      <w:r w:rsidRPr="00B43314">
        <w:rPr>
          <w:vertAlign w:val="superscript"/>
        </w:rPr>
        <w:footnoteReference w:id="5"/>
      </w:r>
      <w:r w:rsidRPr="00B43314">
        <w:t xml:space="preserve"> wskazujący na to, że przedmiotowe postępowanie wszczęto z zamiarem zaszkodzenia działalności politycznej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>, a tym samym działalności Parlamentu jako całości, w tym jego wewnętrznemu procesowi podejmowania decyzji politycznych przejawiającemu się w ustalonej i regularnej pracy grupy politycznej;</w:t>
      </w:r>
      <w:bookmarkEnd w:id="12"/>
    </w:p>
    <w:p w14:paraId="4C0DE27C" w14:textId="77777777" w:rsidR="00F5508D" w:rsidRPr="00B43314" w:rsidRDefault="00F5508D" w:rsidP="00F5508D">
      <w:pPr>
        <w:pStyle w:val="NormalHanging12a"/>
      </w:pPr>
      <w:r w:rsidRPr="00B43314">
        <w:t>1.</w:t>
      </w:r>
      <w:r w:rsidRPr="00B43314">
        <w:tab/>
        <w:t xml:space="preserve">podejmuje decyzję o odmowie uchylenia immunitetu </w:t>
      </w:r>
      <w:proofErr w:type="spellStart"/>
      <w:r w:rsidRPr="00B43314">
        <w:t>Elisabetty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>;</w:t>
      </w:r>
    </w:p>
    <w:p w14:paraId="7D21F680" w14:textId="3D6AB886" w:rsidR="00E365E1" w:rsidRPr="00B43314" w:rsidRDefault="00F5508D" w:rsidP="00927B59">
      <w:pPr>
        <w:ind w:left="567" w:hanging="567"/>
      </w:pPr>
      <w:r w:rsidRPr="00B43314">
        <w:t>2.</w:t>
      </w:r>
      <w:r w:rsidRPr="00B43314">
        <w:tab/>
        <w:t xml:space="preserve">zobowiązuje swoją przewodniczącą do bezzwłocznego przekazania niniejszej decyzji i sprawozdania właściwej komisji właściwemu organowi Królestwa Belgii oraz </w:t>
      </w:r>
      <w:proofErr w:type="spellStart"/>
      <w:r w:rsidRPr="00B43314">
        <w:t>Elisabecie</w:t>
      </w:r>
      <w:proofErr w:type="spellEnd"/>
      <w:r w:rsidRPr="00B43314">
        <w:t xml:space="preserve"> </w:t>
      </w:r>
      <w:proofErr w:type="spellStart"/>
      <w:r w:rsidRPr="00B43314">
        <w:t>Gualmini</w:t>
      </w:r>
      <w:proofErr w:type="spellEnd"/>
      <w:r w:rsidRPr="00B43314">
        <w:t>.</w:t>
      </w:r>
    </w:p>
    <w:sectPr w:rsidR="00E365E1" w:rsidRPr="00B43314" w:rsidSect="00B433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029CA" w14:textId="77777777" w:rsidR="00481944" w:rsidRPr="00B43314" w:rsidRDefault="00481944">
      <w:r w:rsidRPr="00B43314">
        <w:separator/>
      </w:r>
    </w:p>
  </w:endnote>
  <w:endnote w:type="continuationSeparator" w:id="0">
    <w:p w14:paraId="5F0D9B8E" w14:textId="77777777" w:rsidR="00481944" w:rsidRPr="00B43314" w:rsidRDefault="00481944">
      <w:r w:rsidRPr="00B433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DDB4" w14:textId="77777777" w:rsidR="00064002" w:rsidRPr="00B433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D50E" w14:textId="77777777" w:rsidR="00064002" w:rsidRPr="00B433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2DEF" w14:textId="77777777" w:rsidR="00064002" w:rsidRPr="00B433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BE3E1" w14:textId="77777777" w:rsidR="00481944" w:rsidRPr="00B43314" w:rsidRDefault="00481944">
      <w:r w:rsidRPr="00B43314">
        <w:separator/>
      </w:r>
    </w:p>
  </w:footnote>
  <w:footnote w:type="continuationSeparator" w:id="0">
    <w:p w14:paraId="74F5A106" w14:textId="77777777" w:rsidR="00481944" w:rsidRPr="00B43314" w:rsidRDefault="00481944">
      <w:r w:rsidRPr="00B43314">
        <w:continuationSeparator/>
      </w:r>
    </w:p>
  </w:footnote>
  <w:footnote w:id="1">
    <w:p w14:paraId="36ED2446" w14:textId="53AC1D18" w:rsidR="00F5508D" w:rsidRPr="00B43314" w:rsidRDefault="00F5508D" w:rsidP="00B43314">
      <w:pPr>
        <w:pStyle w:val="FootnoteText"/>
        <w:ind w:left="567" w:hanging="567"/>
        <w:rPr>
          <w:sz w:val="24"/>
          <w:lang w:val="pl-PL"/>
        </w:rPr>
      </w:pPr>
      <w:r w:rsidRPr="00B43314">
        <w:rPr>
          <w:rStyle w:val="FootnoteReference"/>
          <w:sz w:val="24"/>
          <w:lang w:val="pl-PL"/>
        </w:rPr>
        <w:footnoteRef/>
      </w:r>
      <w:r w:rsidR="00B43314" w:rsidRPr="00B43314">
        <w:rPr>
          <w:sz w:val="24"/>
          <w:lang w:val="pl-PL"/>
        </w:rPr>
        <w:t xml:space="preserve"> </w:t>
      </w:r>
      <w:r w:rsidR="00B43314" w:rsidRPr="00B43314">
        <w:rPr>
          <w:sz w:val="24"/>
          <w:lang w:val="pl-PL"/>
        </w:rPr>
        <w:tab/>
      </w:r>
      <w:r w:rsidRPr="00B43314">
        <w:rPr>
          <w:sz w:val="24"/>
          <w:lang w:val="pl-PL"/>
        </w:rPr>
        <w:t xml:space="preserve">Wyrok Trybunału Sprawiedliwości z </w:t>
      </w:r>
      <w:proofErr w:type="spellStart"/>
      <w:r w:rsidR="00D155E6">
        <w:t>dnia</w:t>
      </w:r>
      <w:proofErr w:type="spellEnd"/>
      <w:r w:rsidR="00D155E6">
        <w:t xml:space="preserve"> </w:t>
      </w:r>
      <w:r w:rsidRPr="00B43314">
        <w:rPr>
          <w:sz w:val="24"/>
          <w:lang w:val="pl-PL"/>
        </w:rPr>
        <w:t xml:space="preserve">21 października 2008 r., </w:t>
      </w:r>
      <w:proofErr w:type="spellStart"/>
      <w:r w:rsidRPr="00B43314">
        <w:rPr>
          <w:i/>
          <w:iCs/>
          <w:sz w:val="24"/>
          <w:lang w:val="pl-PL"/>
        </w:rPr>
        <w:t>Marra</w:t>
      </w:r>
      <w:proofErr w:type="spellEnd"/>
      <w:r w:rsidRPr="00B43314">
        <w:rPr>
          <w:i/>
          <w:iCs/>
          <w:sz w:val="24"/>
          <w:lang w:val="pl-PL"/>
        </w:rPr>
        <w:t xml:space="preserve">/De </w:t>
      </w:r>
      <w:proofErr w:type="spellStart"/>
      <w:r w:rsidRPr="00B43314">
        <w:rPr>
          <w:i/>
          <w:iCs/>
          <w:sz w:val="24"/>
          <w:lang w:val="pl-PL"/>
        </w:rPr>
        <w:t>Gregorio</w:t>
      </w:r>
      <w:proofErr w:type="spellEnd"/>
      <w:r w:rsidRPr="00B43314">
        <w:rPr>
          <w:i/>
          <w:iCs/>
          <w:sz w:val="24"/>
          <w:lang w:val="pl-PL"/>
        </w:rPr>
        <w:t xml:space="preserve"> i </w:t>
      </w:r>
      <w:proofErr w:type="spellStart"/>
      <w:r w:rsidRPr="00B43314">
        <w:rPr>
          <w:i/>
          <w:iCs/>
          <w:sz w:val="24"/>
          <w:lang w:val="pl-PL"/>
        </w:rPr>
        <w:t>Clemente</w:t>
      </w:r>
      <w:proofErr w:type="spellEnd"/>
      <w:r w:rsidRPr="00B43314">
        <w:rPr>
          <w:sz w:val="24"/>
          <w:lang w:val="pl-PL"/>
        </w:rPr>
        <w:t xml:space="preserve">, C-200/07 i C-201/07, ECLI:EU:C:2008:579; wyrok Sądu z </w:t>
      </w:r>
      <w:proofErr w:type="spellStart"/>
      <w:r w:rsidR="00D155E6">
        <w:t>dnia</w:t>
      </w:r>
      <w:proofErr w:type="spellEnd"/>
      <w:r w:rsidR="00D155E6">
        <w:t xml:space="preserve"> </w:t>
      </w:r>
      <w:r w:rsidRPr="00B43314">
        <w:rPr>
          <w:sz w:val="24"/>
          <w:lang w:val="pl-PL"/>
        </w:rPr>
        <w:t xml:space="preserve">19 marca 2010 r., </w:t>
      </w:r>
      <w:proofErr w:type="spellStart"/>
      <w:r w:rsidRPr="00B43314">
        <w:rPr>
          <w:i/>
          <w:iCs/>
          <w:sz w:val="24"/>
          <w:lang w:val="pl-PL"/>
        </w:rPr>
        <w:t>Gollnisch</w:t>
      </w:r>
      <w:proofErr w:type="spellEnd"/>
      <w:r w:rsidRPr="00B43314">
        <w:rPr>
          <w:i/>
          <w:iCs/>
          <w:sz w:val="24"/>
          <w:lang w:val="pl-PL"/>
        </w:rPr>
        <w:t>/Parlament</w:t>
      </w:r>
      <w:r w:rsidRPr="00B43314">
        <w:rPr>
          <w:sz w:val="24"/>
          <w:lang w:val="pl-PL"/>
        </w:rPr>
        <w:t xml:space="preserve">, T-42/06, ECLI:EU:T:2010:102; wyrok Trybunału Sprawiedliwości z </w:t>
      </w:r>
      <w:proofErr w:type="spellStart"/>
      <w:r w:rsidR="00D155E6">
        <w:t>dnia</w:t>
      </w:r>
      <w:proofErr w:type="spellEnd"/>
      <w:r w:rsidR="00D155E6">
        <w:t xml:space="preserve"> </w:t>
      </w:r>
      <w:r w:rsidRPr="00B43314">
        <w:rPr>
          <w:sz w:val="24"/>
          <w:lang w:val="pl-PL"/>
        </w:rPr>
        <w:t xml:space="preserve">6 września 2011 r., </w:t>
      </w:r>
      <w:proofErr w:type="spellStart"/>
      <w:r w:rsidRPr="00B43314">
        <w:rPr>
          <w:i/>
          <w:iCs/>
          <w:sz w:val="24"/>
          <w:lang w:val="pl-PL"/>
        </w:rPr>
        <w:t>Patriciello</w:t>
      </w:r>
      <w:proofErr w:type="spellEnd"/>
      <w:r w:rsidRPr="00B43314">
        <w:rPr>
          <w:sz w:val="24"/>
          <w:lang w:val="pl-PL"/>
        </w:rPr>
        <w:t xml:space="preserve">, C-163/10, ECLI: EU:C:2011:543; wyrok Sądu z </w:t>
      </w:r>
      <w:proofErr w:type="spellStart"/>
      <w:r w:rsidR="00D155E6">
        <w:t>dnia</w:t>
      </w:r>
      <w:proofErr w:type="spellEnd"/>
      <w:r w:rsidR="00D155E6">
        <w:t xml:space="preserve"> </w:t>
      </w:r>
      <w:r w:rsidRPr="00B43314">
        <w:rPr>
          <w:sz w:val="24"/>
          <w:lang w:val="pl-PL"/>
        </w:rPr>
        <w:t xml:space="preserve">17 stycznia 2013 r., </w:t>
      </w:r>
      <w:proofErr w:type="spellStart"/>
      <w:r w:rsidRPr="00B43314">
        <w:rPr>
          <w:i/>
          <w:iCs/>
          <w:sz w:val="24"/>
          <w:lang w:val="pl-PL"/>
        </w:rPr>
        <w:t>Gollnisch</w:t>
      </w:r>
      <w:proofErr w:type="spellEnd"/>
      <w:r w:rsidRPr="00B43314">
        <w:rPr>
          <w:i/>
          <w:iCs/>
          <w:sz w:val="24"/>
          <w:lang w:val="pl-PL"/>
        </w:rPr>
        <w:t>/Parlament</w:t>
      </w:r>
      <w:r w:rsidRPr="00B43314">
        <w:rPr>
          <w:sz w:val="24"/>
          <w:lang w:val="pl-PL"/>
        </w:rPr>
        <w:t xml:space="preserve">, T-346/11 i T-347/11, ECLI:EU:T:2013:23. wyrok Trybunału Sprawiedliwości z </w:t>
      </w:r>
      <w:proofErr w:type="spellStart"/>
      <w:r w:rsidR="00D155E6">
        <w:t>dnia</w:t>
      </w:r>
      <w:proofErr w:type="spellEnd"/>
      <w:r w:rsidR="00D155E6">
        <w:t xml:space="preserve"> </w:t>
      </w:r>
      <w:r w:rsidRPr="00B43314">
        <w:rPr>
          <w:sz w:val="24"/>
          <w:lang w:val="pl-PL"/>
        </w:rPr>
        <w:t xml:space="preserve">19 grudnia 2019 r., </w:t>
      </w:r>
      <w:proofErr w:type="spellStart"/>
      <w:r w:rsidRPr="00B43314">
        <w:rPr>
          <w:i/>
          <w:iCs/>
          <w:sz w:val="24"/>
          <w:lang w:val="pl-PL"/>
        </w:rPr>
        <w:t>Junqueras</w:t>
      </w:r>
      <w:proofErr w:type="spellEnd"/>
      <w:r w:rsidRPr="00B43314">
        <w:rPr>
          <w:i/>
          <w:iCs/>
          <w:sz w:val="24"/>
          <w:lang w:val="pl-PL"/>
        </w:rPr>
        <w:t xml:space="preserve"> </w:t>
      </w:r>
      <w:proofErr w:type="spellStart"/>
      <w:r w:rsidRPr="00B43314">
        <w:rPr>
          <w:i/>
          <w:iCs/>
          <w:sz w:val="24"/>
          <w:lang w:val="pl-PL"/>
        </w:rPr>
        <w:t>Vies</w:t>
      </w:r>
      <w:proofErr w:type="spellEnd"/>
      <w:r w:rsidRPr="00B43314">
        <w:rPr>
          <w:sz w:val="24"/>
          <w:lang w:val="pl-PL"/>
        </w:rPr>
        <w:t xml:space="preserve">, C-502/19, ECLI:EU:C:2019:1115. wyrok Sądu z </w:t>
      </w:r>
      <w:proofErr w:type="spellStart"/>
      <w:r w:rsidR="00D155E6">
        <w:t>dnia</w:t>
      </w:r>
      <w:proofErr w:type="spellEnd"/>
      <w:r w:rsidR="00D155E6">
        <w:t xml:space="preserve"> </w:t>
      </w:r>
      <w:r w:rsidRPr="00B43314">
        <w:rPr>
          <w:sz w:val="24"/>
          <w:lang w:val="pl-PL"/>
        </w:rPr>
        <w:t xml:space="preserve">5 lipca 2023 r., </w:t>
      </w:r>
      <w:proofErr w:type="spellStart"/>
      <w:r w:rsidRPr="00B43314">
        <w:rPr>
          <w:i/>
          <w:iCs/>
          <w:sz w:val="24"/>
          <w:lang w:val="pl-PL"/>
        </w:rPr>
        <w:t>Puigdemont</w:t>
      </w:r>
      <w:proofErr w:type="spellEnd"/>
      <w:r w:rsidRPr="00B43314">
        <w:rPr>
          <w:i/>
          <w:iCs/>
          <w:sz w:val="24"/>
          <w:lang w:val="pl-PL"/>
        </w:rPr>
        <w:t xml:space="preserve"> i </w:t>
      </w:r>
      <w:proofErr w:type="spellStart"/>
      <w:r w:rsidRPr="00B43314">
        <w:rPr>
          <w:i/>
          <w:iCs/>
          <w:sz w:val="24"/>
          <w:lang w:val="pl-PL"/>
        </w:rPr>
        <w:t>Casamajó</w:t>
      </w:r>
      <w:proofErr w:type="spellEnd"/>
      <w:r w:rsidRPr="00B43314">
        <w:rPr>
          <w:i/>
          <w:iCs/>
          <w:sz w:val="24"/>
          <w:lang w:val="pl-PL"/>
        </w:rPr>
        <w:t xml:space="preserve"> i in./Parlament</w:t>
      </w:r>
      <w:r w:rsidRPr="00B43314">
        <w:rPr>
          <w:sz w:val="24"/>
          <w:lang w:val="pl-PL"/>
        </w:rPr>
        <w:t>, T-272/21, ECLI:</w:t>
      </w:r>
      <w:proofErr w:type="gramStart"/>
      <w:r w:rsidRPr="00B43314">
        <w:rPr>
          <w:sz w:val="24"/>
          <w:lang w:val="pl-PL"/>
        </w:rPr>
        <w:t>EU:T</w:t>
      </w:r>
      <w:proofErr w:type="gramEnd"/>
      <w:r w:rsidRPr="00B43314">
        <w:rPr>
          <w:sz w:val="24"/>
          <w:lang w:val="pl-PL"/>
        </w:rPr>
        <w:t>:2023:373.</w:t>
      </w:r>
    </w:p>
  </w:footnote>
  <w:footnote w:id="2">
    <w:p w14:paraId="4295583D" w14:textId="28182200" w:rsidR="00F5508D" w:rsidRPr="00B43314" w:rsidRDefault="00F5508D" w:rsidP="00B43314">
      <w:pPr>
        <w:pStyle w:val="FootnoteText"/>
        <w:ind w:left="567" w:hanging="567"/>
        <w:rPr>
          <w:sz w:val="24"/>
          <w:lang w:val="pl-PL"/>
        </w:rPr>
      </w:pPr>
      <w:r w:rsidRPr="00B43314">
        <w:rPr>
          <w:rStyle w:val="FootnoteReference"/>
          <w:sz w:val="24"/>
          <w:lang w:val="pl-PL"/>
        </w:rPr>
        <w:footnoteRef/>
      </w:r>
      <w:r w:rsidR="00B43314" w:rsidRPr="00B43314">
        <w:rPr>
          <w:sz w:val="24"/>
          <w:lang w:val="pl-PL"/>
        </w:rPr>
        <w:t xml:space="preserve"> </w:t>
      </w:r>
      <w:r w:rsidR="00B43314" w:rsidRPr="00B43314">
        <w:rPr>
          <w:sz w:val="24"/>
          <w:lang w:val="pl-PL"/>
        </w:rPr>
        <w:tab/>
      </w:r>
      <w:r w:rsidRPr="00B43314">
        <w:rPr>
          <w:sz w:val="24"/>
          <w:lang w:val="pl-PL"/>
        </w:rPr>
        <w:t xml:space="preserve">Wyrok Sądu z 30 kwietnia 2019 r., </w:t>
      </w:r>
      <w:proofErr w:type="spellStart"/>
      <w:r w:rsidRPr="00B43314">
        <w:rPr>
          <w:i/>
          <w:iCs/>
          <w:sz w:val="24"/>
          <w:lang w:val="pl-PL"/>
        </w:rPr>
        <w:t>Briois</w:t>
      </w:r>
      <w:proofErr w:type="spellEnd"/>
      <w:r w:rsidRPr="00B43314">
        <w:rPr>
          <w:i/>
          <w:iCs/>
          <w:sz w:val="24"/>
          <w:lang w:val="pl-PL"/>
        </w:rPr>
        <w:t>/Parlament,</w:t>
      </w:r>
      <w:r w:rsidRPr="00B43314">
        <w:rPr>
          <w:sz w:val="24"/>
          <w:lang w:val="pl-PL"/>
        </w:rPr>
        <w:t xml:space="preserve"> T-214/18, ECLI:</w:t>
      </w:r>
      <w:proofErr w:type="gramStart"/>
      <w:r w:rsidRPr="00B43314">
        <w:rPr>
          <w:sz w:val="24"/>
          <w:lang w:val="pl-PL"/>
        </w:rPr>
        <w:t>EU:T</w:t>
      </w:r>
      <w:proofErr w:type="gramEnd"/>
      <w:r w:rsidRPr="00B43314">
        <w:rPr>
          <w:sz w:val="24"/>
          <w:lang w:val="pl-PL"/>
        </w:rPr>
        <w:t>:2019:266.</w:t>
      </w:r>
    </w:p>
  </w:footnote>
  <w:footnote w:id="3">
    <w:p w14:paraId="7666E896" w14:textId="00F81255" w:rsidR="00F5508D" w:rsidRPr="00B43314" w:rsidRDefault="00F5508D" w:rsidP="00B43314">
      <w:pPr>
        <w:pStyle w:val="FootnoteText"/>
        <w:ind w:left="567" w:hanging="567"/>
        <w:rPr>
          <w:sz w:val="24"/>
          <w:lang w:val="pl-PL"/>
        </w:rPr>
      </w:pPr>
      <w:r w:rsidRPr="00B43314">
        <w:rPr>
          <w:rStyle w:val="FootnoteReference"/>
          <w:sz w:val="24"/>
          <w:lang w:val="pl-PL"/>
        </w:rPr>
        <w:footnoteRef/>
      </w:r>
      <w:r w:rsidR="00B43314" w:rsidRPr="00B43314">
        <w:rPr>
          <w:sz w:val="24"/>
          <w:lang w:val="pl-PL"/>
        </w:rPr>
        <w:t xml:space="preserve"> </w:t>
      </w:r>
      <w:r w:rsidR="00B43314" w:rsidRPr="00B43314">
        <w:rPr>
          <w:sz w:val="24"/>
          <w:lang w:val="pl-PL"/>
        </w:rPr>
        <w:tab/>
      </w:r>
      <w:r w:rsidRPr="00B43314">
        <w:rPr>
          <w:sz w:val="24"/>
          <w:lang w:val="pl-PL"/>
        </w:rPr>
        <w:t xml:space="preserve">Wyrok Trybunału Sprawiedliwości z 6 września 2011 r., </w:t>
      </w:r>
      <w:proofErr w:type="spellStart"/>
      <w:r w:rsidRPr="00B43314">
        <w:rPr>
          <w:i/>
          <w:iCs/>
          <w:sz w:val="24"/>
          <w:lang w:val="pl-PL"/>
        </w:rPr>
        <w:t>Patriciello</w:t>
      </w:r>
      <w:proofErr w:type="spellEnd"/>
      <w:r w:rsidRPr="00B43314">
        <w:rPr>
          <w:sz w:val="24"/>
          <w:lang w:val="pl-PL"/>
        </w:rPr>
        <w:t>, C-163/10, ECLI: EU:C:2011:543, pkt 26;</w:t>
      </w:r>
    </w:p>
  </w:footnote>
  <w:footnote w:id="4">
    <w:p w14:paraId="64F5A6D2" w14:textId="11A0745F" w:rsidR="00F5508D" w:rsidRPr="00B43314" w:rsidRDefault="00F5508D" w:rsidP="00B43314">
      <w:pPr>
        <w:pStyle w:val="FootnoteText"/>
        <w:ind w:left="567" w:hanging="567"/>
        <w:rPr>
          <w:sz w:val="24"/>
          <w:lang w:val="pl-PL"/>
        </w:rPr>
      </w:pPr>
      <w:r w:rsidRPr="00B43314">
        <w:rPr>
          <w:rStyle w:val="FootnoteReference"/>
          <w:sz w:val="24"/>
          <w:lang w:val="pl-PL"/>
        </w:rPr>
        <w:footnoteRef/>
      </w:r>
      <w:r w:rsidR="00B43314" w:rsidRPr="00B43314">
        <w:rPr>
          <w:sz w:val="24"/>
          <w:lang w:val="pl-PL"/>
        </w:rPr>
        <w:t xml:space="preserve"> </w:t>
      </w:r>
      <w:r w:rsidR="00B43314" w:rsidRPr="00B43314">
        <w:rPr>
          <w:sz w:val="24"/>
          <w:lang w:val="pl-PL"/>
        </w:rPr>
        <w:tab/>
      </w:r>
      <w:r w:rsidRPr="00B43314">
        <w:rPr>
          <w:sz w:val="24"/>
          <w:lang w:val="pl-PL"/>
        </w:rPr>
        <w:t xml:space="preserve">Wyrok Sądu z 17 stycznia 2013 r., </w:t>
      </w:r>
      <w:proofErr w:type="spellStart"/>
      <w:r w:rsidRPr="00B43314">
        <w:rPr>
          <w:i/>
          <w:iCs/>
          <w:sz w:val="24"/>
          <w:lang w:val="pl-PL"/>
        </w:rPr>
        <w:t>Gollnisch</w:t>
      </w:r>
      <w:proofErr w:type="spellEnd"/>
      <w:r w:rsidRPr="00B43314">
        <w:rPr>
          <w:i/>
          <w:iCs/>
          <w:sz w:val="24"/>
          <w:lang w:val="pl-PL"/>
        </w:rPr>
        <w:t>/Parlament</w:t>
      </w:r>
      <w:r w:rsidRPr="00B43314">
        <w:rPr>
          <w:sz w:val="24"/>
          <w:lang w:val="pl-PL"/>
        </w:rPr>
        <w:t>, T-346/11 i T-347/11, ECLI:</w:t>
      </w:r>
      <w:proofErr w:type="gramStart"/>
      <w:r w:rsidRPr="00B43314">
        <w:rPr>
          <w:sz w:val="24"/>
          <w:lang w:val="pl-PL"/>
        </w:rPr>
        <w:t>EU:T</w:t>
      </w:r>
      <w:proofErr w:type="gramEnd"/>
      <w:r w:rsidRPr="00B43314">
        <w:rPr>
          <w:sz w:val="24"/>
          <w:lang w:val="pl-PL"/>
        </w:rPr>
        <w:t>:2013:23, pkt 59 i cytowane orzecznictwo.</w:t>
      </w:r>
    </w:p>
  </w:footnote>
  <w:footnote w:id="5">
    <w:p w14:paraId="3F0DA885" w14:textId="4C458062" w:rsidR="00F5508D" w:rsidRPr="00B43314" w:rsidRDefault="00F5508D" w:rsidP="00B43314">
      <w:pPr>
        <w:pStyle w:val="FootnoteText"/>
        <w:ind w:left="567" w:hanging="567"/>
        <w:rPr>
          <w:sz w:val="24"/>
          <w:lang w:val="pl-PL"/>
        </w:rPr>
      </w:pPr>
      <w:r w:rsidRPr="00B43314">
        <w:rPr>
          <w:rStyle w:val="FootnoteReference"/>
          <w:sz w:val="24"/>
          <w:lang w:val="pl-PL"/>
        </w:rPr>
        <w:footnoteRef/>
      </w:r>
      <w:r w:rsidR="00B43314" w:rsidRPr="00B43314">
        <w:rPr>
          <w:sz w:val="24"/>
          <w:lang w:val="pl-PL"/>
        </w:rPr>
        <w:t xml:space="preserve"> </w:t>
      </w:r>
      <w:r w:rsidR="00B43314" w:rsidRPr="00B43314">
        <w:rPr>
          <w:sz w:val="24"/>
          <w:lang w:val="pl-PL"/>
        </w:rPr>
        <w:tab/>
      </w:r>
      <w:r w:rsidRPr="00B43314">
        <w:rPr>
          <w:sz w:val="24"/>
          <w:lang w:val="pl-PL"/>
        </w:rPr>
        <w:t xml:space="preserve">Wyrok Trybunału Sprawiedliwości z 17 września 2020 r., </w:t>
      </w:r>
      <w:proofErr w:type="spellStart"/>
      <w:r w:rsidRPr="00B43314">
        <w:rPr>
          <w:i/>
          <w:iCs/>
          <w:sz w:val="24"/>
          <w:lang w:val="pl-PL"/>
        </w:rPr>
        <w:t>Troszczynski</w:t>
      </w:r>
      <w:proofErr w:type="spellEnd"/>
      <w:r w:rsidRPr="00B43314">
        <w:rPr>
          <w:i/>
          <w:iCs/>
          <w:sz w:val="24"/>
          <w:lang w:val="pl-PL"/>
        </w:rPr>
        <w:t>/Parlament</w:t>
      </w:r>
      <w:r w:rsidRPr="00B43314">
        <w:rPr>
          <w:sz w:val="24"/>
          <w:lang w:val="pl-PL"/>
        </w:rPr>
        <w:t>, C-12/19 P, ECLI:EU:C:2020:725, pkt 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495B" w14:textId="77777777" w:rsidR="00064002" w:rsidRPr="00B433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7CDB6" w14:textId="77777777" w:rsidR="00064002" w:rsidRPr="00B433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5E8B" w14:textId="77777777" w:rsidR="00064002" w:rsidRPr="00B433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9909426">
    <w:abstractNumId w:val="9"/>
  </w:num>
  <w:num w:numId="2" w16cid:durableId="1204252173">
    <w:abstractNumId w:val="9"/>
  </w:num>
  <w:num w:numId="3" w16cid:durableId="486746748">
    <w:abstractNumId w:val="7"/>
  </w:num>
  <w:num w:numId="4" w16cid:durableId="1361394085">
    <w:abstractNumId w:val="7"/>
  </w:num>
  <w:num w:numId="5" w16cid:durableId="1878619804">
    <w:abstractNumId w:val="6"/>
  </w:num>
  <w:num w:numId="6" w16cid:durableId="613635132">
    <w:abstractNumId w:val="6"/>
  </w:num>
  <w:num w:numId="7" w16cid:durableId="525827228">
    <w:abstractNumId w:val="5"/>
  </w:num>
  <w:num w:numId="8" w16cid:durableId="1441947244">
    <w:abstractNumId w:val="5"/>
  </w:num>
  <w:num w:numId="9" w16cid:durableId="1970890547">
    <w:abstractNumId w:val="4"/>
  </w:num>
  <w:num w:numId="10" w16cid:durableId="215707234">
    <w:abstractNumId w:val="4"/>
  </w:num>
  <w:num w:numId="11" w16cid:durableId="282273796">
    <w:abstractNumId w:val="8"/>
  </w:num>
  <w:num w:numId="12" w16cid:durableId="1543320305">
    <w:abstractNumId w:val="8"/>
  </w:num>
  <w:num w:numId="13" w16cid:durableId="1261527157">
    <w:abstractNumId w:val="3"/>
  </w:num>
  <w:num w:numId="14" w16cid:durableId="1037705622">
    <w:abstractNumId w:val="3"/>
  </w:num>
  <w:num w:numId="15" w16cid:durableId="906376110">
    <w:abstractNumId w:val="2"/>
  </w:num>
  <w:num w:numId="16" w16cid:durableId="896277328">
    <w:abstractNumId w:val="2"/>
  </w:num>
  <w:num w:numId="17" w16cid:durableId="110906279">
    <w:abstractNumId w:val="1"/>
  </w:num>
  <w:num w:numId="18" w16cid:durableId="2122147668">
    <w:abstractNumId w:val="1"/>
  </w:num>
  <w:num w:numId="19" w16cid:durableId="1886209203">
    <w:abstractNumId w:val="0"/>
  </w:num>
  <w:num w:numId="20" w16cid:durableId="1033656685">
    <w:abstractNumId w:val="0"/>
  </w:num>
  <w:num w:numId="21" w16cid:durableId="1684743187">
    <w:abstractNumId w:val="9"/>
  </w:num>
  <w:num w:numId="22" w16cid:durableId="673797801">
    <w:abstractNumId w:val="7"/>
  </w:num>
  <w:num w:numId="23" w16cid:durableId="768424846">
    <w:abstractNumId w:val="6"/>
  </w:num>
  <w:num w:numId="24" w16cid:durableId="2709271">
    <w:abstractNumId w:val="5"/>
  </w:num>
  <w:num w:numId="25" w16cid:durableId="1835533275">
    <w:abstractNumId w:val="4"/>
  </w:num>
  <w:num w:numId="26" w16cid:durableId="1476291453">
    <w:abstractNumId w:val="8"/>
  </w:num>
  <w:num w:numId="27" w16cid:durableId="330106438">
    <w:abstractNumId w:val="3"/>
  </w:num>
  <w:num w:numId="28" w16cid:durableId="1489443754">
    <w:abstractNumId w:val="2"/>
  </w:num>
  <w:num w:numId="29" w16cid:durableId="967008045">
    <w:abstractNumId w:val="1"/>
  </w:num>
  <w:num w:numId="30" w16cid:durableId="887499591">
    <w:abstractNumId w:val="0"/>
  </w:num>
  <w:num w:numId="31" w16cid:durableId="689333730">
    <w:abstractNumId w:val="9"/>
  </w:num>
  <w:num w:numId="32" w16cid:durableId="232204251">
    <w:abstractNumId w:val="7"/>
  </w:num>
  <w:num w:numId="33" w16cid:durableId="256909661">
    <w:abstractNumId w:val="6"/>
  </w:num>
  <w:num w:numId="34" w16cid:durableId="1462577801">
    <w:abstractNumId w:val="5"/>
  </w:num>
  <w:num w:numId="35" w16cid:durableId="971860610">
    <w:abstractNumId w:val="4"/>
  </w:num>
  <w:num w:numId="36" w16cid:durableId="1706054954">
    <w:abstractNumId w:val="8"/>
  </w:num>
  <w:num w:numId="37" w16cid:durableId="2042703298">
    <w:abstractNumId w:val="3"/>
  </w:num>
  <w:num w:numId="38" w16cid:durableId="1390810050">
    <w:abstractNumId w:val="2"/>
  </w:num>
  <w:num w:numId="39" w16cid:durableId="1197232237">
    <w:abstractNumId w:val="1"/>
  </w:num>
  <w:num w:numId="40" w16cid:durableId="1573419279">
    <w:abstractNumId w:val="0"/>
  </w:num>
  <w:num w:numId="41" w16cid:durableId="444422371">
    <w:abstractNumId w:val="10"/>
  </w:num>
  <w:num w:numId="42" w16cid:durableId="1560356710">
    <w:abstractNumId w:val="10"/>
  </w:num>
  <w:num w:numId="43" w16cid:durableId="2006669926">
    <w:abstractNumId w:val="10"/>
  </w:num>
  <w:num w:numId="44" w16cid:durableId="18100052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3/2025"/>
    <w:docVar w:name="dvlangue" w:val="PL"/>
    <w:docVar w:name="dvnumam" w:val="0"/>
    <w:docVar w:name="dvpe" w:val="774.382"/>
    <w:docVar w:name="dvrapporteur" w:val="Sprawozdawca: "/>
    <w:docVar w:name="dvstar" w:val="??"/>
    <w:docVar w:name="dvtitre" w:val="Decyzja Parlamentu Europejskiego z dnia  2025 r. w sprawie wniosku o uchylenie immunitetu Elisabetty Gualmini(2025/2063(IMM))"/>
  </w:docVars>
  <w:rsids>
    <w:rsidRoot w:val="00481944"/>
    <w:rsid w:val="00002272"/>
    <w:rsid w:val="00064002"/>
    <w:rsid w:val="000677B9"/>
    <w:rsid w:val="000831BA"/>
    <w:rsid w:val="000A42CC"/>
    <w:rsid w:val="000E7DD9"/>
    <w:rsid w:val="000F5D5A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EE3"/>
    <w:rsid w:val="00471C19"/>
    <w:rsid w:val="0048194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A62"/>
    <w:rsid w:val="008351D0"/>
    <w:rsid w:val="00842779"/>
    <w:rsid w:val="00865F67"/>
    <w:rsid w:val="00881A7B"/>
    <w:rsid w:val="008840E5"/>
    <w:rsid w:val="00887B3E"/>
    <w:rsid w:val="008C2AC6"/>
    <w:rsid w:val="00927B5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31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5E6"/>
    <w:rsid w:val="00D56C11"/>
    <w:rsid w:val="00D834A0"/>
    <w:rsid w:val="00D872DF"/>
    <w:rsid w:val="00D91E21"/>
    <w:rsid w:val="00DA7FCD"/>
    <w:rsid w:val="00DB6A2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08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A9F8F"/>
  <w15:chartTrackingRefBased/>
  <w15:docId w15:val="{6890E2F7-E429-4682-8733-12EBD459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5508D"/>
    <w:pPr>
      <w:spacing w:after="240"/>
      <w:ind w:left="567" w:hanging="567"/>
    </w:pPr>
  </w:style>
  <w:style w:type="paragraph" w:customStyle="1" w:styleId="EPComma">
    <w:name w:val="EPComma"/>
    <w:basedOn w:val="Normal"/>
    <w:rsid w:val="00F5508D"/>
    <w:pPr>
      <w:spacing w:before="480" w:after="240"/>
    </w:pPr>
  </w:style>
  <w:style w:type="paragraph" w:styleId="Revision">
    <w:name w:val="Revision"/>
    <w:hidden/>
    <w:uiPriority w:val="99"/>
    <w:semiHidden/>
    <w:rsid w:val="00D155E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1605</Words>
  <Characters>10214</Characters>
  <Application>Microsoft Office Word</Application>
  <DocSecurity>0</DocSecurity>
  <Lines>425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2025-12-16T12:51:00Z</dcterms:created>
  <dcterms:modified xsi:type="dcterms:W3CDTF">2025-12-16T12:51:00Z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A10-0263/2025</vt:lpwstr>
  </property>
  <property fmtid="{D5CDD505-2E9C-101B-9397-08002B2CF9AE}" pid="4" name="&lt;Type&gt;">
    <vt:lpwstr>RR</vt:lpwstr>
  </property>
</Properties>
</file>