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74C7" w14:paraId="3D561D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ABB97E" w14:textId="77777777" w:rsidR="00751A4A" w:rsidRPr="003974C7" w:rsidRDefault="00817A60" w:rsidP="0010095E">
            <w:pPr>
              <w:pStyle w:val="EPName"/>
            </w:pPr>
            <w:r w:rsidRPr="003974C7">
              <w:t>Parlamento Europeu</w:t>
            </w:r>
          </w:p>
          <w:p w14:paraId="1FF7FB41" w14:textId="77777777" w:rsidR="00751A4A" w:rsidRPr="003974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74C7">
              <w:t>2024</w:t>
            </w:r>
            <w:r w:rsidR="00817416" w:rsidRPr="003974C7">
              <w:t>-202</w:t>
            </w:r>
            <w:r w:rsidRPr="003974C7">
              <w:t>9</w:t>
            </w:r>
          </w:p>
        </w:tc>
        <w:tc>
          <w:tcPr>
            <w:tcW w:w="2268" w:type="dxa"/>
            <w:shd w:val="clear" w:color="auto" w:fill="auto"/>
          </w:tcPr>
          <w:p w14:paraId="076EB659" w14:textId="77777777" w:rsidR="00751A4A" w:rsidRPr="003974C7" w:rsidRDefault="00187494" w:rsidP="0010095E">
            <w:pPr>
              <w:pStyle w:val="EPLogo"/>
            </w:pPr>
            <w:r w:rsidRPr="003974C7">
              <w:rPr>
                <w:noProof/>
                <w:lang w:eastAsia="ja-JP"/>
              </w:rPr>
              <w:drawing>
                <wp:inline distT="0" distB="0" distL="0" distR="0" wp14:anchorId="318FDF7A" wp14:editId="777D0A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BB1376" w14:textId="77777777" w:rsidR="00D058B8" w:rsidRPr="003974C7" w:rsidRDefault="00D058B8" w:rsidP="004C5D52">
      <w:pPr>
        <w:pStyle w:val="LineTop"/>
      </w:pPr>
    </w:p>
    <w:p w14:paraId="42E66045" w14:textId="77777777" w:rsidR="00680577" w:rsidRPr="003974C7" w:rsidRDefault="00817A60" w:rsidP="00680577">
      <w:pPr>
        <w:pStyle w:val="EPBodyTA1"/>
      </w:pPr>
      <w:r w:rsidRPr="003974C7">
        <w:t>TEXTOS APROVADOS</w:t>
      </w:r>
    </w:p>
    <w:p w14:paraId="1B081F12" w14:textId="77777777" w:rsidR="00D058B8" w:rsidRPr="003974C7" w:rsidRDefault="00D058B8" w:rsidP="00D058B8">
      <w:pPr>
        <w:pStyle w:val="LineBottom"/>
      </w:pPr>
    </w:p>
    <w:p w14:paraId="219CAD83" w14:textId="2F0DFF8A" w:rsidR="00817A60" w:rsidRPr="003974C7" w:rsidRDefault="00817A60" w:rsidP="00817A60">
      <w:pPr>
        <w:pStyle w:val="ATHeading1"/>
      </w:pPr>
      <w:bookmarkStart w:id="0" w:name="TANumber"/>
      <w:r w:rsidRPr="003974C7">
        <w:t>P10_TA(2025)0</w:t>
      </w:r>
      <w:r w:rsidR="003974C7" w:rsidRPr="003974C7">
        <w:t>316</w:t>
      </w:r>
      <w:bookmarkEnd w:id="0"/>
    </w:p>
    <w:p w14:paraId="12B9485E" w14:textId="77777777" w:rsidR="00817A60" w:rsidRPr="003974C7" w:rsidRDefault="00817A60" w:rsidP="00817A60">
      <w:pPr>
        <w:pStyle w:val="ATHeading2"/>
      </w:pPr>
      <w:bookmarkStart w:id="1" w:name="title"/>
      <w:r w:rsidRPr="003974C7">
        <w:t xml:space="preserve">Pedido de levantamento da imunidade de Elisabetta </w:t>
      </w:r>
      <w:proofErr w:type="spellStart"/>
      <w:r w:rsidRPr="003974C7">
        <w:t>Gualmini</w:t>
      </w:r>
      <w:bookmarkEnd w:id="1"/>
      <w:proofErr w:type="spellEnd"/>
    </w:p>
    <w:p w14:paraId="691A0674" w14:textId="77777777" w:rsidR="00817A60" w:rsidRPr="003974C7" w:rsidRDefault="00817A60" w:rsidP="00817A60">
      <w:pPr>
        <w:rPr>
          <w:i/>
          <w:vanish/>
        </w:rPr>
      </w:pPr>
      <w:r w:rsidRPr="003974C7">
        <w:rPr>
          <w:i/>
        </w:rPr>
        <w:fldChar w:fldCharType="begin"/>
      </w:r>
      <w:r w:rsidRPr="003974C7">
        <w:rPr>
          <w:i/>
        </w:rPr>
        <w:instrText xml:space="preserve"> TC"(</w:instrText>
      </w:r>
      <w:bookmarkStart w:id="2" w:name="DocNumber"/>
      <w:r w:rsidRPr="003974C7">
        <w:rPr>
          <w:i/>
        </w:rPr>
        <w:instrText>A10-0263/2025</w:instrText>
      </w:r>
      <w:bookmarkEnd w:id="2"/>
      <w:r w:rsidRPr="003974C7">
        <w:rPr>
          <w:i/>
        </w:rPr>
        <w:instrText xml:space="preserve"> - Relator: </w:instrText>
      </w:r>
      <w:proofErr w:type="spellStart"/>
      <w:r w:rsidRPr="003974C7">
        <w:rPr>
          <w:i/>
        </w:rPr>
        <w:instrText>Ilhan</w:instrText>
      </w:r>
      <w:proofErr w:type="spellEnd"/>
      <w:r w:rsidRPr="003974C7">
        <w:rPr>
          <w:i/>
        </w:rPr>
        <w:instrText xml:space="preserve"> </w:instrText>
      </w:r>
      <w:proofErr w:type="spellStart"/>
      <w:r w:rsidRPr="003974C7">
        <w:rPr>
          <w:i/>
        </w:rPr>
        <w:instrText>Kyuchyuk</w:instrText>
      </w:r>
      <w:proofErr w:type="spellEnd"/>
      <w:r w:rsidRPr="003974C7">
        <w:rPr>
          <w:i/>
        </w:rPr>
        <w:instrText xml:space="preserve">)"\l3 \n&gt; \* MERGEFORMAT </w:instrText>
      </w:r>
      <w:r w:rsidRPr="003974C7">
        <w:rPr>
          <w:i/>
        </w:rPr>
        <w:fldChar w:fldCharType="end"/>
      </w:r>
    </w:p>
    <w:p w14:paraId="267674D9" w14:textId="77777777" w:rsidR="00817A60" w:rsidRPr="003974C7" w:rsidRDefault="00817A60" w:rsidP="00817A60">
      <w:pPr>
        <w:rPr>
          <w:vanish/>
        </w:rPr>
      </w:pPr>
      <w:bookmarkStart w:id="3" w:name="Commission"/>
      <w:r w:rsidRPr="003974C7">
        <w:rPr>
          <w:vanish/>
        </w:rPr>
        <w:t>Comissão dos Assuntos Jurídicos</w:t>
      </w:r>
      <w:bookmarkEnd w:id="3"/>
    </w:p>
    <w:p w14:paraId="296D611B" w14:textId="77777777" w:rsidR="00817A60" w:rsidRPr="003974C7" w:rsidRDefault="00817A60" w:rsidP="00817A60">
      <w:pPr>
        <w:rPr>
          <w:vanish/>
        </w:rPr>
      </w:pPr>
      <w:bookmarkStart w:id="4" w:name="PE"/>
      <w:r w:rsidRPr="003974C7">
        <w:rPr>
          <w:vanish/>
        </w:rPr>
        <w:t>PE774.382</w:t>
      </w:r>
      <w:bookmarkEnd w:id="4"/>
    </w:p>
    <w:p w14:paraId="1563D2E8" w14:textId="4DEF814D" w:rsidR="00817A60" w:rsidRPr="003974C7" w:rsidRDefault="00817A60" w:rsidP="00817A60">
      <w:pPr>
        <w:pStyle w:val="ATHeading3"/>
      </w:pPr>
      <w:bookmarkStart w:id="5" w:name="Sujet"/>
      <w:r w:rsidRPr="003974C7">
        <w:t xml:space="preserve">Decisão do Parlamento Europeu, de </w:t>
      </w:r>
      <w:r w:rsidR="00FF728E" w:rsidRPr="003974C7">
        <w:t>16</w:t>
      </w:r>
      <w:r w:rsidRPr="003974C7">
        <w:t xml:space="preserve"> de </w:t>
      </w:r>
      <w:r w:rsidR="00FF728E" w:rsidRPr="003974C7">
        <w:t xml:space="preserve">dezembro </w:t>
      </w:r>
      <w:r w:rsidRPr="003974C7">
        <w:t xml:space="preserve">de 2025, sobre o pedido de levantamento da imunidade de Elisabetta </w:t>
      </w:r>
      <w:proofErr w:type="spellStart"/>
      <w:r w:rsidRPr="003974C7">
        <w:t>Gualmini</w:t>
      </w:r>
      <w:bookmarkEnd w:id="5"/>
      <w:proofErr w:type="spellEnd"/>
      <w:r w:rsidRPr="003974C7">
        <w:t xml:space="preserve"> </w:t>
      </w:r>
      <w:bookmarkStart w:id="6" w:name="References"/>
      <w:r w:rsidRPr="003974C7">
        <w:t>(2025/2063(IMM))</w:t>
      </w:r>
      <w:bookmarkEnd w:id="6"/>
    </w:p>
    <w:p w14:paraId="1590EF7F" w14:textId="77777777" w:rsidR="00B64DA6" w:rsidRPr="003974C7" w:rsidRDefault="00B64DA6" w:rsidP="00B64DA6">
      <w:pPr>
        <w:pStyle w:val="EPComma"/>
      </w:pPr>
      <w:bookmarkStart w:id="7" w:name="TextBodyBegin"/>
      <w:bookmarkEnd w:id="7"/>
      <w:r w:rsidRPr="003974C7">
        <w:rPr>
          <w:i/>
          <w:iCs/>
        </w:rPr>
        <w:t>O Parlamento Europeu</w:t>
      </w:r>
      <w:r w:rsidRPr="003974C7">
        <w:t>,</w:t>
      </w:r>
    </w:p>
    <w:p w14:paraId="7440A9CF" w14:textId="25B06169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 xml:space="preserve">Tendo recebido um pedido de levantamento da imunidade de Elisabetta </w:t>
      </w:r>
      <w:proofErr w:type="spellStart"/>
      <w:r w:rsidRPr="003974C7">
        <w:t>Gualmini</w:t>
      </w:r>
      <w:proofErr w:type="spellEnd"/>
      <w:r w:rsidRPr="003974C7">
        <w:t xml:space="preserve">, transmitido por carta do Serviço </w:t>
      </w:r>
      <w:r w:rsidR="006F5CEB" w:rsidRPr="003974C7">
        <w:t xml:space="preserve">de </w:t>
      </w:r>
      <w:r w:rsidRPr="003974C7">
        <w:t xml:space="preserve">Protocolo do Serviço Público Federal belga dos Negócios Estrangeiros, do Comércio Externo e da Cooperação para o Desenvolvimento, com data de 27 de fevereiro de 2025, que reencaminhou um pedido do Ministério Público Federal belga no âmbito de uma ação penal a instaurar contra a deputada, o qual foi anunciado </w:t>
      </w:r>
      <w:r w:rsidR="009F3BE2" w:rsidRPr="003974C7">
        <w:t>em sessão plenária</w:t>
      </w:r>
      <w:r w:rsidRPr="003974C7">
        <w:t xml:space="preserve"> em 10 de março de 2025,</w:t>
      </w:r>
    </w:p>
    <w:p w14:paraId="6FBF5FC2" w14:textId="7A95BC34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 xml:space="preserve">Tendo ouvido Elisabetta </w:t>
      </w:r>
      <w:proofErr w:type="spellStart"/>
      <w:r w:rsidRPr="003974C7">
        <w:t>Gualmini</w:t>
      </w:r>
      <w:proofErr w:type="spellEnd"/>
      <w:r w:rsidRPr="003974C7">
        <w:t xml:space="preserve"> em 4 de junho de 2025, e tendo em conta os documentos por </w:t>
      </w:r>
      <w:r w:rsidR="006F5CEB" w:rsidRPr="003974C7">
        <w:t xml:space="preserve">si </w:t>
      </w:r>
      <w:r w:rsidRPr="003974C7">
        <w:t>apresentados, nos termos do artigo 9.º, n.º 6, do seu Regimento,</w:t>
      </w:r>
    </w:p>
    <w:p w14:paraId="1BC99588" w14:textId="77777777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>Tendo em conta a informação adicional prestada pelo Procurador Federal belga por carta de 27 de junho de 2025,</w:t>
      </w:r>
    </w:p>
    <w:p w14:paraId="1F7A4638" w14:textId="5D620688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 xml:space="preserve">Tendo em conta os artigos 8.º e 9.º do Protocolo n.º 7 relativo aos Privilégios e Imunidades da União Europeia, bem como o artigo 6.º, n.º 2, do Ato relativo à Eleição dos </w:t>
      </w:r>
      <w:r w:rsidR="00B36CF4" w:rsidRPr="003974C7">
        <w:t xml:space="preserve">Deputados </w:t>
      </w:r>
      <w:r w:rsidRPr="003974C7">
        <w:t>ao Parlamento Europeu por Sufrágio Universal Direto, de 20 de setembro de 1976,</w:t>
      </w:r>
    </w:p>
    <w:p w14:paraId="30E49495" w14:textId="77777777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 xml:space="preserve">Tendo em conta os acórdãos proferidos pelo Tribunal de Justiça da União Europeia em 21 de outubro de 2008, 19 de março de 2010, 6 de setembro de 2011, 17 de janeiro de </w:t>
      </w:r>
      <w:r w:rsidRPr="003974C7">
        <w:lastRenderedPageBreak/>
        <w:t>2013, 19 de dezembro de 2019 e 5 de julho de 2023</w:t>
      </w:r>
      <w:r w:rsidRPr="003974C7">
        <w:rPr>
          <w:rStyle w:val="FootnoteReference"/>
        </w:rPr>
        <w:footnoteReference w:id="1"/>
      </w:r>
      <w:r w:rsidRPr="003974C7">
        <w:t>,</w:t>
      </w:r>
    </w:p>
    <w:p w14:paraId="4C24E17C" w14:textId="77777777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>Tendo em conta o artigo 5.º, n.º 2, o artigo 6.º, n.º 1, e o artigo 9.º do seu Regimento,</w:t>
      </w:r>
    </w:p>
    <w:p w14:paraId="3DEB2538" w14:textId="77777777" w:rsidR="00B64DA6" w:rsidRPr="003974C7" w:rsidRDefault="00B64DA6" w:rsidP="00B64DA6">
      <w:pPr>
        <w:pStyle w:val="NormalHanging12a"/>
      </w:pPr>
      <w:r w:rsidRPr="003974C7">
        <w:t>–</w:t>
      </w:r>
      <w:r w:rsidRPr="003974C7">
        <w:tab/>
        <w:t>Tendo em conta o relatório da Comissão dos Assuntos Jurídicos (A10</w:t>
      </w:r>
      <w:r w:rsidRPr="003974C7">
        <w:noBreakHyphen/>
        <w:t>0263/2025),</w:t>
      </w:r>
    </w:p>
    <w:p w14:paraId="00FFA0A7" w14:textId="14A18220" w:rsidR="00B64DA6" w:rsidRPr="003974C7" w:rsidRDefault="00B64DA6" w:rsidP="00B64DA6">
      <w:pPr>
        <w:pStyle w:val="NormalHanging12a"/>
      </w:pPr>
      <w:r w:rsidRPr="003974C7">
        <w:t>A.</w:t>
      </w:r>
      <w:r w:rsidRPr="003974C7">
        <w:tab/>
      </w:r>
      <w:bookmarkStart w:id="8" w:name="_Hlk210981952"/>
      <w:r w:rsidRPr="003974C7">
        <w:t xml:space="preserve">Considerando que, em 27 de fevereiro de 2025, o Procurador Federal belga apresentou um pedido de levantamento da imunidade de Elisabetta </w:t>
      </w:r>
      <w:proofErr w:type="spellStart"/>
      <w:r w:rsidRPr="003974C7">
        <w:t>Gualmin</w:t>
      </w:r>
      <w:proofErr w:type="spellEnd"/>
      <w:r w:rsidRPr="003974C7">
        <w:t xml:space="preserve">, deputada ao Parlamento Europeu eleita em Itália, no âmbito de uma ação penal a ser instaurada contra </w:t>
      </w:r>
      <w:r w:rsidR="006F5CEB" w:rsidRPr="003974C7">
        <w:t>si</w:t>
      </w:r>
      <w:r w:rsidRPr="003974C7">
        <w:t>;</w:t>
      </w:r>
      <w:bookmarkEnd w:id="8"/>
    </w:p>
    <w:p w14:paraId="69C2C8D5" w14:textId="62702393" w:rsidR="00B64DA6" w:rsidRPr="003974C7" w:rsidRDefault="00B64DA6" w:rsidP="00B64DA6">
      <w:pPr>
        <w:pStyle w:val="NormalHanging12a"/>
      </w:pPr>
      <w:r w:rsidRPr="003974C7">
        <w:t>B.</w:t>
      </w:r>
      <w:r w:rsidRPr="003974C7">
        <w:tab/>
      </w:r>
      <w:bookmarkStart w:id="9" w:name="_Hlk210982188"/>
      <w:r w:rsidRPr="003974C7">
        <w:t xml:space="preserve">Considerando que uma investigação em curso no contexto do chamado processo </w:t>
      </w:r>
      <w:proofErr w:type="spellStart"/>
      <w:r w:rsidRPr="003974C7">
        <w:t>Qatargate</w:t>
      </w:r>
      <w:proofErr w:type="spellEnd"/>
      <w:r w:rsidRPr="003974C7">
        <w:t xml:space="preserve"> alegadamente </w:t>
      </w:r>
      <w:r w:rsidR="00B82EDB" w:rsidRPr="003974C7">
        <w:t xml:space="preserve">revelou </w:t>
      </w:r>
      <w:r w:rsidRPr="003974C7">
        <w:t xml:space="preserve">a existência de uma organização criminosa nas instituições da União, em </w:t>
      </w:r>
      <w:r w:rsidR="00B82EDB" w:rsidRPr="003974C7">
        <w:t xml:space="preserve">especial </w:t>
      </w:r>
      <w:r w:rsidRPr="003974C7">
        <w:t xml:space="preserve">no Parlamento Europeu, cujo objetivo </w:t>
      </w:r>
      <w:r w:rsidR="00B82EDB" w:rsidRPr="003974C7">
        <w:t xml:space="preserve">seria </w:t>
      </w:r>
      <w:r w:rsidRPr="003974C7">
        <w:t>utilizar a sua rede de influência nas instituições da U</w:t>
      </w:r>
      <w:r w:rsidR="00FB08FA" w:rsidRPr="003974C7">
        <w:t>nião</w:t>
      </w:r>
      <w:r w:rsidRPr="003974C7">
        <w:t>, sobretudo no que respeita aos deputados ao Parlamento Europeu, assistentes e funcionários</w:t>
      </w:r>
      <w:r w:rsidR="00FB08FA" w:rsidRPr="003974C7">
        <w:t>,</w:t>
      </w:r>
      <w:r w:rsidRPr="003974C7">
        <w:t xml:space="preserve"> com o objetivo de influenciar o processo decisório do Parlamento a favor dos interesses geopolíticos de determinados países terceiros;</w:t>
      </w:r>
    </w:p>
    <w:p w14:paraId="709F8CFC" w14:textId="1C838F7D" w:rsidR="00B64DA6" w:rsidRPr="003974C7" w:rsidRDefault="00B64DA6" w:rsidP="00B64DA6">
      <w:pPr>
        <w:pStyle w:val="NormalHanging12a"/>
      </w:pPr>
      <w:r w:rsidRPr="003974C7">
        <w:t>C.</w:t>
      </w:r>
      <w:r w:rsidRPr="003974C7">
        <w:tab/>
        <w:t>Considerando que, segundo o pedido</w:t>
      </w:r>
      <w:r w:rsidR="00FB08FA" w:rsidRPr="003974C7">
        <w:t xml:space="preserve"> de levantamento da imunidade de Elisabetta </w:t>
      </w:r>
      <w:proofErr w:type="spellStart"/>
      <w:r w:rsidR="00FB08FA" w:rsidRPr="003974C7">
        <w:t>Gualmini</w:t>
      </w:r>
      <w:proofErr w:type="spellEnd"/>
      <w:r w:rsidRPr="003974C7">
        <w:t xml:space="preserve">, </w:t>
      </w:r>
      <w:r w:rsidR="00B82EDB" w:rsidRPr="003974C7">
        <w:t xml:space="preserve">alegadamente </w:t>
      </w:r>
      <w:r w:rsidRPr="003974C7">
        <w:t xml:space="preserve">se verificou no decurso dessa investigação que Elisabetta </w:t>
      </w:r>
      <w:proofErr w:type="spellStart"/>
      <w:r w:rsidRPr="003974C7">
        <w:t>Gualmini</w:t>
      </w:r>
      <w:proofErr w:type="spellEnd"/>
      <w:r w:rsidRPr="003974C7">
        <w:t xml:space="preserve"> pode</w:t>
      </w:r>
      <w:r w:rsidR="00B82EDB" w:rsidRPr="003974C7">
        <w:t>rá</w:t>
      </w:r>
      <w:r w:rsidRPr="003974C7">
        <w:t xml:space="preserve"> ter estado envolvida em atos de corrupção ao aceitar que a alegada organização criminosa exer</w:t>
      </w:r>
      <w:r w:rsidR="00B82EDB" w:rsidRPr="003974C7">
        <w:t>cesse</w:t>
      </w:r>
      <w:r w:rsidRPr="003974C7">
        <w:t xml:space="preserve"> a sua influência para que a deputada obtivesse o cargo de vice</w:t>
      </w:r>
      <w:r w:rsidRPr="003974C7">
        <w:noBreakHyphen/>
        <w:t>presidente do seu grupo político em outubro de 2022, em troca do exercício de influência a partir desse cargo nesse grupo político no interesse da alegada organização criminosa</w:t>
      </w:r>
      <w:r w:rsidR="00FB08FA" w:rsidRPr="003974C7">
        <w:t>; considerando que</w:t>
      </w:r>
      <w:r w:rsidRPr="003974C7">
        <w:t xml:space="preserve"> o processo de nomeação de um vice</w:t>
      </w:r>
      <w:r w:rsidRPr="003974C7">
        <w:noBreakHyphen/>
        <w:t>presidente do grupo político em causa se baseia, de facto, num procedimento pormenorizado e estabelecido que culmina numa decisão tomada pelo plenário do grupo de forma aberta e transparente</w:t>
      </w:r>
      <w:r w:rsidR="00FB08FA" w:rsidRPr="003974C7">
        <w:t>; considerando que</w:t>
      </w:r>
      <w:r w:rsidRPr="003974C7">
        <w:t xml:space="preserve"> se afigura que o lugar de vice</w:t>
      </w:r>
      <w:r w:rsidRPr="003974C7">
        <w:noBreakHyphen/>
        <w:t>presidente do grupo político em questão ficou vago em 12 de outubro de 2022</w:t>
      </w:r>
      <w:r w:rsidR="00FB08FA" w:rsidRPr="003974C7">
        <w:t>; considerando que</w:t>
      </w:r>
      <w:r w:rsidRPr="003974C7">
        <w:t xml:space="preserve">, de acordo com o procedimento </w:t>
      </w:r>
      <w:r w:rsidR="00B82EDB" w:rsidRPr="003974C7">
        <w:t>previsto</w:t>
      </w:r>
      <w:r w:rsidRPr="003974C7">
        <w:t xml:space="preserve">, o grupo político nomeou Elisabetta </w:t>
      </w:r>
      <w:proofErr w:type="spellStart"/>
      <w:r w:rsidRPr="003974C7">
        <w:t>Gualmini</w:t>
      </w:r>
      <w:proofErr w:type="spellEnd"/>
      <w:r w:rsidRPr="003974C7">
        <w:t xml:space="preserve"> vice</w:t>
      </w:r>
      <w:r w:rsidRPr="003974C7">
        <w:noBreakHyphen/>
        <w:t>presidente em 18 de outubro de 2022</w:t>
      </w:r>
      <w:r w:rsidR="00FB08FA" w:rsidRPr="003974C7">
        <w:t>; considerando que</w:t>
      </w:r>
      <w:r w:rsidRPr="003974C7">
        <w:t xml:space="preserve">, imediatamente após a sua nomeação, Elisabetta </w:t>
      </w:r>
      <w:proofErr w:type="spellStart"/>
      <w:r w:rsidRPr="003974C7">
        <w:t>Gualmini</w:t>
      </w:r>
      <w:proofErr w:type="spellEnd"/>
      <w:r w:rsidRPr="003974C7">
        <w:t xml:space="preserve"> terá alegadamente agradecido ao presumível chefe da alegada organização criminosa pelo alegado apoio e aconselhamento recebidos nesse contexto</w:t>
      </w:r>
      <w:r w:rsidR="00FB08FA" w:rsidRPr="003974C7">
        <w:t>; considerando que</w:t>
      </w:r>
      <w:r w:rsidRPr="003974C7">
        <w:t xml:space="preserve"> o presumível líder da alegada organização criminosa não exerceu qualquer cargo no Parlamento a partir de 1 de julho de 2019 e</w:t>
      </w:r>
      <w:r w:rsidR="00217E25" w:rsidRPr="003974C7">
        <w:t xml:space="preserve"> que</w:t>
      </w:r>
      <w:r w:rsidRPr="003974C7">
        <w:t xml:space="preserve">, além disso, pertenceu a um partido político nacional diferente do de Elisabetta </w:t>
      </w:r>
      <w:proofErr w:type="spellStart"/>
      <w:r w:rsidRPr="003974C7">
        <w:t>Gualmini</w:t>
      </w:r>
      <w:proofErr w:type="spellEnd"/>
      <w:r w:rsidRPr="003974C7">
        <w:t xml:space="preserve">, mas, como </w:t>
      </w:r>
      <w:r w:rsidR="00217E25" w:rsidRPr="003974C7">
        <w:t>decorre implicitamente d</w:t>
      </w:r>
      <w:r w:rsidRPr="003974C7">
        <w:t xml:space="preserve">o pedido, sem que tal tenha sido explicado </w:t>
      </w:r>
      <w:r w:rsidR="00217E25" w:rsidRPr="003974C7">
        <w:t>em pormenor</w:t>
      </w:r>
      <w:r w:rsidRPr="003974C7">
        <w:t>, exerceu alegadamente uma ampla influência sobre todo o processo de nomeação de um vice</w:t>
      </w:r>
      <w:r w:rsidRPr="003974C7">
        <w:noBreakHyphen/>
        <w:t>presidente nesse grupo político;</w:t>
      </w:r>
    </w:p>
    <w:p w14:paraId="33F0A3A6" w14:textId="120AFF2E" w:rsidR="00B64DA6" w:rsidRPr="003974C7" w:rsidRDefault="00B64DA6" w:rsidP="003974C7">
      <w:pPr>
        <w:pStyle w:val="NormalHanging12a"/>
      </w:pPr>
      <w:r w:rsidRPr="003974C7">
        <w:t>D.</w:t>
      </w:r>
      <w:r w:rsidRPr="003974C7">
        <w:tab/>
        <w:t xml:space="preserve">Considerando que a alegada organização criminosa, através da sua presumível rede de influência, terá alegadamente tentado, como </w:t>
      </w:r>
      <w:r w:rsidR="00217E25" w:rsidRPr="003974C7">
        <w:t xml:space="preserve">sugerido </w:t>
      </w:r>
      <w:r w:rsidRPr="003974C7">
        <w:t xml:space="preserve">no pedido, sem que tal tenha sido </w:t>
      </w:r>
      <w:r w:rsidRPr="003974C7">
        <w:lastRenderedPageBreak/>
        <w:t xml:space="preserve">explicado </w:t>
      </w:r>
      <w:r w:rsidR="00217E25" w:rsidRPr="003974C7">
        <w:t>em pormenor</w:t>
      </w:r>
      <w:r w:rsidRPr="003974C7">
        <w:t xml:space="preserve">, impor Elisabetta </w:t>
      </w:r>
      <w:proofErr w:type="spellStart"/>
      <w:r w:rsidRPr="003974C7">
        <w:t>Gualmini</w:t>
      </w:r>
      <w:proofErr w:type="spellEnd"/>
      <w:r w:rsidRPr="003974C7">
        <w:t xml:space="preserve"> como presidente da reunião do seu grupo político de 16 de novembro de 2022, cujo objetivo era determinar a posição do grupo no que diz respeito à conveniência política de realizar um debate em sessão plenária sobre a situação no Catar e de votar uma resolução urgente sobre es</w:t>
      </w:r>
      <w:r w:rsidR="00E94828" w:rsidRPr="003974C7">
        <w:t>s</w:t>
      </w:r>
      <w:r w:rsidRPr="003974C7">
        <w:t>e tema</w:t>
      </w:r>
      <w:bookmarkEnd w:id="9"/>
      <w:r w:rsidR="00FB08FA" w:rsidRPr="003974C7">
        <w:t>; considerando que</w:t>
      </w:r>
      <w:r w:rsidR="00E94828" w:rsidRPr="003974C7">
        <w:t xml:space="preserve"> Elisabetta </w:t>
      </w:r>
      <w:proofErr w:type="spellStart"/>
      <w:r w:rsidR="00E94828" w:rsidRPr="003974C7">
        <w:t>Gualmini</w:t>
      </w:r>
      <w:proofErr w:type="spellEnd"/>
      <w:r w:rsidRPr="003974C7">
        <w:t>, alegadamente, solicitou e/ou concordou em receber instruções sobre o conteúdo das suas declarações n</w:t>
      </w:r>
      <w:r w:rsidR="00E94828" w:rsidRPr="003974C7">
        <w:t>ess</w:t>
      </w:r>
      <w:r w:rsidRPr="003974C7">
        <w:t>a reunião e que</w:t>
      </w:r>
      <w:r w:rsidR="00E94828" w:rsidRPr="003974C7">
        <w:t>,</w:t>
      </w:r>
      <w:r w:rsidRPr="003974C7">
        <w:t xml:space="preserve"> alegadamente</w:t>
      </w:r>
      <w:r w:rsidR="00E94828" w:rsidRPr="003974C7">
        <w:t>,</w:t>
      </w:r>
      <w:r w:rsidRPr="003974C7">
        <w:t xml:space="preserve"> utilizou argumentos que lhe </w:t>
      </w:r>
      <w:r w:rsidR="001129ED" w:rsidRPr="003974C7">
        <w:t>terão sido determinados</w:t>
      </w:r>
      <w:r w:rsidRPr="003974C7">
        <w:t xml:space="preserve">, </w:t>
      </w:r>
      <w:r w:rsidR="00C958D0" w:rsidRPr="003974C7">
        <w:t>no sentido de que seria inadequad</w:t>
      </w:r>
      <w:r w:rsidR="001129ED" w:rsidRPr="003974C7">
        <w:t>a a</w:t>
      </w:r>
      <w:r w:rsidRPr="003974C7">
        <w:t xml:space="preserve"> realiza</w:t>
      </w:r>
      <w:r w:rsidR="001129ED" w:rsidRPr="003974C7">
        <w:t xml:space="preserve">ção de </w:t>
      </w:r>
      <w:r w:rsidRPr="003974C7">
        <w:t xml:space="preserve"> um debate </w:t>
      </w:r>
      <w:r w:rsidR="001129ED" w:rsidRPr="003974C7">
        <w:t xml:space="preserve">sobre o Catar </w:t>
      </w:r>
      <w:r w:rsidRPr="003974C7">
        <w:t xml:space="preserve">em sessão plenária e uma resolução sobre </w:t>
      </w:r>
      <w:r w:rsidR="00C958D0" w:rsidRPr="003974C7">
        <w:t xml:space="preserve">o </w:t>
      </w:r>
      <w:r w:rsidRPr="003974C7">
        <w:t>tema</w:t>
      </w:r>
      <w:r w:rsidR="00FB08FA" w:rsidRPr="003974C7">
        <w:t>; considerando que</w:t>
      </w:r>
      <w:r w:rsidRPr="003974C7">
        <w:t xml:space="preserve">, no decurso do processo, se teve conhecimento que Elisabetta </w:t>
      </w:r>
      <w:proofErr w:type="spellStart"/>
      <w:r w:rsidRPr="003974C7">
        <w:t>Gualmini</w:t>
      </w:r>
      <w:proofErr w:type="spellEnd"/>
      <w:r w:rsidRPr="003974C7">
        <w:t xml:space="preserve"> não presidiu, de facto, a essa reunião, uma vez que esse papel foi assumido por outro vice</w:t>
      </w:r>
      <w:r w:rsidRPr="003974C7">
        <w:noBreakHyphen/>
        <w:t>presidente do grupo político</w:t>
      </w:r>
      <w:r w:rsidR="008E044F" w:rsidRPr="003974C7">
        <w:t xml:space="preserve"> em causa</w:t>
      </w:r>
      <w:r w:rsidRPr="003974C7">
        <w:t xml:space="preserve">, e que </w:t>
      </w:r>
      <w:r w:rsidR="001129ED" w:rsidRPr="003974C7">
        <w:t>aparentemente</w:t>
      </w:r>
      <w:r w:rsidRPr="003974C7">
        <w:t xml:space="preserve"> o papel de Elisabetta </w:t>
      </w:r>
      <w:proofErr w:type="spellStart"/>
      <w:r w:rsidRPr="003974C7">
        <w:t>Gualmini</w:t>
      </w:r>
      <w:proofErr w:type="spellEnd"/>
      <w:r w:rsidRPr="003974C7">
        <w:t xml:space="preserve"> n</w:t>
      </w:r>
      <w:r w:rsidR="008E044F" w:rsidRPr="003974C7">
        <w:t>ess</w:t>
      </w:r>
      <w:r w:rsidRPr="003974C7">
        <w:t xml:space="preserve">a reunião </w:t>
      </w:r>
      <w:r w:rsidR="001129ED" w:rsidRPr="003974C7">
        <w:t xml:space="preserve">terá </w:t>
      </w:r>
      <w:r w:rsidRPr="003974C7">
        <w:t>consisti</w:t>
      </w:r>
      <w:r w:rsidR="001129ED" w:rsidRPr="003974C7">
        <w:t>do</w:t>
      </w:r>
      <w:r w:rsidRPr="003974C7">
        <w:t xml:space="preserve"> apenas </w:t>
      </w:r>
      <w:r w:rsidR="008E044F" w:rsidRPr="003974C7">
        <w:t>na</w:t>
      </w:r>
      <w:r w:rsidRPr="003974C7">
        <w:t xml:space="preserve"> apresenta</w:t>
      </w:r>
      <w:r w:rsidR="008E044F" w:rsidRPr="003974C7">
        <w:t>ção</w:t>
      </w:r>
      <w:r w:rsidRPr="003974C7">
        <w:t xml:space="preserve"> </w:t>
      </w:r>
      <w:r w:rsidR="008E044F" w:rsidRPr="003974C7">
        <w:t>d</w:t>
      </w:r>
      <w:r w:rsidRPr="003974C7">
        <w:t>o ponto na ordem do dia da reunião do grupo político sobre a preparação da sessão plenária de novembro II de 2022</w:t>
      </w:r>
      <w:r w:rsidR="00FB08FA" w:rsidRPr="003974C7">
        <w:t>; considerando que</w:t>
      </w:r>
      <w:r w:rsidRPr="003974C7">
        <w:t xml:space="preserve">, além disso, a conclusão que Elisabetta </w:t>
      </w:r>
      <w:proofErr w:type="spellStart"/>
      <w:r w:rsidRPr="003974C7">
        <w:t>Gualmini</w:t>
      </w:r>
      <w:proofErr w:type="spellEnd"/>
      <w:r w:rsidRPr="003974C7">
        <w:t xml:space="preserve"> parece ter apresentado após o debate que teve lugar na reunião do grupo político em questão contradiz as instruções alegadamente recebidas da alegada organização criminosa;</w:t>
      </w:r>
    </w:p>
    <w:p w14:paraId="1A431CD0" w14:textId="2241D764" w:rsidR="00B64DA6" w:rsidRPr="003974C7" w:rsidRDefault="00B64DA6" w:rsidP="008E044F">
      <w:pPr>
        <w:pStyle w:val="NormalHanging12a"/>
      </w:pPr>
      <w:bookmarkStart w:id="10" w:name="_Hlk210982206"/>
      <w:r w:rsidRPr="003974C7">
        <w:t>E.</w:t>
      </w:r>
      <w:r w:rsidRPr="003974C7">
        <w:tab/>
        <w:t xml:space="preserve">Considerando que, segundo o pedido, Elisabetta </w:t>
      </w:r>
      <w:proofErr w:type="spellStart"/>
      <w:r w:rsidRPr="003974C7">
        <w:t>Gualmini</w:t>
      </w:r>
      <w:proofErr w:type="spellEnd"/>
      <w:r w:rsidRPr="003974C7">
        <w:t xml:space="preserve"> é, por conseguinte, suspeita de ter alegadamente cometido, entre 1 de julho de 2019 e 10 de dezembro de 2022, atos ilícitos que, nos termos do direito belga, podem ser classificados como participação na atividade de uma organização criminosa e como corrupção passiva, infrações penais nos termos</w:t>
      </w:r>
      <w:r w:rsidR="00CF105B" w:rsidRPr="003974C7">
        <w:t>, respetivamente,</w:t>
      </w:r>
      <w:r w:rsidRPr="003974C7">
        <w:t xml:space="preserve"> dos artigos 324.º</w:t>
      </w:r>
      <w:r w:rsidRPr="003974C7">
        <w:noBreakHyphen/>
        <w:t>A e 324.º</w:t>
      </w:r>
      <w:r w:rsidRPr="003974C7">
        <w:noBreakHyphen/>
        <w:t>B dos artigos 246.º a 250.º do Código Penal belga</w:t>
      </w:r>
      <w:r w:rsidR="00FB08FA" w:rsidRPr="003974C7">
        <w:t>; considerando que</w:t>
      </w:r>
      <w:r w:rsidRPr="003974C7">
        <w:t xml:space="preserve"> tanto o pedido como as informações adicionais recebidas do Procurador Federal belga </w:t>
      </w:r>
      <w:r w:rsidR="001129ED" w:rsidRPr="003974C7">
        <w:t xml:space="preserve">apresentam </w:t>
      </w:r>
      <w:r w:rsidRPr="003974C7">
        <w:t>apenas indicações de alegados atos relativos ao período de 4 de outubro a 2 de dezembro de 2022, deixando o período anterior a 4 de outubro de 2022 sem qualquer fundamentação</w:t>
      </w:r>
      <w:r w:rsidR="00FB08FA" w:rsidRPr="003974C7">
        <w:t>; considerando que</w:t>
      </w:r>
      <w:r w:rsidRPr="003974C7">
        <w:t>, por conseguinte, existe uma incoerência entre o período em que a alegada infração foi cometida e a justificação apresentada nos motivos do pedido de levantamento da imunidade;</w:t>
      </w:r>
    </w:p>
    <w:bookmarkEnd w:id="10"/>
    <w:p w14:paraId="1BB50ECA" w14:textId="77777777" w:rsidR="00B64DA6" w:rsidRPr="003974C7" w:rsidRDefault="00B64DA6" w:rsidP="00B64DA6">
      <w:pPr>
        <w:pStyle w:val="NormalHanging12a"/>
      </w:pPr>
      <w:r w:rsidRPr="003974C7">
        <w:t>F.</w:t>
      </w:r>
      <w:r w:rsidRPr="003974C7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3974C7">
        <w:rPr>
          <w:rStyle w:val="FootnoteReference"/>
        </w:rPr>
        <w:footnoteReference w:id="2"/>
      </w:r>
      <w:r w:rsidRPr="003974C7">
        <w:t>;</w:t>
      </w:r>
    </w:p>
    <w:p w14:paraId="0C0509D8" w14:textId="77777777" w:rsidR="00B64DA6" w:rsidRPr="003974C7" w:rsidRDefault="00B64DA6" w:rsidP="00B64DA6">
      <w:pPr>
        <w:pStyle w:val="NormalHanging12a"/>
      </w:pPr>
      <w:bookmarkStart w:id="11" w:name="_Hlk210982236"/>
      <w:r w:rsidRPr="003974C7">
        <w:t>G.</w:t>
      </w:r>
      <w:r w:rsidRPr="003974C7">
        <w:tab/>
        <w:t>Considerando que o objetivo da imunidade parlamentar prevista no Protocolo n.º 7 relativo aos Privilégios e Imunidades da União Europeia é proteger o Parlamento e os seus deputados contra processos judiciais relacionados com atividades exercidas no desempenho das suas funções parlamentares e que não podem ser separadas dessas funções;</w:t>
      </w:r>
    </w:p>
    <w:p w14:paraId="38574842" w14:textId="3B6C4CEC" w:rsidR="00B64DA6" w:rsidRPr="003974C7" w:rsidRDefault="00B64DA6" w:rsidP="00B64DA6">
      <w:pPr>
        <w:pStyle w:val="NormalHanging12a"/>
      </w:pPr>
      <w:r w:rsidRPr="003974C7">
        <w:t>H.</w:t>
      </w:r>
      <w:r w:rsidRPr="003974C7">
        <w:tab/>
        <w:t>Considerando que o artigo 8.º do Protocolo n.º 7 relativo aos Privilégios e Imunidades da União Europeia prevê que os membros do Parlamento Europeu não podem ser procurados, detidos ou perseguidos pelas opiniões ou votos emitidos no exercício das suas funções</w:t>
      </w:r>
      <w:r w:rsidR="00FB08FA" w:rsidRPr="003974C7">
        <w:t>; considerando que</w:t>
      </w:r>
      <w:r w:rsidRPr="003974C7">
        <w:t xml:space="preserve"> o artigo 8.º do Protocolo n.º 7 relativo aos Privilégios e Imunidades da União Europeia é uma norma especial destinada a proteger a liberdade </w:t>
      </w:r>
      <w:r w:rsidRPr="003974C7">
        <w:lastRenderedPageBreak/>
        <w:t>de expressão e a independência dos membros do Parlamento Europeu</w:t>
      </w:r>
      <w:r w:rsidRPr="003974C7">
        <w:rPr>
          <w:rStyle w:val="FootnoteReference"/>
        </w:rPr>
        <w:footnoteReference w:id="3"/>
      </w:r>
      <w:r w:rsidRPr="003974C7">
        <w:t xml:space="preserve">; </w:t>
      </w:r>
    </w:p>
    <w:p w14:paraId="077BECF0" w14:textId="77777777" w:rsidR="00B64DA6" w:rsidRPr="003974C7" w:rsidRDefault="00B64DA6" w:rsidP="00B64DA6">
      <w:pPr>
        <w:pStyle w:val="NormalHanging12a"/>
      </w:pPr>
      <w:r w:rsidRPr="003974C7">
        <w:t>I.</w:t>
      </w:r>
      <w:r w:rsidRPr="003974C7">
        <w:tab/>
        <w:t xml:space="preserve">Considerando que as alegadas infrações não constituem uma opinião ou um voto emitido por Elisabetta </w:t>
      </w:r>
      <w:proofErr w:type="spellStart"/>
      <w:r w:rsidRPr="003974C7">
        <w:t>Gualmini</w:t>
      </w:r>
      <w:proofErr w:type="spellEnd"/>
      <w:r w:rsidRPr="003974C7">
        <w:t xml:space="preserve"> no exercício das suas funções, na aceção do artigo 8.º do Protocolo n.º 7 relativo aos Privilégios e Imunidades da União Europeia, nem o pedido subsequente de levantamento da imunidade desta está relacionado com tal opinião ou voto;</w:t>
      </w:r>
    </w:p>
    <w:p w14:paraId="383D6850" w14:textId="58AE578A" w:rsidR="00B64DA6" w:rsidRPr="003974C7" w:rsidRDefault="00B64DA6" w:rsidP="00E66890">
      <w:pPr>
        <w:pStyle w:val="NormalHanging12a"/>
      </w:pPr>
      <w:bookmarkStart w:id="12" w:name="_Hlk210982264"/>
      <w:bookmarkEnd w:id="11"/>
      <w:r w:rsidRPr="003974C7">
        <w:t>J.</w:t>
      </w:r>
      <w:r w:rsidRPr="003974C7">
        <w:tab/>
        <w:t>Considerando que o artigo 9.º, n.º 1, alínea b), do Protocolo n.º 7 relativo aos Privilégios e Imunidades da União Europeia prevê que</w:t>
      </w:r>
      <w:r w:rsidR="00E66890" w:rsidRPr="003974C7">
        <w:t>, enquanto durarem as sessões do Parlamento Europeu,</w:t>
      </w:r>
      <w:r w:rsidRPr="003974C7">
        <w:t xml:space="preserve"> os </w:t>
      </w:r>
      <w:r w:rsidR="00E66890" w:rsidRPr="003974C7">
        <w:t xml:space="preserve">seus </w:t>
      </w:r>
      <w:r w:rsidRPr="003974C7">
        <w:t>membros  beneficiam, no território de qualquer Estado</w:t>
      </w:r>
      <w:r w:rsidRPr="003974C7">
        <w:noBreakHyphen/>
        <w:t xml:space="preserve">Membro </w:t>
      </w:r>
      <w:r w:rsidR="00E66890" w:rsidRPr="003974C7">
        <w:t xml:space="preserve">que não </w:t>
      </w:r>
      <w:r w:rsidRPr="003974C7">
        <w:t>o seu, da não sujeição a qualquer medida de detenção e a qualquer procedimento judicial;</w:t>
      </w:r>
      <w:bookmarkEnd w:id="12"/>
    </w:p>
    <w:p w14:paraId="26D79696" w14:textId="36A7E2CB" w:rsidR="00B64DA6" w:rsidRPr="003974C7" w:rsidRDefault="00B64DA6" w:rsidP="00B64DA6">
      <w:pPr>
        <w:pStyle w:val="NormalHanging12a"/>
      </w:pPr>
      <w:bookmarkStart w:id="13" w:name="_Hlk210982279"/>
      <w:r w:rsidRPr="003974C7">
        <w:t>K.</w:t>
      </w:r>
      <w:r w:rsidRPr="003974C7">
        <w:tab/>
        <w:t>Considerando que, nos termos do artigo 5.º, n.º 2, do Regimento do Parlamento, a imunidade parlamentar não é um privilégio pessoal dos deputados, mas sim uma garantia da independência do Parlamento Europeu como um todo, e dos seus membros;</w:t>
      </w:r>
    </w:p>
    <w:p w14:paraId="37B8C3F2" w14:textId="77777777" w:rsidR="00B64DA6" w:rsidRPr="003974C7" w:rsidRDefault="00B64DA6" w:rsidP="00B64DA6">
      <w:pPr>
        <w:pStyle w:val="NormalHanging12a"/>
      </w:pPr>
      <w:r w:rsidRPr="003974C7">
        <w:t>L.</w:t>
      </w:r>
      <w:r w:rsidRPr="003974C7">
        <w:tab/>
        <w:t>Considerando que decorre da jurisprudência do Tribunal de Justiça da União Europeia que o Parlamento dispõe de um «amplo poder de apreciação quanto à orientação que entende dar a uma decisão na sequência de um pedido de levantamento da imunidade [...], devido ao caráter político que essa decisão reveste»</w:t>
      </w:r>
      <w:r w:rsidRPr="003974C7">
        <w:rPr>
          <w:vertAlign w:val="superscript"/>
        </w:rPr>
        <w:footnoteReference w:id="4"/>
      </w:r>
      <w:r w:rsidRPr="003974C7">
        <w:t>;</w:t>
      </w:r>
    </w:p>
    <w:p w14:paraId="4641F162" w14:textId="540332E1" w:rsidR="00B64DA6" w:rsidRPr="003974C7" w:rsidRDefault="00B64DA6" w:rsidP="00B64DA6">
      <w:pPr>
        <w:pStyle w:val="NormalHanging12a"/>
      </w:pPr>
      <w:r w:rsidRPr="003974C7">
        <w:t>M.</w:t>
      </w:r>
      <w:r w:rsidRPr="003974C7">
        <w:tab/>
        <w:t xml:space="preserve">Considerando que qualquer conclusão sobre o pedido de levantamento da imunidade </w:t>
      </w:r>
      <w:r w:rsidR="005E53BB" w:rsidRPr="003974C7">
        <w:t xml:space="preserve">de Elisabetta </w:t>
      </w:r>
      <w:proofErr w:type="spellStart"/>
      <w:r w:rsidR="005E53BB" w:rsidRPr="003974C7">
        <w:t>Gualmini</w:t>
      </w:r>
      <w:proofErr w:type="spellEnd"/>
      <w:r w:rsidR="005E53BB" w:rsidRPr="003974C7">
        <w:t xml:space="preserve"> </w:t>
      </w:r>
      <w:r w:rsidRPr="003974C7">
        <w:t>deve ser retirada com base nas informações e explicações fornecidas neste caso, em particular as fornecidas pelo Procurador Federal belga</w:t>
      </w:r>
      <w:r w:rsidR="00FB08FA" w:rsidRPr="003974C7">
        <w:t>; considerando que</w:t>
      </w:r>
      <w:r w:rsidRPr="003974C7">
        <w:t xml:space="preserve"> a descrição dos factos alegados e das conclusões subsequentes no pedido de levantamento de imunidade, na ausência de explicações mais pormenorizadas, parece ser incoerente, basear</w:t>
      </w:r>
      <w:r w:rsidRPr="003974C7">
        <w:noBreakHyphen/>
        <w:t>se em pressupostos ou insinuações</w:t>
      </w:r>
      <w:r w:rsidR="005E53BB" w:rsidRPr="003974C7">
        <w:t>,</w:t>
      </w:r>
      <w:r w:rsidRPr="003974C7">
        <w:t xml:space="preserve"> </w:t>
      </w:r>
      <w:r w:rsidR="005E53BB" w:rsidRPr="003974C7">
        <w:t>e</w:t>
      </w:r>
      <w:r w:rsidRPr="003974C7">
        <w:t xml:space="preserve"> desrespeitar os processos políticos estabelecidos no Parlamento no que diz respeito à nomeação de vice</w:t>
      </w:r>
      <w:r w:rsidRPr="003974C7">
        <w:noBreakHyphen/>
        <w:t>presidentes para os grupos políticos e à preparação e conclusão de posições internas no seio de um grupo político</w:t>
      </w:r>
      <w:r w:rsidR="00FB08FA" w:rsidRPr="003974C7">
        <w:t>; considerando que</w:t>
      </w:r>
      <w:r w:rsidRPr="003974C7">
        <w:t xml:space="preserve"> não parece ter sido demonstrada qualquer contrapartida clara e que não está suficientemente demonstrado nenhum benefício pessoal para Elisabetta </w:t>
      </w:r>
      <w:proofErr w:type="spellStart"/>
      <w:r w:rsidRPr="003974C7">
        <w:t>Gualmini</w:t>
      </w:r>
      <w:proofErr w:type="spellEnd"/>
      <w:r w:rsidRPr="003974C7">
        <w:t xml:space="preserve"> que resulte inequivocamente dos alegados factos apresentados no pedido; </w:t>
      </w:r>
    </w:p>
    <w:p w14:paraId="6AD6079A" w14:textId="78D74FC9" w:rsidR="00B64DA6" w:rsidRPr="003974C7" w:rsidRDefault="00B64DA6" w:rsidP="00B64DA6">
      <w:pPr>
        <w:pStyle w:val="NormalHanging12a"/>
      </w:pPr>
      <w:r w:rsidRPr="003974C7">
        <w:t>N.</w:t>
      </w:r>
      <w:r w:rsidRPr="003974C7">
        <w:tab/>
        <w:t xml:space="preserve">Considerando, além disso, que os alegados factos apresentados no pedido de levantamento da imunidade de Elisabetta </w:t>
      </w:r>
      <w:proofErr w:type="spellStart"/>
      <w:r w:rsidRPr="003974C7">
        <w:t>Gualmini</w:t>
      </w:r>
      <w:proofErr w:type="spellEnd"/>
      <w:r w:rsidRPr="003974C7">
        <w:t xml:space="preserve"> desrespeitam o contexto indissociável e a ligação </w:t>
      </w:r>
      <w:r w:rsidR="004A2292" w:rsidRPr="003974C7">
        <w:t>com as</w:t>
      </w:r>
      <w:r w:rsidRPr="003974C7">
        <w:t xml:space="preserve"> atividades políticas regulares de um grupo político ou </w:t>
      </w:r>
      <w:r w:rsidR="004A2292" w:rsidRPr="003974C7">
        <w:t>com a</w:t>
      </w:r>
      <w:r w:rsidRPr="003974C7">
        <w:t xml:space="preserve">s atividades </w:t>
      </w:r>
      <w:r w:rsidR="004A2292" w:rsidRPr="003974C7">
        <w:t xml:space="preserve">políticas regulares </w:t>
      </w:r>
      <w:r w:rsidRPr="003974C7">
        <w:t xml:space="preserve">conduzidas pelos deputados no </w:t>
      </w:r>
      <w:r w:rsidR="004A2292" w:rsidRPr="003974C7">
        <w:t xml:space="preserve">âmbito </w:t>
      </w:r>
      <w:r w:rsidRPr="003974C7">
        <w:t>de um grupo político</w:t>
      </w:r>
      <w:r w:rsidR="00FB08FA" w:rsidRPr="003974C7">
        <w:t>; considerando que</w:t>
      </w:r>
      <w:r w:rsidRPr="003974C7">
        <w:t xml:space="preserve"> os grupos políticos no Parlamento são constituídos e regidos pelo seu Regimento, desempenham um papel central na organização interna e no trabalho do Parlamento enquanto instituição e são fundamentais para a sua função democrática essencial</w:t>
      </w:r>
      <w:r w:rsidR="00FB08FA" w:rsidRPr="003974C7">
        <w:t>; considerando que</w:t>
      </w:r>
      <w:r w:rsidRPr="003974C7">
        <w:t xml:space="preserve">, em especial, os grupos políticos exercem as suas funções no quadro das atividades da União, incluindo as atribuições que o </w:t>
      </w:r>
      <w:r w:rsidRPr="003974C7">
        <w:lastRenderedPageBreak/>
        <w:t>Regimento do Parlamento lhes comete;</w:t>
      </w:r>
    </w:p>
    <w:p w14:paraId="2FEE9855" w14:textId="77777777" w:rsidR="00B64DA6" w:rsidRPr="003974C7" w:rsidRDefault="00B64DA6" w:rsidP="00B64DA6">
      <w:pPr>
        <w:pStyle w:val="NormalHanging12a"/>
      </w:pPr>
      <w:r w:rsidRPr="003974C7">
        <w:t>O.</w:t>
      </w:r>
      <w:r w:rsidRPr="003974C7">
        <w:tab/>
        <w:t>Considerando que o objetivo da imunidade parlamentar não é proteger as irregularidades, mas sim proteger o funcionamento democrático do Parlamento;</w:t>
      </w:r>
    </w:p>
    <w:p w14:paraId="6F56B23E" w14:textId="7920FA71" w:rsidR="00B64DA6" w:rsidRPr="003974C7" w:rsidRDefault="00B64DA6" w:rsidP="00B64DA6">
      <w:pPr>
        <w:pStyle w:val="NormalHanging12a"/>
      </w:pPr>
      <w:r w:rsidRPr="003974C7">
        <w:t>P.</w:t>
      </w:r>
      <w:r w:rsidRPr="003974C7">
        <w:tab/>
        <w:t>Considerando que, com base no que precede, as incoerências no que diz respeito ao período em que a alegada infração foi cometida e à justificação apresentada, as incertezas quanto aos elementos em que se baseia o pedido de levantamento da imunidade</w:t>
      </w:r>
      <w:r w:rsidR="00D51442" w:rsidRPr="003974C7">
        <w:t xml:space="preserve"> de Elisabetta </w:t>
      </w:r>
      <w:proofErr w:type="spellStart"/>
      <w:r w:rsidR="00D51442" w:rsidRPr="003974C7">
        <w:t>Gualmini</w:t>
      </w:r>
      <w:proofErr w:type="spellEnd"/>
      <w:r w:rsidRPr="003974C7">
        <w:t xml:space="preserve"> e os motivos do pedido, bem como a falta de provas ou explicações suficientes para a alegada irregularidade, nomeadamente no contexto dos processos políticos estabelecidos, suscitam preocupações quanto ao facto de a intenção subjacente ao processo poder ter sido prejudicar a reputação da deputada em causa e indicam que não existem elementos suficientes para que o Parlamento estabeleça um motivo sério e bem fundamentado para levantar a imunidade</w:t>
      </w:r>
      <w:r w:rsidR="00205B8C" w:rsidRPr="003974C7">
        <w:t xml:space="preserve"> de Elisabetta </w:t>
      </w:r>
      <w:proofErr w:type="spellStart"/>
      <w:r w:rsidR="00205B8C" w:rsidRPr="003974C7">
        <w:t>Gualmini</w:t>
      </w:r>
      <w:proofErr w:type="spellEnd"/>
      <w:r w:rsidRPr="003974C7">
        <w:t>;</w:t>
      </w:r>
    </w:p>
    <w:p w14:paraId="6C00EBA8" w14:textId="77777777" w:rsidR="00B64DA6" w:rsidRPr="003974C7" w:rsidRDefault="00B64DA6" w:rsidP="00B64DA6">
      <w:pPr>
        <w:pStyle w:val="NormalHanging12a"/>
      </w:pPr>
      <w:r w:rsidRPr="003974C7">
        <w:t>Q.</w:t>
      </w:r>
      <w:r w:rsidRPr="003974C7">
        <w:tab/>
        <w:t xml:space="preserve">Considerando que, por conseguinte, parece que, neste caso, se pode presumir a existência de </w:t>
      </w:r>
      <w:proofErr w:type="spellStart"/>
      <w:r w:rsidRPr="003974C7">
        <w:rPr>
          <w:i/>
          <w:iCs/>
        </w:rPr>
        <w:t>fumus</w:t>
      </w:r>
      <w:proofErr w:type="spellEnd"/>
      <w:r w:rsidRPr="003974C7">
        <w:rPr>
          <w:i/>
          <w:iCs/>
        </w:rPr>
        <w:t xml:space="preserve"> </w:t>
      </w:r>
      <w:proofErr w:type="spellStart"/>
      <w:r w:rsidRPr="003974C7">
        <w:rPr>
          <w:i/>
          <w:iCs/>
        </w:rPr>
        <w:t>persecutionis</w:t>
      </w:r>
      <w:proofErr w:type="spellEnd"/>
      <w:r w:rsidRPr="003974C7">
        <w:t>, ou seja, existe um «elemento concreto»</w:t>
      </w:r>
      <w:r w:rsidRPr="003974C7">
        <w:rPr>
          <w:vertAlign w:val="superscript"/>
        </w:rPr>
        <w:footnoteReference w:id="5"/>
      </w:r>
      <w:r w:rsidRPr="003974C7">
        <w:t xml:space="preserve"> de que a intenção subjacente ao processo judicial em questão é prejudicar a atividade política de Elisabetta </w:t>
      </w:r>
      <w:proofErr w:type="spellStart"/>
      <w:r w:rsidRPr="003974C7">
        <w:t>Gualmini</w:t>
      </w:r>
      <w:proofErr w:type="spellEnd"/>
      <w:r w:rsidRPr="003974C7">
        <w:t xml:space="preserve"> e, por conseguinte, a do Parlamento no seu conjunto, incluindo o seu processo interno de tomada de decisões políticas, expresso através do trabalho estabelecido e regular de um grupo político;</w:t>
      </w:r>
      <w:bookmarkEnd w:id="13"/>
    </w:p>
    <w:p w14:paraId="7A5D850A" w14:textId="77777777" w:rsidR="00B64DA6" w:rsidRPr="003974C7" w:rsidRDefault="00B64DA6" w:rsidP="00B64DA6">
      <w:pPr>
        <w:pStyle w:val="NormalHanging12a"/>
      </w:pPr>
      <w:r w:rsidRPr="003974C7">
        <w:t>1.</w:t>
      </w:r>
      <w:r w:rsidRPr="003974C7">
        <w:tab/>
        <w:t xml:space="preserve">Decide não levantar a imunidade de Elisabetta </w:t>
      </w:r>
      <w:proofErr w:type="spellStart"/>
      <w:r w:rsidRPr="003974C7">
        <w:t>Gualmini</w:t>
      </w:r>
      <w:proofErr w:type="spellEnd"/>
      <w:r w:rsidRPr="003974C7">
        <w:t>;</w:t>
      </w:r>
    </w:p>
    <w:p w14:paraId="6DA72827" w14:textId="20C7347B" w:rsidR="00E365E1" w:rsidRPr="003974C7" w:rsidRDefault="00B64DA6" w:rsidP="00FF728E">
      <w:pPr>
        <w:pStyle w:val="NormalHanging12a"/>
      </w:pPr>
      <w:r w:rsidRPr="003974C7">
        <w:t>2.</w:t>
      </w:r>
      <w:r w:rsidRPr="003974C7">
        <w:tab/>
        <w:t xml:space="preserve">Encarrega a sua Presidente de transmitir de imediato a presente decisão, bem como o relatório da sua comissão </w:t>
      </w:r>
      <w:r w:rsidR="00CD5722" w:rsidRPr="003974C7">
        <w:t>competente</w:t>
      </w:r>
      <w:r w:rsidRPr="003974C7">
        <w:t xml:space="preserve">, à autoridade competente do Reino da Bélgica e a Elisabetta </w:t>
      </w:r>
      <w:proofErr w:type="spellStart"/>
      <w:r w:rsidRPr="003974C7">
        <w:t>Gualmini</w:t>
      </w:r>
      <w:proofErr w:type="spellEnd"/>
      <w:r w:rsidRPr="003974C7">
        <w:t>.</w:t>
      </w:r>
    </w:p>
    <w:sectPr w:rsidR="00E365E1" w:rsidRPr="003974C7" w:rsidSect="00040BB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2546" w14:textId="77777777" w:rsidR="00817A60" w:rsidRPr="00040BB4" w:rsidRDefault="00817A60">
      <w:r w:rsidRPr="00040BB4">
        <w:separator/>
      </w:r>
    </w:p>
  </w:endnote>
  <w:endnote w:type="continuationSeparator" w:id="0">
    <w:p w14:paraId="145641A0" w14:textId="77777777" w:rsidR="00817A60" w:rsidRPr="00040BB4" w:rsidRDefault="00817A60">
      <w:r w:rsidRPr="00040B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B65B3" w14:textId="77777777" w:rsidR="00817A60" w:rsidRPr="00040BB4" w:rsidRDefault="00817A60">
      <w:r w:rsidRPr="00040BB4">
        <w:separator/>
      </w:r>
    </w:p>
  </w:footnote>
  <w:footnote w:type="continuationSeparator" w:id="0">
    <w:p w14:paraId="5877D637" w14:textId="77777777" w:rsidR="00817A60" w:rsidRPr="00040BB4" w:rsidRDefault="00817A60">
      <w:r w:rsidRPr="00040BB4">
        <w:continuationSeparator/>
      </w:r>
    </w:p>
  </w:footnote>
  <w:footnote w:id="1">
    <w:p w14:paraId="6C2F1E6C" w14:textId="06C61CC4" w:rsidR="00B64DA6" w:rsidRPr="00040BB4" w:rsidRDefault="00B64DA6" w:rsidP="00040BB4">
      <w:pPr>
        <w:pStyle w:val="FootnoteText"/>
        <w:ind w:left="567" w:hanging="567"/>
        <w:rPr>
          <w:sz w:val="24"/>
          <w:lang w:val="pt-PT"/>
        </w:rPr>
      </w:pPr>
      <w:r w:rsidRPr="00040BB4">
        <w:rPr>
          <w:rStyle w:val="FootnoteReference"/>
          <w:sz w:val="24"/>
          <w:lang w:val="pt-PT"/>
        </w:rPr>
        <w:footnoteRef/>
      </w:r>
      <w:r w:rsidR="00040BB4" w:rsidRPr="00040BB4">
        <w:rPr>
          <w:sz w:val="24"/>
          <w:lang w:val="pt-PT"/>
        </w:rPr>
        <w:t xml:space="preserve"> </w:t>
      </w:r>
      <w:r w:rsidR="00040BB4" w:rsidRPr="00040BB4">
        <w:rPr>
          <w:sz w:val="24"/>
          <w:lang w:val="pt-PT"/>
        </w:rPr>
        <w:tab/>
      </w:r>
      <w:r w:rsidRPr="00040BB4">
        <w:rPr>
          <w:sz w:val="24"/>
          <w:lang w:val="pt-PT"/>
        </w:rPr>
        <w:t>Acórdão do Tribunal de Justiça de 21 de outubro de 2008, Marra/De Gregorio e Clemente, C</w:t>
      </w:r>
      <w:r w:rsidRPr="00040BB4">
        <w:rPr>
          <w:sz w:val="24"/>
          <w:lang w:val="pt-PT"/>
        </w:rPr>
        <w:noBreakHyphen/>
        <w:t>200/07 e C</w:t>
      </w:r>
      <w:r w:rsidRPr="00040BB4">
        <w:rPr>
          <w:sz w:val="24"/>
          <w:lang w:val="pt-PT"/>
        </w:rPr>
        <w:noBreakHyphen/>
        <w:t>201/07, ECLI:EU:C:2008:579; Acórdão do Tribunal Geral de 19 de março de 2010, Gollnisch/Parlamento Europeu, T</w:t>
      </w:r>
      <w:r w:rsidRPr="00040BB4">
        <w:rPr>
          <w:sz w:val="24"/>
          <w:lang w:val="pt-PT"/>
        </w:rPr>
        <w:noBreakHyphen/>
        <w:t>42/06, ECLI:EU:T:2010:102; Acórdão do Tribunal de Justiça de 6 de setembro de 2011, Patriciello, C</w:t>
      </w:r>
      <w:r w:rsidRPr="00040BB4">
        <w:rPr>
          <w:sz w:val="24"/>
          <w:lang w:val="pt-PT"/>
        </w:rPr>
        <w:noBreakHyphen/>
        <w:t>163/10, ECLI:EU:C:2011:543; Acórdão do Tribunal Geral de 17 de janeiro de 2013, Gollnisch/Parlamento Europeu, T</w:t>
      </w:r>
      <w:r w:rsidRPr="00040BB4">
        <w:rPr>
          <w:sz w:val="24"/>
          <w:lang w:val="pt-PT"/>
        </w:rPr>
        <w:noBreakHyphen/>
        <w:t>346/11 e T</w:t>
      </w:r>
      <w:r w:rsidRPr="00040BB4">
        <w:rPr>
          <w:sz w:val="24"/>
          <w:lang w:val="pt-PT"/>
        </w:rPr>
        <w:noBreakHyphen/>
        <w:t>347/11, ECLI:EU:T:2013:23; Acórdão do Tribunal de Justiça de 19 de dezembro de 2019, Junqueras Vies, C</w:t>
      </w:r>
      <w:r w:rsidRPr="00040BB4">
        <w:rPr>
          <w:sz w:val="24"/>
          <w:lang w:val="pt-PT"/>
        </w:rPr>
        <w:noBreakHyphen/>
        <w:t>502/19, ECLI:EU:C:2019:1115; Acórdão do Tribunal Geral de 5 de julho de 2023, Puigdemont i Casamajó e o./Parlamento Europeu, T</w:t>
      </w:r>
      <w:r w:rsidRPr="00040BB4">
        <w:rPr>
          <w:sz w:val="24"/>
          <w:lang w:val="pt-PT"/>
        </w:rPr>
        <w:noBreakHyphen/>
        <w:t>272/21/P, ECLI:EU:T:2023:373.</w:t>
      </w:r>
    </w:p>
  </w:footnote>
  <w:footnote w:id="2">
    <w:p w14:paraId="66AF0F24" w14:textId="31C91A12" w:rsidR="00B64DA6" w:rsidRPr="00040BB4" w:rsidRDefault="00B64DA6" w:rsidP="00040BB4">
      <w:pPr>
        <w:pStyle w:val="FootnoteText"/>
        <w:ind w:left="567" w:hanging="567"/>
        <w:rPr>
          <w:sz w:val="24"/>
          <w:lang w:val="pt-PT"/>
        </w:rPr>
      </w:pPr>
      <w:r w:rsidRPr="00040BB4">
        <w:rPr>
          <w:rStyle w:val="FootnoteReference"/>
          <w:sz w:val="24"/>
          <w:lang w:val="pt-PT"/>
        </w:rPr>
        <w:footnoteRef/>
      </w:r>
      <w:r w:rsidR="00040BB4" w:rsidRPr="00040BB4">
        <w:rPr>
          <w:sz w:val="24"/>
          <w:lang w:val="pt-PT"/>
        </w:rPr>
        <w:t xml:space="preserve"> </w:t>
      </w:r>
      <w:r w:rsidR="00040BB4" w:rsidRPr="00040BB4">
        <w:rPr>
          <w:sz w:val="24"/>
          <w:lang w:val="pt-PT"/>
        </w:rPr>
        <w:tab/>
      </w:r>
      <w:r w:rsidRPr="00040BB4">
        <w:rPr>
          <w:sz w:val="24"/>
          <w:lang w:val="pt-PT"/>
        </w:rPr>
        <w:t>Acórdão do Tribunal Geral de 30 de abril de 2019, Briois/Parlamento Europeu, T</w:t>
      </w:r>
      <w:r w:rsidRPr="00040BB4">
        <w:rPr>
          <w:sz w:val="24"/>
          <w:lang w:val="pt-PT"/>
        </w:rPr>
        <w:noBreakHyphen/>
        <w:t>214/18, ECLI:EU:T:2019:266.</w:t>
      </w:r>
    </w:p>
  </w:footnote>
  <w:footnote w:id="3">
    <w:p w14:paraId="64E4C64C" w14:textId="33C31F5C" w:rsidR="00B64DA6" w:rsidRPr="00040BB4" w:rsidRDefault="00B64DA6" w:rsidP="00040BB4">
      <w:pPr>
        <w:pStyle w:val="FootnoteText"/>
        <w:ind w:left="567" w:hanging="567"/>
        <w:rPr>
          <w:sz w:val="24"/>
          <w:lang w:val="pt-PT"/>
        </w:rPr>
      </w:pPr>
      <w:r w:rsidRPr="00040BB4">
        <w:rPr>
          <w:rStyle w:val="FootnoteReference"/>
          <w:sz w:val="24"/>
          <w:lang w:val="pt-PT"/>
        </w:rPr>
        <w:footnoteRef/>
      </w:r>
      <w:r w:rsidR="00040BB4" w:rsidRPr="00040BB4">
        <w:rPr>
          <w:sz w:val="24"/>
          <w:lang w:val="pt-PT"/>
        </w:rPr>
        <w:t xml:space="preserve"> </w:t>
      </w:r>
      <w:r w:rsidR="00040BB4" w:rsidRPr="00040BB4">
        <w:rPr>
          <w:sz w:val="24"/>
          <w:lang w:val="pt-PT"/>
        </w:rPr>
        <w:tab/>
      </w:r>
      <w:r w:rsidRPr="00040BB4">
        <w:rPr>
          <w:sz w:val="24"/>
          <w:lang w:val="pt-PT"/>
        </w:rPr>
        <w:t>Acórdão do Tribunal de Justiça de 6 de setembro de 2011, Patriciello, C</w:t>
      </w:r>
      <w:r w:rsidRPr="00040BB4">
        <w:rPr>
          <w:sz w:val="24"/>
          <w:lang w:val="pt-PT"/>
        </w:rPr>
        <w:noBreakHyphen/>
        <w:t>163/10, ECLI:EU:C:2011:543, n.º 26.</w:t>
      </w:r>
    </w:p>
  </w:footnote>
  <w:footnote w:id="4">
    <w:p w14:paraId="379832DE" w14:textId="3951BDEE" w:rsidR="00B64DA6" w:rsidRPr="00040BB4" w:rsidRDefault="00B64DA6" w:rsidP="00040BB4">
      <w:pPr>
        <w:pStyle w:val="FootnoteText"/>
        <w:ind w:left="567" w:hanging="567"/>
        <w:rPr>
          <w:sz w:val="24"/>
          <w:lang w:val="pt-PT"/>
        </w:rPr>
      </w:pPr>
      <w:r w:rsidRPr="00040BB4">
        <w:rPr>
          <w:rStyle w:val="FootnoteReference"/>
          <w:sz w:val="24"/>
          <w:lang w:val="pt-PT"/>
        </w:rPr>
        <w:footnoteRef/>
      </w:r>
      <w:r w:rsidR="00040BB4" w:rsidRPr="00040BB4">
        <w:rPr>
          <w:sz w:val="24"/>
          <w:lang w:val="pt-PT"/>
        </w:rPr>
        <w:t xml:space="preserve"> </w:t>
      </w:r>
      <w:r w:rsidR="00040BB4" w:rsidRPr="00040BB4">
        <w:rPr>
          <w:sz w:val="24"/>
          <w:lang w:val="pt-PT"/>
        </w:rPr>
        <w:tab/>
      </w:r>
      <w:r w:rsidRPr="00040BB4">
        <w:rPr>
          <w:sz w:val="24"/>
          <w:lang w:val="pt-PT"/>
        </w:rPr>
        <w:t>Acórdão do Tribunal de Justiça de 17 de janeiro de 2013, Gollnisch/Parlamento Europeu, T</w:t>
      </w:r>
      <w:r w:rsidRPr="00040BB4">
        <w:rPr>
          <w:sz w:val="24"/>
          <w:lang w:val="pt-PT"/>
        </w:rPr>
        <w:noBreakHyphen/>
        <w:t>346/11 e T</w:t>
      </w:r>
      <w:r w:rsidRPr="00040BB4">
        <w:rPr>
          <w:sz w:val="24"/>
          <w:lang w:val="pt-PT"/>
        </w:rPr>
        <w:noBreakHyphen/>
        <w:t>347/11, ECLI:EU:T:2013:23, n.º 59, e jurisprudência referida.</w:t>
      </w:r>
    </w:p>
  </w:footnote>
  <w:footnote w:id="5">
    <w:p w14:paraId="64E43FA5" w14:textId="0954D3B0" w:rsidR="00B64DA6" w:rsidRPr="00040BB4" w:rsidRDefault="00B64DA6" w:rsidP="00040BB4">
      <w:pPr>
        <w:pStyle w:val="FootnoteText"/>
        <w:ind w:left="567" w:hanging="567"/>
        <w:rPr>
          <w:sz w:val="24"/>
          <w:lang w:val="pt-PT"/>
        </w:rPr>
      </w:pPr>
      <w:r w:rsidRPr="00040BB4">
        <w:rPr>
          <w:rStyle w:val="FootnoteReference"/>
          <w:sz w:val="24"/>
          <w:lang w:val="pt-PT"/>
        </w:rPr>
        <w:footnoteRef/>
      </w:r>
      <w:r w:rsidR="00040BB4" w:rsidRPr="00040BB4">
        <w:rPr>
          <w:sz w:val="24"/>
          <w:lang w:val="pt-PT"/>
        </w:rPr>
        <w:t xml:space="preserve"> </w:t>
      </w:r>
      <w:r w:rsidR="00040BB4" w:rsidRPr="00040BB4">
        <w:rPr>
          <w:sz w:val="24"/>
          <w:lang w:val="pt-PT"/>
        </w:rPr>
        <w:tab/>
      </w:r>
      <w:r w:rsidRPr="00040BB4">
        <w:rPr>
          <w:sz w:val="24"/>
          <w:lang w:val="pt-PT"/>
        </w:rPr>
        <w:t>Acórdão do Tribunal de Justiça de 17 de setembro de 2020, Troszczynski/Parlamento Europeu, C</w:t>
      </w:r>
      <w:r w:rsidRPr="00040BB4">
        <w:rPr>
          <w:sz w:val="24"/>
          <w:lang w:val="pt-PT"/>
        </w:rPr>
        <w:noBreakHyphen/>
        <w:t>12/19, ECLI: EU:C:2020:725, n.º 26.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025099">
    <w:abstractNumId w:val="9"/>
  </w:num>
  <w:num w:numId="2" w16cid:durableId="72971470">
    <w:abstractNumId w:val="9"/>
  </w:num>
  <w:num w:numId="3" w16cid:durableId="1719550607">
    <w:abstractNumId w:val="7"/>
  </w:num>
  <w:num w:numId="4" w16cid:durableId="989753607">
    <w:abstractNumId w:val="7"/>
  </w:num>
  <w:num w:numId="5" w16cid:durableId="2070955299">
    <w:abstractNumId w:val="6"/>
  </w:num>
  <w:num w:numId="6" w16cid:durableId="817040965">
    <w:abstractNumId w:val="6"/>
  </w:num>
  <w:num w:numId="7" w16cid:durableId="1202014276">
    <w:abstractNumId w:val="5"/>
  </w:num>
  <w:num w:numId="8" w16cid:durableId="1087116948">
    <w:abstractNumId w:val="5"/>
  </w:num>
  <w:num w:numId="9" w16cid:durableId="1686176132">
    <w:abstractNumId w:val="4"/>
  </w:num>
  <w:num w:numId="10" w16cid:durableId="2024629132">
    <w:abstractNumId w:val="4"/>
  </w:num>
  <w:num w:numId="11" w16cid:durableId="377625480">
    <w:abstractNumId w:val="8"/>
  </w:num>
  <w:num w:numId="12" w16cid:durableId="1409959006">
    <w:abstractNumId w:val="8"/>
  </w:num>
  <w:num w:numId="13" w16cid:durableId="1666594773">
    <w:abstractNumId w:val="3"/>
  </w:num>
  <w:num w:numId="14" w16cid:durableId="158809536">
    <w:abstractNumId w:val="3"/>
  </w:num>
  <w:num w:numId="15" w16cid:durableId="362053497">
    <w:abstractNumId w:val="2"/>
  </w:num>
  <w:num w:numId="16" w16cid:durableId="870151703">
    <w:abstractNumId w:val="2"/>
  </w:num>
  <w:num w:numId="17" w16cid:durableId="2080665034">
    <w:abstractNumId w:val="1"/>
  </w:num>
  <w:num w:numId="18" w16cid:durableId="437798568">
    <w:abstractNumId w:val="1"/>
  </w:num>
  <w:num w:numId="19" w16cid:durableId="1641837534">
    <w:abstractNumId w:val="0"/>
  </w:num>
  <w:num w:numId="20" w16cid:durableId="858659141">
    <w:abstractNumId w:val="0"/>
  </w:num>
  <w:num w:numId="21" w16cid:durableId="677586558">
    <w:abstractNumId w:val="9"/>
  </w:num>
  <w:num w:numId="22" w16cid:durableId="1438254631">
    <w:abstractNumId w:val="7"/>
  </w:num>
  <w:num w:numId="23" w16cid:durableId="2014994335">
    <w:abstractNumId w:val="6"/>
  </w:num>
  <w:num w:numId="24" w16cid:durableId="1188956298">
    <w:abstractNumId w:val="5"/>
  </w:num>
  <w:num w:numId="25" w16cid:durableId="1470784900">
    <w:abstractNumId w:val="4"/>
  </w:num>
  <w:num w:numId="26" w16cid:durableId="1096633952">
    <w:abstractNumId w:val="8"/>
  </w:num>
  <w:num w:numId="27" w16cid:durableId="1301422935">
    <w:abstractNumId w:val="3"/>
  </w:num>
  <w:num w:numId="28" w16cid:durableId="1990475047">
    <w:abstractNumId w:val="2"/>
  </w:num>
  <w:num w:numId="29" w16cid:durableId="1419208741">
    <w:abstractNumId w:val="1"/>
  </w:num>
  <w:num w:numId="30" w16cid:durableId="1440369933">
    <w:abstractNumId w:val="0"/>
  </w:num>
  <w:num w:numId="31" w16cid:durableId="1401295572">
    <w:abstractNumId w:val="9"/>
  </w:num>
  <w:num w:numId="32" w16cid:durableId="1143431089">
    <w:abstractNumId w:val="7"/>
  </w:num>
  <w:num w:numId="33" w16cid:durableId="2123186226">
    <w:abstractNumId w:val="6"/>
  </w:num>
  <w:num w:numId="34" w16cid:durableId="1978293014">
    <w:abstractNumId w:val="5"/>
  </w:num>
  <w:num w:numId="35" w16cid:durableId="2131585638">
    <w:abstractNumId w:val="4"/>
  </w:num>
  <w:num w:numId="36" w16cid:durableId="713426804">
    <w:abstractNumId w:val="8"/>
  </w:num>
  <w:num w:numId="37" w16cid:durableId="844594569">
    <w:abstractNumId w:val="3"/>
  </w:num>
  <w:num w:numId="38" w16cid:durableId="1272399508">
    <w:abstractNumId w:val="2"/>
  </w:num>
  <w:num w:numId="39" w16cid:durableId="1384208294">
    <w:abstractNumId w:val="1"/>
  </w:num>
  <w:num w:numId="40" w16cid:durableId="1416588142">
    <w:abstractNumId w:val="0"/>
  </w:num>
  <w:num w:numId="41" w16cid:durableId="1541865861">
    <w:abstractNumId w:val="10"/>
  </w:num>
  <w:num w:numId="42" w16cid:durableId="1973826572">
    <w:abstractNumId w:val="10"/>
  </w:num>
  <w:num w:numId="43" w16cid:durableId="2016497501">
    <w:abstractNumId w:val="10"/>
  </w:num>
  <w:num w:numId="44" w16cid:durableId="710423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3/2025"/>
    <w:docVar w:name="dvlangue" w:val="PT"/>
    <w:docVar w:name="dvnumam" w:val="0"/>
    <w:docVar w:name="dvpe" w:val="774.382"/>
    <w:docVar w:name="dvrapporteur" w:val="Relator: "/>
    <w:docVar w:name="dvtitre" w:val="Decisão do Parlamento Europeu, de ... de ... de 2025,_x000d__x000a_ sobre o pedido de levantamento da imunidade de Elisabetta Gualmini(2025/2063(IMM))"/>
  </w:docVars>
  <w:rsids>
    <w:rsidRoot w:val="00817A60"/>
    <w:rsid w:val="00002272"/>
    <w:rsid w:val="00040BB4"/>
    <w:rsid w:val="00064002"/>
    <w:rsid w:val="000677B9"/>
    <w:rsid w:val="000831BA"/>
    <w:rsid w:val="000A42CC"/>
    <w:rsid w:val="000E7DD9"/>
    <w:rsid w:val="0010095E"/>
    <w:rsid w:val="001129ED"/>
    <w:rsid w:val="00125B37"/>
    <w:rsid w:val="00187494"/>
    <w:rsid w:val="001F32AE"/>
    <w:rsid w:val="00205B8C"/>
    <w:rsid w:val="00217E25"/>
    <w:rsid w:val="00236F1E"/>
    <w:rsid w:val="002767FF"/>
    <w:rsid w:val="002B18FE"/>
    <w:rsid w:val="002B5493"/>
    <w:rsid w:val="00343214"/>
    <w:rsid w:val="00361C00"/>
    <w:rsid w:val="00395FA1"/>
    <w:rsid w:val="003974C7"/>
    <w:rsid w:val="003D45BD"/>
    <w:rsid w:val="003E15D4"/>
    <w:rsid w:val="00411CCE"/>
    <w:rsid w:val="0041666E"/>
    <w:rsid w:val="00421060"/>
    <w:rsid w:val="00471C19"/>
    <w:rsid w:val="004867E3"/>
    <w:rsid w:val="00494A28"/>
    <w:rsid w:val="004A2292"/>
    <w:rsid w:val="004C0004"/>
    <w:rsid w:val="004C5D52"/>
    <w:rsid w:val="0050519A"/>
    <w:rsid w:val="005072A1"/>
    <w:rsid w:val="00514517"/>
    <w:rsid w:val="00545827"/>
    <w:rsid w:val="00560270"/>
    <w:rsid w:val="005C2568"/>
    <w:rsid w:val="005E53BB"/>
    <w:rsid w:val="005F1B17"/>
    <w:rsid w:val="006037C0"/>
    <w:rsid w:val="006631B6"/>
    <w:rsid w:val="00680577"/>
    <w:rsid w:val="006F5CE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17A60"/>
    <w:rsid w:val="00842779"/>
    <w:rsid w:val="00865F67"/>
    <w:rsid w:val="00881A7B"/>
    <w:rsid w:val="008840E5"/>
    <w:rsid w:val="00887B3E"/>
    <w:rsid w:val="008C2AC6"/>
    <w:rsid w:val="008E044F"/>
    <w:rsid w:val="00930C23"/>
    <w:rsid w:val="0093193B"/>
    <w:rsid w:val="009509D8"/>
    <w:rsid w:val="00950B64"/>
    <w:rsid w:val="00981893"/>
    <w:rsid w:val="009F3B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156"/>
    <w:rsid w:val="00B36CF4"/>
    <w:rsid w:val="00B558F0"/>
    <w:rsid w:val="00B64DA6"/>
    <w:rsid w:val="00B82EDB"/>
    <w:rsid w:val="00BC1B0B"/>
    <w:rsid w:val="00BD48FE"/>
    <w:rsid w:val="00BD7BD8"/>
    <w:rsid w:val="00BE6ADC"/>
    <w:rsid w:val="00C05BFE"/>
    <w:rsid w:val="00C23CD4"/>
    <w:rsid w:val="00C61C0C"/>
    <w:rsid w:val="00C941CB"/>
    <w:rsid w:val="00C958D0"/>
    <w:rsid w:val="00CC2357"/>
    <w:rsid w:val="00CD5722"/>
    <w:rsid w:val="00CF071A"/>
    <w:rsid w:val="00CF105B"/>
    <w:rsid w:val="00D02A1F"/>
    <w:rsid w:val="00D058B8"/>
    <w:rsid w:val="00D51442"/>
    <w:rsid w:val="00D56C11"/>
    <w:rsid w:val="00D834A0"/>
    <w:rsid w:val="00D872DF"/>
    <w:rsid w:val="00D91E21"/>
    <w:rsid w:val="00DA7FCD"/>
    <w:rsid w:val="00E365E1"/>
    <w:rsid w:val="00E66890"/>
    <w:rsid w:val="00E820A4"/>
    <w:rsid w:val="00E94828"/>
    <w:rsid w:val="00EB006A"/>
    <w:rsid w:val="00EB4772"/>
    <w:rsid w:val="00EB6690"/>
    <w:rsid w:val="00ED169E"/>
    <w:rsid w:val="00ED4235"/>
    <w:rsid w:val="00F04346"/>
    <w:rsid w:val="00F075DC"/>
    <w:rsid w:val="00F149E9"/>
    <w:rsid w:val="00F5134D"/>
    <w:rsid w:val="00F74202"/>
    <w:rsid w:val="00F87713"/>
    <w:rsid w:val="00FB08FA"/>
    <w:rsid w:val="00FB4360"/>
    <w:rsid w:val="00FD0C70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EED6E4"/>
  <w15:chartTrackingRefBased/>
  <w15:docId w15:val="{54262E3D-160E-4D61-8D78-AB742AB5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64DA6"/>
    <w:pPr>
      <w:spacing w:after="240"/>
      <w:ind w:left="567" w:hanging="567"/>
    </w:pPr>
  </w:style>
  <w:style w:type="paragraph" w:customStyle="1" w:styleId="EPComma">
    <w:name w:val="EPComma"/>
    <w:basedOn w:val="Normal"/>
    <w:rsid w:val="00B64DA6"/>
    <w:pPr>
      <w:spacing w:before="480" w:after="240"/>
    </w:pPr>
  </w:style>
  <w:style w:type="paragraph" w:styleId="Revision">
    <w:name w:val="Revision"/>
    <w:hidden/>
    <w:uiPriority w:val="99"/>
    <w:semiHidden/>
    <w:rsid w:val="00FF728E"/>
    <w:rPr>
      <w:sz w:val="24"/>
      <w:lang w:val="pt-PT"/>
    </w:rPr>
  </w:style>
  <w:style w:type="character" w:styleId="CommentReference">
    <w:name w:val="annotation reference"/>
    <w:basedOn w:val="DefaultParagraphFont"/>
    <w:rsid w:val="00E948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48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482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94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4828"/>
    <w:rPr>
      <w:b/>
      <w:bCs/>
      <w:lang w:val="pt-PT"/>
    </w:rPr>
  </w:style>
  <w:style w:type="character" w:styleId="Hyperlink">
    <w:name w:val="Hyperlink"/>
    <w:basedOn w:val="DefaultParagraphFont"/>
    <w:rsid w:val="00E66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8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3974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4C7"/>
    <w:rPr>
      <w:sz w:val="24"/>
      <w:lang w:val="pt-PT"/>
    </w:rPr>
  </w:style>
  <w:style w:type="paragraph" w:styleId="Footer">
    <w:name w:val="footer"/>
    <w:basedOn w:val="Normal"/>
    <w:link w:val="FooterChar"/>
    <w:rsid w:val="003974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74C7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1905</Words>
  <Characters>10464</Characters>
  <Application>Microsoft Office Word</Application>
  <DocSecurity>0</DocSecurity>
  <Lines>190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2025-12-16T12:21:00Z</dcterms:created>
  <dcterms:modified xsi:type="dcterms:W3CDTF">2025-12-16T12:21:00Z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A10-0263/2025</vt:lpwstr>
  </property>
  <property fmtid="{D5CDD505-2E9C-101B-9397-08002B2CF9AE}" pid="4" name="&lt;Type&gt;">
    <vt:lpwstr>RR</vt:lpwstr>
  </property>
</Properties>
</file>