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430D" w14:paraId="5A9F45CB" w14:textId="77777777" w:rsidTr="0010095E">
        <w:trPr>
          <w:trHeight w:hRule="exact" w:val="1418"/>
        </w:trPr>
        <w:tc>
          <w:tcPr>
            <w:tcW w:w="6804" w:type="dxa"/>
            <w:shd w:val="clear" w:color="auto" w:fill="auto"/>
            <w:vAlign w:val="center"/>
          </w:tcPr>
          <w:p w14:paraId="267BEB42" w14:textId="77777777" w:rsidR="00751A4A" w:rsidRPr="00E4430D" w:rsidRDefault="0099135F" w:rsidP="0010095E">
            <w:pPr>
              <w:pStyle w:val="EPName"/>
            </w:pPr>
            <w:r w:rsidRPr="00E4430D">
              <w:t>Eiropas Parlaments</w:t>
            </w:r>
          </w:p>
          <w:p w14:paraId="7AFCFAB8" w14:textId="77777777" w:rsidR="00751A4A" w:rsidRPr="00E4430D" w:rsidRDefault="005F1B17" w:rsidP="005F1B17">
            <w:pPr>
              <w:pStyle w:val="EPTerm"/>
              <w:rPr>
                <w:rStyle w:val="HideTWBExt"/>
                <w:noProof w:val="0"/>
                <w:vanish w:val="0"/>
                <w:color w:val="auto"/>
              </w:rPr>
            </w:pPr>
            <w:r w:rsidRPr="00E4430D">
              <w:t>2024</w:t>
            </w:r>
            <w:r w:rsidR="00817416" w:rsidRPr="00E4430D">
              <w:t>-202</w:t>
            </w:r>
            <w:r w:rsidRPr="00E4430D">
              <w:t>9</w:t>
            </w:r>
          </w:p>
        </w:tc>
        <w:tc>
          <w:tcPr>
            <w:tcW w:w="2268" w:type="dxa"/>
            <w:shd w:val="clear" w:color="auto" w:fill="auto"/>
          </w:tcPr>
          <w:p w14:paraId="562B6A71" w14:textId="77777777" w:rsidR="00751A4A" w:rsidRPr="00E4430D" w:rsidRDefault="00187494" w:rsidP="0010095E">
            <w:pPr>
              <w:pStyle w:val="EPLogo"/>
            </w:pPr>
            <w:r w:rsidRPr="00E4430D">
              <w:rPr>
                <w:noProof/>
                <w:lang w:eastAsia="ja-JP"/>
              </w:rPr>
              <w:drawing>
                <wp:inline distT="0" distB="0" distL="0" distR="0" wp14:anchorId="30975629" wp14:editId="38D136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45674C" w14:textId="77777777" w:rsidR="00D058B8" w:rsidRPr="00E4430D" w:rsidRDefault="00D058B8" w:rsidP="004C5D52">
      <w:pPr>
        <w:pStyle w:val="LineTop"/>
      </w:pPr>
    </w:p>
    <w:p w14:paraId="20988D54" w14:textId="77777777" w:rsidR="00680577" w:rsidRPr="00E4430D" w:rsidRDefault="0099135F" w:rsidP="00680577">
      <w:pPr>
        <w:pStyle w:val="EPBodyTA1"/>
      </w:pPr>
      <w:r w:rsidRPr="00E4430D">
        <w:t>PIEŅEMTIE TEKSTI</w:t>
      </w:r>
    </w:p>
    <w:p w14:paraId="17728445" w14:textId="77777777" w:rsidR="00D058B8" w:rsidRPr="00E4430D" w:rsidRDefault="00D058B8" w:rsidP="00D058B8">
      <w:pPr>
        <w:pStyle w:val="LineBottom"/>
      </w:pPr>
    </w:p>
    <w:p w14:paraId="1F48F9C0" w14:textId="75F5B9B4" w:rsidR="0099135F" w:rsidRPr="00E4430D" w:rsidRDefault="0099135F" w:rsidP="0099135F">
      <w:pPr>
        <w:pStyle w:val="ATHeading1"/>
      </w:pPr>
      <w:bookmarkStart w:id="0" w:name="TANumber"/>
      <w:r w:rsidRPr="00E4430D">
        <w:t>P10_TA(2025)0</w:t>
      </w:r>
      <w:r w:rsidR="00E4430D" w:rsidRPr="00E4430D">
        <w:t>317</w:t>
      </w:r>
      <w:bookmarkEnd w:id="0"/>
    </w:p>
    <w:p w14:paraId="4DA1F472" w14:textId="62916011" w:rsidR="0099135F" w:rsidRPr="00E4430D" w:rsidRDefault="005E7FD2" w:rsidP="0099135F">
      <w:pPr>
        <w:pStyle w:val="ATHeading2"/>
      </w:pPr>
      <w:bookmarkStart w:id="1" w:name="title"/>
      <w:r w:rsidRPr="00E4430D">
        <w:t>Piepras</w:t>
      </w:r>
      <w:r w:rsidRPr="00E4430D">
        <w:rPr>
          <w:rFonts w:hint="eastAsia"/>
        </w:rPr>
        <w:t>ī</w:t>
      </w:r>
      <w:r w:rsidRPr="00E4430D">
        <w:t xml:space="preserve">jums atcelt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imunit</w:t>
      </w:r>
      <w:r w:rsidRPr="00E4430D">
        <w:rPr>
          <w:rFonts w:hint="eastAsia"/>
        </w:rPr>
        <w:t>ā</w:t>
      </w:r>
      <w:r w:rsidRPr="00E4430D">
        <w:t>ti</w:t>
      </w:r>
      <w:bookmarkEnd w:id="1"/>
    </w:p>
    <w:p w14:paraId="592B8E02" w14:textId="77777777" w:rsidR="0099135F" w:rsidRPr="00E4430D" w:rsidRDefault="0099135F" w:rsidP="0099135F">
      <w:pPr>
        <w:rPr>
          <w:i/>
          <w:vanish/>
        </w:rPr>
      </w:pPr>
      <w:r w:rsidRPr="00E4430D">
        <w:rPr>
          <w:i/>
        </w:rPr>
        <w:fldChar w:fldCharType="begin"/>
      </w:r>
      <w:r w:rsidRPr="00E4430D">
        <w:rPr>
          <w:i/>
        </w:rPr>
        <w:instrText xml:space="preserve"> TC"(</w:instrText>
      </w:r>
      <w:bookmarkStart w:id="2" w:name="DocNumber"/>
      <w:r w:rsidRPr="00E4430D">
        <w:rPr>
          <w:i/>
        </w:rPr>
        <w:instrText>A10-0264/2025</w:instrText>
      </w:r>
      <w:bookmarkEnd w:id="2"/>
      <w:r w:rsidRPr="00E4430D">
        <w:rPr>
          <w:i/>
        </w:rPr>
        <w:instrText xml:space="preserve"> - Referents: Marcin Sypniewski)"\l3 \n&gt; \* MERGEFORMAT </w:instrText>
      </w:r>
      <w:r w:rsidRPr="00E4430D">
        <w:rPr>
          <w:i/>
        </w:rPr>
        <w:fldChar w:fldCharType="end"/>
      </w:r>
    </w:p>
    <w:p w14:paraId="76F3BF56" w14:textId="77777777" w:rsidR="0099135F" w:rsidRPr="00E4430D" w:rsidRDefault="0099135F" w:rsidP="0099135F">
      <w:pPr>
        <w:rPr>
          <w:vanish/>
        </w:rPr>
      </w:pPr>
      <w:bookmarkStart w:id="3" w:name="Commission"/>
      <w:r w:rsidRPr="00E4430D">
        <w:rPr>
          <w:vanish/>
        </w:rPr>
        <w:t>Juridiskā komiteja</w:t>
      </w:r>
      <w:bookmarkEnd w:id="3"/>
    </w:p>
    <w:p w14:paraId="00003391" w14:textId="77777777" w:rsidR="0099135F" w:rsidRPr="00E4430D" w:rsidRDefault="0099135F" w:rsidP="0099135F">
      <w:pPr>
        <w:rPr>
          <w:vanish/>
        </w:rPr>
      </w:pPr>
      <w:bookmarkStart w:id="4" w:name="PE"/>
      <w:r w:rsidRPr="00E4430D">
        <w:rPr>
          <w:vanish/>
        </w:rPr>
        <w:t>PE774.386</w:t>
      </w:r>
      <w:bookmarkEnd w:id="4"/>
    </w:p>
    <w:p w14:paraId="22C6F5C1" w14:textId="3BFB8521" w:rsidR="0099135F" w:rsidRPr="00E4430D" w:rsidRDefault="0099135F" w:rsidP="0099135F">
      <w:pPr>
        <w:pStyle w:val="ATHeading3"/>
      </w:pPr>
      <w:bookmarkStart w:id="5" w:name="Sujet"/>
      <w:r w:rsidRPr="00E4430D">
        <w:t xml:space="preserve">Eiropas Parlamenta 2025. gada </w:t>
      </w:r>
      <w:r w:rsidR="005E7FD2" w:rsidRPr="00E4430D">
        <w:t>16. decembra</w:t>
      </w:r>
      <w:r w:rsidRPr="00E4430D">
        <w:t xml:space="preserve"> lēmums par pieprasījumu atcelt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imunitāti</w:t>
      </w:r>
      <w:bookmarkEnd w:id="5"/>
      <w:r w:rsidRPr="00E4430D">
        <w:t xml:space="preserve"> </w:t>
      </w:r>
      <w:bookmarkStart w:id="6" w:name="References"/>
      <w:r w:rsidRPr="00E4430D">
        <w:t>(2025/2064(IMM))</w:t>
      </w:r>
      <w:bookmarkEnd w:id="6"/>
    </w:p>
    <w:p w14:paraId="13B97220" w14:textId="77777777" w:rsidR="003D4CAF" w:rsidRPr="00E4430D" w:rsidRDefault="003D4CAF" w:rsidP="003D4CAF">
      <w:pPr>
        <w:pStyle w:val="EPComma"/>
      </w:pPr>
      <w:bookmarkStart w:id="7" w:name="TextBodyBegin"/>
      <w:bookmarkEnd w:id="7"/>
      <w:r w:rsidRPr="00E4430D">
        <w:rPr>
          <w:i/>
        </w:rPr>
        <w:t>Eiropas Parlaments</w:t>
      </w:r>
      <w:r w:rsidRPr="00E4430D">
        <w:t>,</w:t>
      </w:r>
    </w:p>
    <w:p w14:paraId="4C5BE820" w14:textId="77777777" w:rsidR="003D4CAF" w:rsidRPr="00E4430D" w:rsidRDefault="003D4CAF" w:rsidP="003D4CAF">
      <w:pPr>
        <w:pStyle w:val="NormalHanging12a"/>
      </w:pPr>
      <w:r w:rsidRPr="00E4430D">
        <w:t>–</w:t>
      </w:r>
      <w:r w:rsidRPr="00E4430D">
        <w:tab/>
        <w:t xml:space="preserve">ņemot vērā pieprasījumu atcelt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imunitāti, kas 2025. gada 27. februāra vēstulē ir saņemts no Beļģijas Federālā Ārlietu, ārējās tirdzniecības un attīstības sadarbības valsts dienesta Protokola dienesta un ar ko tiek nosūtīts Beļģijas Federālās prokuratūras pieprasījums saistībā ar kriminālprocesu, kas pret viņu tiks ierosināts, un par kuru paziņots 2025. gada 10. marta plenārsēdē,</w:t>
      </w:r>
    </w:p>
    <w:p w14:paraId="7CE4FDCC" w14:textId="77777777" w:rsidR="003D4CAF" w:rsidRPr="00E4430D" w:rsidRDefault="003D4CAF" w:rsidP="003D4CAF">
      <w:pPr>
        <w:pStyle w:val="NormalHanging12a"/>
      </w:pPr>
      <w:r w:rsidRPr="00E4430D">
        <w:t>–</w:t>
      </w:r>
      <w:r w:rsidRPr="00E4430D">
        <w:tab/>
        <w:t xml:space="preserve">pēc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uzklausīšanas 2025. gada 4. jūnijā un ņemot vērā dokumentus, ko viņa ir iesniegusi saskaņā ar Reglamenta 9. panta 6. punktu,</w:t>
      </w:r>
    </w:p>
    <w:p w14:paraId="77E963B5" w14:textId="66639299" w:rsidR="003D4CAF" w:rsidRPr="00E4430D" w:rsidRDefault="003D4CAF" w:rsidP="003D4CAF">
      <w:pPr>
        <w:pStyle w:val="NormalHanging12a"/>
      </w:pPr>
      <w:r w:rsidRPr="00E4430D">
        <w:t>–</w:t>
      </w:r>
      <w:r w:rsidRPr="00E4430D">
        <w:tab/>
        <w:t xml:space="preserve">ņemot vērā Beļģijas Federālā prokurora </w:t>
      </w:r>
      <w:r w:rsidR="005E7FD2" w:rsidRPr="00E4430D">
        <w:t xml:space="preserve">2025. gada 27. jūnija vēstulē </w:t>
      </w:r>
      <w:r w:rsidRPr="00E4430D">
        <w:t xml:space="preserve">sniegto papildu informāciju, </w:t>
      </w:r>
    </w:p>
    <w:p w14:paraId="4FA30679" w14:textId="1BB4ECE0" w:rsidR="003D4CAF" w:rsidRPr="00E4430D" w:rsidRDefault="003D4CAF" w:rsidP="003D4CAF">
      <w:pPr>
        <w:pStyle w:val="NormalHanging12a"/>
      </w:pPr>
      <w:r w:rsidRPr="00E4430D">
        <w:t>–</w:t>
      </w:r>
      <w:r w:rsidRPr="00E4430D">
        <w:tab/>
        <w:t>ņemot vērā Protokola Nr.7 par privilēģijām un imunitāti Eiropas Savienībā 8. un 9. pantu, kā arī 1976. gada 20. septembra Akta par Eiropas Parlamenta deputātu ievēlēšanu tiešās vispārējās vēlēšanās 6. panta 2. punktu,</w:t>
      </w:r>
    </w:p>
    <w:p w14:paraId="3C3C2334" w14:textId="77777777" w:rsidR="003D4CAF" w:rsidRPr="00E4430D" w:rsidRDefault="003D4CAF" w:rsidP="003D4CAF">
      <w:pPr>
        <w:pStyle w:val="NormalHanging12a"/>
      </w:pPr>
      <w:r w:rsidRPr="00E4430D">
        <w:t>–</w:t>
      </w:r>
      <w:r w:rsidRPr="00E4430D">
        <w:tab/>
        <w:t>ņemot vērā Eiropas Savienības Tiesas 2008. gada 21. oktobra, 2010. gada 19. marta, 2011. gada 6. septembra, 2013. gada 17. janvāra, 2019. gada 19. decembra un 2023. gada 5. jūlija spriedumu</w:t>
      </w:r>
      <w:r w:rsidRPr="00E4430D">
        <w:rPr>
          <w:rStyle w:val="FootnoteReference"/>
        </w:rPr>
        <w:footnoteReference w:id="1"/>
      </w:r>
      <w:r w:rsidRPr="00E4430D">
        <w:t>,</w:t>
      </w:r>
    </w:p>
    <w:p w14:paraId="6A1F5429" w14:textId="77777777" w:rsidR="003D4CAF" w:rsidRPr="00E4430D" w:rsidRDefault="003D4CAF" w:rsidP="003D4CAF">
      <w:pPr>
        <w:pStyle w:val="NormalHanging12a"/>
        <w:jc w:val="both"/>
      </w:pPr>
      <w:r w:rsidRPr="00E4430D">
        <w:t>–</w:t>
      </w:r>
      <w:r w:rsidRPr="00E4430D">
        <w:tab/>
        <w:t>ņemot vērā Reglamenta 5. panta 2. punktu, 6. panta 1. punktu un 9. pantu,</w:t>
      </w:r>
    </w:p>
    <w:p w14:paraId="4EEC93AB" w14:textId="77777777" w:rsidR="003D4CAF" w:rsidRPr="00E4430D" w:rsidRDefault="003D4CAF" w:rsidP="003D4CAF">
      <w:pPr>
        <w:pStyle w:val="NormalHanging12a"/>
        <w:jc w:val="both"/>
      </w:pPr>
      <w:r w:rsidRPr="00E4430D">
        <w:t>–</w:t>
      </w:r>
      <w:r w:rsidRPr="00E4430D">
        <w:tab/>
        <w:t>ņemot vērā Juridiskās komitejas ziņojumu (A10-0264/2025),</w:t>
      </w:r>
    </w:p>
    <w:p w14:paraId="64E9DABD" w14:textId="77777777" w:rsidR="003D4CAF" w:rsidRPr="00E4430D" w:rsidRDefault="003D4CAF" w:rsidP="003D4CAF">
      <w:pPr>
        <w:pStyle w:val="NormalHanging12a"/>
        <w:jc w:val="both"/>
      </w:pPr>
      <w:r w:rsidRPr="00E4430D">
        <w:lastRenderedPageBreak/>
        <w:t>A.</w:t>
      </w:r>
      <w:r w:rsidRPr="00E4430D">
        <w:tab/>
        <w:t xml:space="preserve">tā kā Beļģijas Federālais prokurors </w:t>
      </w:r>
      <w:bookmarkStart w:id="8" w:name="_Hlk210982066"/>
      <w:r w:rsidRPr="00E4430D">
        <w:t>2025. gada 27. februārī</w:t>
      </w:r>
      <w:bookmarkEnd w:id="8"/>
      <w:r w:rsidRPr="00E4430D">
        <w:t xml:space="preserve"> pieprasīja atcelt Itālijā ievēlētās Eiropas Parlamenta deputātes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imunitāti saistībā ar kriminālprocesu, kas pret viņu tiks ierosināts;</w:t>
      </w:r>
    </w:p>
    <w:p w14:paraId="7A7979C5" w14:textId="77777777" w:rsidR="003D4CAF" w:rsidRPr="00E4430D" w:rsidRDefault="003D4CAF" w:rsidP="003D4CAF">
      <w:pPr>
        <w:pStyle w:val="NormalHanging12a"/>
        <w:jc w:val="both"/>
      </w:pPr>
      <w:r w:rsidRPr="00E4430D">
        <w:t>B.</w:t>
      </w:r>
      <w:r w:rsidRPr="00E4430D">
        <w:tab/>
        <w:t xml:space="preserve">tā kā patlaban notiekošajā izmeklēšanā tā dēvētajā </w:t>
      </w:r>
      <w:proofErr w:type="spellStart"/>
      <w:r w:rsidRPr="00E4430D">
        <w:t>Katargeitas</w:t>
      </w:r>
      <w:proofErr w:type="spellEnd"/>
      <w:r w:rsidRPr="00E4430D">
        <w:t xml:space="preserve"> lietā esot atklājies, ka Savienības iestādēs, jo īpaši Eiropas Parlamentā, pastāv noziedzīga organizācija, kuras mērķis esot bijis kukuļot deputātus, lai ietekmētu Parlamenta lēmumu pieņemšanas procesu par labu konkrētu trešo valstu ģeopolitiskajām interesēm; </w:t>
      </w:r>
    </w:p>
    <w:p w14:paraId="21417719" w14:textId="209497DF" w:rsidR="003D4CAF" w:rsidRPr="00E4430D" w:rsidRDefault="003D4CAF" w:rsidP="003D4CAF">
      <w:pPr>
        <w:pStyle w:val="NormalHanging12a"/>
        <w:jc w:val="both"/>
      </w:pPr>
      <w:r w:rsidRPr="00E4430D">
        <w:t>C.</w:t>
      </w:r>
      <w:r w:rsidRPr="00E4430D">
        <w:tab/>
        <w:t xml:space="preserve">tā kā no šajā izmeklēšanā gūtajiem pierādījumiem var secināt, ka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iespējams, tika piedāvātas, vairākas īpašas priekšrocības, kuras viņa pieņēma un pat pieprasīja; tā kā saskaņā ar Beļģijas federālā prokurora sniegto informāciju no </w:t>
      </w:r>
      <w:proofErr w:type="spellStart"/>
      <w:r w:rsidRPr="00E4430D">
        <w:t>līdzapsūdzētajiem</w:t>
      </w:r>
      <w:proofErr w:type="spellEnd"/>
      <w:r w:rsidRPr="00E4430D">
        <w:t xml:space="preserve"> un citiem aizdomās turētajiem, uz kuriem attiecas tiesas izmeklēšana, esot savākti vairāki dažādu veidu pierādījumi par virkni īpašo priekšrocību, kuras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w:t>
      </w:r>
      <w:r w:rsidR="00FE7693" w:rsidRPr="00E4430D">
        <w:t xml:space="preserve">esot </w:t>
      </w:r>
      <w:r w:rsidRPr="00E4430D">
        <w:t>vēlēj</w:t>
      </w:r>
      <w:r w:rsidR="00FE7693" w:rsidRPr="00E4430D">
        <w:t>usies</w:t>
      </w:r>
      <w:r w:rsidRPr="00E4430D">
        <w:t xml:space="preserve"> baudīt un/vai ieguva; tā kā šos pierādījumus esot apstiprinājuši </w:t>
      </w:r>
      <w:proofErr w:type="spellStart"/>
      <w:r w:rsidRPr="00E4430D">
        <w:t>daudzie</w:t>
      </w:r>
      <w:proofErr w:type="spellEnd"/>
      <w:r w:rsidRPr="00E4430D">
        <w:t xml:space="preserve"> policijas dienestu konstatējumi; tā kā apmaiņā pret šīm īpašajām priekšrocībām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iespējams, piedalījās pasākumos vai sanāksmēs, kurās viņa pauda atbalstu Katarai pēc tam, kad viņa ne tikai pasīvi saņēma norādījumus, bet aktīvi lūdza padomus par to, kādas darbības veikt un ko teikt savās runās, kā arī kur un kad rīkoties vai runāt; tā kā viņa </w:t>
      </w:r>
      <w:proofErr w:type="spellStart"/>
      <w:r w:rsidRPr="00E4430D">
        <w:t>proaktīvi</w:t>
      </w:r>
      <w:proofErr w:type="spellEnd"/>
      <w:r w:rsidRPr="00E4430D">
        <w:t xml:space="preserve"> esot sazinājusies arī ar citiem deputātiem, piedāvājot viņus aizstāt dažu ar Kataru saistītu balsojumu laikā; </w:t>
      </w:r>
    </w:p>
    <w:p w14:paraId="6782CFB9" w14:textId="7B82CB1C" w:rsidR="003D4CAF" w:rsidRPr="00E4430D" w:rsidRDefault="003D4CAF" w:rsidP="003D4CAF">
      <w:pPr>
        <w:pStyle w:val="NormalHanging12a"/>
      </w:pPr>
      <w:r w:rsidRPr="00E4430D">
        <w:t>D.</w:t>
      </w:r>
      <w:r w:rsidRPr="00E4430D">
        <w:tab/>
        <w:t xml:space="preserve">tā kā tādējādi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tiek turēta aizdomās par to, ka viņa laikposmā no 2019. gada 1. jūlija līdz 2022. gada 10. decembrim esot izdarījusi nelikumīgas darbības, kuras saskaņā ar Beļģijas tiesību aktiem var kvalificēt kā līdzdalību noziedzīgas organizācijas darbībā un pasīvo kukuļošanu, proti, kas ir noziedzīgi nodarījumi saskaņā ar Beļģijas Kriminālkodeksa </w:t>
      </w:r>
      <w:r w:rsidR="00FE7693" w:rsidRPr="00E4430D">
        <w:t xml:space="preserve">attiecīgi </w:t>
      </w:r>
      <w:r w:rsidRPr="00E4430D">
        <w:t>324.</w:t>
      </w:r>
      <w:r w:rsidR="00FE7693" w:rsidRPr="00E4430D">
        <w:t xml:space="preserve"> panta 2. punktu</w:t>
      </w:r>
      <w:r w:rsidR="005E7FD2" w:rsidRPr="00E4430D">
        <w:t xml:space="preserve"> </w:t>
      </w:r>
      <w:r w:rsidRPr="00E4430D">
        <w:t>un 324.</w:t>
      </w:r>
      <w:r w:rsidR="00FE7693" w:rsidRPr="00E4430D">
        <w:t xml:space="preserve"> panta 3. punktu</w:t>
      </w:r>
      <w:r w:rsidRPr="00E4430D">
        <w:t xml:space="preserve"> un 246.–250. pantu; </w:t>
      </w:r>
    </w:p>
    <w:p w14:paraId="2067DDA7" w14:textId="77777777" w:rsidR="003D4CAF" w:rsidRPr="00E4430D" w:rsidRDefault="003D4CAF" w:rsidP="003D4CAF">
      <w:pPr>
        <w:pStyle w:val="NormalHanging12a"/>
        <w:jc w:val="both"/>
      </w:pPr>
      <w:r w:rsidRPr="00E4430D">
        <w:t>E.</w:t>
      </w:r>
      <w:r w:rsidRPr="00E4430D">
        <w:tab/>
        <w:t>tā kā, no vienas puses, Parlaments nevar tikt pielīdzināts tiesai un, no otras puses, deputāts imunitātes atcelšanas procedūras kontekstā nevar tikt uzskatīts par apsūdzēto</w:t>
      </w:r>
      <w:r w:rsidRPr="00E4430D">
        <w:rPr>
          <w:rStyle w:val="FootnoteReference"/>
        </w:rPr>
        <w:footnoteReference w:id="2"/>
      </w:r>
      <w:r w:rsidRPr="00E4430D">
        <w:t>;</w:t>
      </w:r>
    </w:p>
    <w:p w14:paraId="4BAF034B" w14:textId="7D0BF079" w:rsidR="003D4CAF" w:rsidRPr="00E4430D" w:rsidRDefault="003D4CAF" w:rsidP="003D4CAF">
      <w:pPr>
        <w:pStyle w:val="NormalHanging12a"/>
      </w:pPr>
      <w:r w:rsidRPr="00E4430D">
        <w:t>F.</w:t>
      </w:r>
      <w:r w:rsidRPr="00E4430D">
        <w:tab/>
        <w:t>tā kā Protokola Nr. 7 par privilēģijām un imunitāti Eiropas Savienībā paredzētās parlamentārās imunitātes mērķis ir aizsargāt Parlamentu un tā deputātus pret juridisku procesu, kas tiktu ierosināts par darbībām, kuras būtu veiktas, pildot parlamentāros pienākumus, un kuras atrauti no šiem pienākumiem skatīt nevar;</w:t>
      </w:r>
    </w:p>
    <w:p w14:paraId="141E33DC" w14:textId="1A415803" w:rsidR="003D4CAF" w:rsidRPr="00E4430D" w:rsidRDefault="003D4CAF" w:rsidP="003D4CAF">
      <w:pPr>
        <w:pStyle w:val="NormalHanging12a"/>
      </w:pPr>
      <w:r w:rsidRPr="00E4430D">
        <w:t>G.</w:t>
      </w:r>
      <w:r w:rsidRPr="00E4430D">
        <w:tab/>
        <w:t>tā kā saskaņā ar Protokola Nr. 7 par privilēģijām un imunitāti Eiropas Savienībā 8. pantu attiecībā uz Eiropas Parlamenta locekļiem nevar veikt nedz izmeklēšanas darbības, nedz viņus aizturēt, nedz uzsākt tiesvedību sakarā ar viedokli, ko viņi būtu pauduši, vai balsojumu, ko viņi būtu veikuši, pildot savus pienākumus; tā kā Protokola Nr. 7 par privilēģijām un imunitāti Eiropas Savienībā 8. pants ir vērtējams kā īpaša norma, kuras mērķis ir aizsargāt Eiropas Parlamenta deputātu vārda brīvību un neatkarību</w:t>
      </w:r>
      <w:r w:rsidRPr="00E4430D">
        <w:rPr>
          <w:rStyle w:val="FootnoteReference"/>
        </w:rPr>
        <w:footnoteReference w:id="3"/>
      </w:r>
      <w:r w:rsidRPr="00E4430D">
        <w:t xml:space="preserve">; tā kā apgalvojumi attiecas uz rīcību, kas ir kvalificējama kā iespējama līdzdalība noziedzīgas organizācijas darbībā un iespējama pasīvā kukuļņemšana, kuras no Protokola Nr. 7 par privilēģijām un imunitāti Eiropas Savienībā 8. panta mērķa un formulējuma viedokļa nedz par viedokli, kuru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rPr>
          <w:i/>
          <w:iCs/>
        </w:rPr>
        <w:t xml:space="preserve"> </w:t>
      </w:r>
      <w:r w:rsidRPr="00E4430D">
        <w:t xml:space="preserve">būtu paudusi, nedz </w:t>
      </w:r>
      <w:r w:rsidRPr="00E4430D">
        <w:lastRenderedPageBreak/>
        <w:t>par balsojumu, ko viņa būtu veikusi, pildot savus pienākumus, uzskatīt nevar;</w:t>
      </w:r>
    </w:p>
    <w:p w14:paraId="65B829B4" w14:textId="67BEFC3B" w:rsidR="003D4CAF" w:rsidRPr="00E4430D" w:rsidRDefault="003D4CAF" w:rsidP="003D4CAF">
      <w:pPr>
        <w:pStyle w:val="NormalHanging12a"/>
      </w:pPr>
      <w:r w:rsidRPr="00E4430D">
        <w:t>H.</w:t>
      </w:r>
      <w:r w:rsidRPr="00E4430D">
        <w:tab/>
        <w:t xml:space="preserve">tā kā inkriminētie noziedzīgie nodarījumi un no tiem izrietošais pieprasījums atcelt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imunitāti nav saistīti nedz ar viedokli, kuru viņa būtu paudusi, nedz ar balsojumu, kuru viņa būtu veikusi, pildot savus pienākumus Protokola Nr. 7 par privilēģijām un imunitāti Eiropas Savienībā 8. panta nozīmē; </w:t>
      </w:r>
    </w:p>
    <w:p w14:paraId="6524D3BA" w14:textId="1D272ED2" w:rsidR="003D4CAF" w:rsidRPr="00E4430D" w:rsidRDefault="003D4CAF" w:rsidP="003D4CAF">
      <w:pPr>
        <w:pStyle w:val="NormalHanging12a"/>
      </w:pPr>
      <w:r w:rsidRPr="00E4430D">
        <w:t>I.</w:t>
      </w:r>
      <w:r w:rsidRPr="00E4430D">
        <w:tab/>
        <w:t xml:space="preserve">tā kā saskaņā ar Protokola Nr. 7 par privilēģijām un imunitāti Eiropas Savienībā 9. panta pirmās daļas b) apakšpunktu Eiropas Parlamenta locekļiem </w:t>
      </w:r>
      <w:r w:rsidR="00FE7693" w:rsidRPr="00E4430D">
        <w:t xml:space="preserve">tā sesiju laikā </w:t>
      </w:r>
      <w:r w:rsidRPr="00E4430D">
        <w:t>savā valstī ir imunitāte pret aizturēšanu un tiesvedību, ko piešķir attiecīgās valsts parlamenta locekļiem;</w:t>
      </w:r>
    </w:p>
    <w:p w14:paraId="50DB71A4" w14:textId="77777777" w:rsidR="003D4CAF" w:rsidRPr="00E4430D" w:rsidRDefault="003D4CAF" w:rsidP="003D4CAF">
      <w:pPr>
        <w:pStyle w:val="NormalHanging12a"/>
      </w:pPr>
      <w:r w:rsidRPr="00E4430D">
        <w:t xml:space="preserve">J. </w:t>
      </w:r>
      <w:r w:rsidRPr="00E4430D">
        <w:tab/>
        <w:t>tā kā saskaņā ar Parlamenta Reglamenta 5. panta 2. punktu deputāta imunitāte nav deputāta personiska privilēģija, bet gan visa Parlamenta un tā deputātu neatkarības garantija;</w:t>
      </w:r>
    </w:p>
    <w:p w14:paraId="0DA39013" w14:textId="033BF028" w:rsidR="003D4CAF" w:rsidRPr="00E4430D" w:rsidRDefault="003D4CAF" w:rsidP="003D4CAF">
      <w:pPr>
        <w:pStyle w:val="NormalHanging12a"/>
      </w:pPr>
      <w:r w:rsidRPr="00E4430D">
        <w:t>K.</w:t>
      </w:r>
      <w:r w:rsidRPr="00E4430D">
        <w:tab/>
        <w:t xml:space="preserve">tā kā saskaņā ar pieprasījumā </w:t>
      </w:r>
      <w:r w:rsidR="005E7FD2" w:rsidRPr="00E4430D">
        <w:t xml:space="preserve">atcelt </w:t>
      </w:r>
      <w:proofErr w:type="spellStart"/>
      <w:r w:rsidR="005E7FD2" w:rsidRPr="00E4430D">
        <w:rPr>
          <w:i/>
          <w:iCs/>
        </w:rPr>
        <w:t>Alessandra</w:t>
      </w:r>
      <w:proofErr w:type="spellEnd"/>
      <w:r w:rsidR="005E7FD2" w:rsidRPr="00E4430D">
        <w:rPr>
          <w:i/>
          <w:iCs/>
        </w:rPr>
        <w:t xml:space="preserve"> </w:t>
      </w:r>
      <w:proofErr w:type="spellStart"/>
      <w:r w:rsidR="005E7FD2" w:rsidRPr="00E4430D">
        <w:rPr>
          <w:i/>
          <w:iCs/>
        </w:rPr>
        <w:t>Moretti</w:t>
      </w:r>
      <w:proofErr w:type="spellEnd"/>
      <w:r w:rsidR="005E7FD2" w:rsidRPr="00E4430D">
        <w:t xml:space="preserve"> imunitāti </w:t>
      </w:r>
      <w:r w:rsidRPr="00E4430D">
        <w:t xml:space="preserve">ir tikusi veikta padziļināta, sarežģīta un laikietilpīga tiesas izmeklēšana, kas cita starpā nozīmēja liela skaita cilvēku iesaisti un izmeklēšanas pienākumu veikšanu ārpus Beļģijas, tostarp ārpus Savienības, un ticis konfiscēts ievērojams daudzums </w:t>
      </w:r>
      <w:proofErr w:type="spellStart"/>
      <w:r w:rsidRPr="00E4430D">
        <w:t>datoriekārtu</w:t>
      </w:r>
      <w:proofErr w:type="spellEnd"/>
      <w:r w:rsidRPr="00E4430D">
        <w:t xml:space="preserve"> un analizēts to saturs; tā kā patlaban notiekošā izmeklēšana attiecas ne tikai uz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bet arī uz vairākiem indivīdiem, tostarp Eiropas Parlamenta deputātiem; tā kā tādēļ ir jāsecina, ka pieprasījums atcelt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imunitāti nav saistīts ar mēģinājumu kaitēt viņas politiskajai darbībai , bet drīzāk ir uzskatāms par iepriekš minētās padziļinātās un sarežģītās tiesas izmeklēšanas rezultātu;</w:t>
      </w:r>
    </w:p>
    <w:p w14:paraId="56DAE72B" w14:textId="77777777" w:rsidR="003D4CAF" w:rsidRPr="00E4430D" w:rsidRDefault="003D4CAF" w:rsidP="003D4CAF">
      <w:pPr>
        <w:pStyle w:val="NormalHanging12a"/>
      </w:pPr>
      <w:r w:rsidRPr="00E4430D">
        <w:t>L.</w:t>
      </w:r>
      <w:r w:rsidRPr="00E4430D">
        <w:tab/>
        <w:t xml:space="preserve">tā kā šajā gadījumā Parlaments nav konstatējis pierādījumus par </w:t>
      </w:r>
      <w:proofErr w:type="spellStart"/>
      <w:r w:rsidRPr="00E4430D">
        <w:rPr>
          <w:i/>
          <w:iCs/>
        </w:rPr>
        <w:t>fumus</w:t>
      </w:r>
      <w:proofErr w:type="spellEnd"/>
      <w:r w:rsidRPr="00E4430D">
        <w:rPr>
          <w:i/>
          <w:iCs/>
        </w:rPr>
        <w:t xml:space="preserve"> </w:t>
      </w:r>
      <w:proofErr w:type="spellStart"/>
      <w:r w:rsidRPr="00E4430D">
        <w:rPr>
          <w:i/>
          <w:iCs/>
        </w:rPr>
        <w:t>persecutionis</w:t>
      </w:r>
      <w:proofErr w:type="spellEnd"/>
      <w:r w:rsidRPr="00E4430D">
        <w:t xml:space="preserve">, t. i., faktus, kas liecinātu par to, ka šā konkrētā kriminālprocesa pamatā esošais mērķis būtu kaitēt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kā Eiropas Parlamenta deputātes politiskajai darbībai,</w:t>
      </w:r>
    </w:p>
    <w:p w14:paraId="26E3344A" w14:textId="77777777" w:rsidR="003D4CAF" w:rsidRPr="00E4430D" w:rsidRDefault="003D4CAF" w:rsidP="003D4CAF">
      <w:pPr>
        <w:pStyle w:val="NormalHanging12a"/>
        <w:jc w:val="both"/>
      </w:pPr>
      <w:r w:rsidRPr="00E4430D">
        <w:t>1.</w:t>
      </w:r>
      <w:r w:rsidRPr="00E4430D">
        <w:tab/>
        <w:t xml:space="preserve">nolemj atcelt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 xml:space="preserve"> imunitāti;</w:t>
      </w:r>
    </w:p>
    <w:p w14:paraId="7559C249" w14:textId="1F4B7F54" w:rsidR="00A048C0" w:rsidRPr="00E4430D" w:rsidRDefault="003D4CAF" w:rsidP="00A048C0">
      <w:pPr>
        <w:pStyle w:val="NormalHanging12a"/>
      </w:pPr>
      <w:r w:rsidRPr="00E4430D">
        <w:t>2.</w:t>
      </w:r>
      <w:r w:rsidRPr="00E4430D">
        <w:tab/>
        <w:t xml:space="preserve">uzdod priekšsēdētājai šo lēmumu un atbildīgās komitejas ziņojumu nekavējoties nosūtīt Beļģijas Karalistes kompetentajai iestādei un </w:t>
      </w:r>
      <w:proofErr w:type="spellStart"/>
      <w:r w:rsidRPr="00E4430D">
        <w:rPr>
          <w:i/>
          <w:iCs/>
        </w:rPr>
        <w:t>Alessandra</w:t>
      </w:r>
      <w:proofErr w:type="spellEnd"/>
      <w:r w:rsidRPr="00E4430D">
        <w:rPr>
          <w:i/>
          <w:iCs/>
        </w:rPr>
        <w:t xml:space="preserve"> </w:t>
      </w:r>
      <w:proofErr w:type="spellStart"/>
      <w:r w:rsidRPr="00E4430D">
        <w:rPr>
          <w:i/>
          <w:iCs/>
        </w:rPr>
        <w:t>Moretti</w:t>
      </w:r>
      <w:proofErr w:type="spellEnd"/>
      <w:r w:rsidRPr="00E4430D">
        <w:t>.</w:t>
      </w:r>
    </w:p>
    <w:p w14:paraId="732EE72F" w14:textId="1903FD2A" w:rsidR="00E365E1" w:rsidRPr="00E4430D" w:rsidRDefault="00E365E1" w:rsidP="0099135F"/>
    <w:sectPr w:rsidR="00E365E1" w:rsidRPr="00E4430D" w:rsidSect="00A048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F6A68" w14:textId="77777777" w:rsidR="0099135F" w:rsidRPr="00A048C0" w:rsidRDefault="0099135F">
      <w:r w:rsidRPr="00A048C0">
        <w:separator/>
      </w:r>
    </w:p>
  </w:endnote>
  <w:endnote w:type="continuationSeparator" w:id="0">
    <w:p w14:paraId="1191ACA2" w14:textId="77777777" w:rsidR="0099135F" w:rsidRPr="00A048C0" w:rsidRDefault="0099135F">
      <w:r w:rsidRPr="00A048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190E" w14:textId="77777777" w:rsidR="00064002" w:rsidRPr="00A048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091F" w14:textId="77777777" w:rsidR="00064002" w:rsidRPr="00A048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CC9B" w14:textId="77777777" w:rsidR="00064002" w:rsidRPr="00A048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D5B1F" w14:textId="77777777" w:rsidR="0099135F" w:rsidRPr="00A048C0" w:rsidRDefault="0099135F">
      <w:r w:rsidRPr="00A048C0">
        <w:separator/>
      </w:r>
    </w:p>
  </w:footnote>
  <w:footnote w:type="continuationSeparator" w:id="0">
    <w:p w14:paraId="3C741208" w14:textId="77777777" w:rsidR="0099135F" w:rsidRPr="00A048C0" w:rsidRDefault="0099135F">
      <w:r w:rsidRPr="00A048C0">
        <w:continuationSeparator/>
      </w:r>
    </w:p>
  </w:footnote>
  <w:footnote w:id="1">
    <w:p w14:paraId="26C66607" w14:textId="2B6C3866" w:rsidR="003D4CAF" w:rsidRPr="00A048C0" w:rsidRDefault="003D4CAF" w:rsidP="00A048C0">
      <w:pPr>
        <w:pStyle w:val="FootnoteText"/>
        <w:ind w:left="567" w:hanging="567"/>
        <w:rPr>
          <w:sz w:val="24"/>
          <w:lang w:val="lv-LV"/>
        </w:rPr>
      </w:pPr>
      <w:r w:rsidRPr="00A048C0">
        <w:rPr>
          <w:rStyle w:val="FootnoteReference"/>
          <w:sz w:val="24"/>
          <w:lang w:val="lv-LV"/>
        </w:rPr>
        <w:footnoteRef/>
      </w:r>
      <w:r w:rsidR="00A048C0" w:rsidRPr="00A048C0">
        <w:rPr>
          <w:sz w:val="24"/>
          <w:lang w:val="lv-LV"/>
        </w:rPr>
        <w:t xml:space="preserve"> </w:t>
      </w:r>
      <w:r w:rsidR="00A048C0" w:rsidRPr="00A048C0">
        <w:rPr>
          <w:sz w:val="24"/>
          <w:lang w:val="lv-LV"/>
        </w:rPr>
        <w:tab/>
      </w:r>
      <w:r w:rsidRPr="00A048C0">
        <w:rPr>
          <w:sz w:val="24"/>
          <w:lang w:val="lv-LV"/>
        </w:rPr>
        <w:t xml:space="preserve">Tiesas 2008. gada 21. oktobra spriedums, </w:t>
      </w:r>
      <w:proofErr w:type="spellStart"/>
      <w:r w:rsidRPr="00A048C0">
        <w:rPr>
          <w:i/>
          <w:iCs/>
          <w:sz w:val="24"/>
          <w:lang w:val="lv-LV"/>
        </w:rPr>
        <w:t>Marra</w:t>
      </w:r>
      <w:proofErr w:type="spellEnd"/>
      <w:r w:rsidRPr="00A048C0">
        <w:rPr>
          <w:i/>
          <w:iCs/>
          <w:sz w:val="24"/>
          <w:lang w:val="lv-LV"/>
        </w:rPr>
        <w:t>/</w:t>
      </w:r>
      <w:proofErr w:type="spellStart"/>
      <w:r w:rsidRPr="00A048C0">
        <w:rPr>
          <w:i/>
          <w:iCs/>
          <w:sz w:val="24"/>
          <w:lang w:val="lv-LV"/>
        </w:rPr>
        <w:t>De</w:t>
      </w:r>
      <w:proofErr w:type="spellEnd"/>
      <w:r w:rsidRPr="00A048C0">
        <w:rPr>
          <w:i/>
          <w:iCs/>
          <w:sz w:val="24"/>
          <w:lang w:val="lv-LV"/>
        </w:rPr>
        <w:t xml:space="preserve"> Gregorio</w:t>
      </w:r>
      <w:r w:rsidRPr="00A048C0">
        <w:rPr>
          <w:sz w:val="24"/>
          <w:lang w:val="lv-LV"/>
        </w:rPr>
        <w:t xml:space="preserve"> un </w:t>
      </w:r>
      <w:proofErr w:type="spellStart"/>
      <w:r w:rsidRPr="00A048C0">
        <w:rPr>
          <w:i/>
          <w:iCs/>
          <w:sz w:val="24"/>
          <w:lang w:val="lv-LV"/>
        </w:rPr>
        <w:t>Clemente</w:t>
      </w:r>
      <w:proofErr w:type="spellEnd"/>
      <w:r w:rsidRPr="00A048C0">
        <w:rPr>
          <w:sz w:val="24"/>
          <w:lang w:val="lv-LV"/>
        </w:rPr>
        <w:t xml:space="preserve">, C-200/07 un C-201/07, ECLI:EU:C:2008:579; Vispārējās tiesas 2010. gada 19. marta spriedums, </w:t>
      </w:r>
      <w:proofErr w:type="spellStart"/>
      <w:r w:rsidRPr="00A048C0">
        <w:rPr>
          <w:i/>
          <w:iCs/>
          <w:sz w:val="24"/>
          <w:lang w:val="lv-LV"/>
        </w:rPr>
        <w:t>Gollnisch</w:t>
      </w:r>
      <w:proofErr w:type="spellEnd"/>
      <w:r w:rsidRPr="00A048C0">
        <w:rPr>
          <w:sz w:val="24"/>
          <w:lang w:val="lv-LV"/>
        </w:rPr>
        <w:t xml:space="preserve">/Parlaments, T-42/06, ECLI:EU:T:2010:102; Tiesas 2011. gada 6. septembra spriedums, </w:t>
      </w:r>
      <w:proofErr w:type="spellStart"/>
      <w:r w:rsidRPr="00A048C0">
        <w:rPr>
          <w:i/>
          <w:iCs/>
          <w:sz w:val="24"/>
          <w:lang w:val="lv-LV"/>
        </w:rPr>
        <w:t>Patriciello</w:t>
      </w:r>
      <w:proofErr w:type="spellEnd"/>
      <w:r w:rsidRPr="00A048C0">
        <w:rPr>
          <w:sz w:val="24"/>
          <w:lang w:val="lv-LV"/>
        </w:rPr>
        <w:t xml:space="preserve">, C-163/10, ECLI: EU:C:2011:543; Vispārējās tiesas 2013. gada 17. janvāra spriedums, </w:t>
      </w:r>
      <w:proofErr w:type="spellStart"/>
      <w:r w:rsidRPr="00A048C0">
        <w:rPr>
          <w:i/>
          <w:iCs/>
          <w:sz w:val="24"/>
          <w:lang w:val="lv-LV"/>
        </w:rPr>
        <w:t>Gollnisch</w:t>
      </w:r>
      <w:proofErr w:type="spellEnd"/>
      <w:r w:rsidRPr="00A048C0">
        <w:rPr>
          <w:sz w:val="24"/>
          <w:lang w:val="lv-LV"/>
        </w:rPr>
        <w:t xml:space="preserve">/Parlaments, T-346/11 un T-347/11, ECLI:EU:T:2013:23; Tiesas 2019. gada 19. decembra spriedums, </w:t>
      </w:r>
      <w:proofErr w:type="spellStart"/>
      <w:r w:rsidRPr="00A048C0">
        <w:rPr>
          <w:i/>
          <w:iCs/>
          <w:sz w:val="24"/>
          <w:lang w:val="lv-LV"/>
        </w:rPr>
        <w:t>Junqueras</w:t>
      </w:r>
      <w:proofErr w:type="spellEnd"/>
      <w:r w:rsidRPr="00A048C0">
        <w:rPr>
          <w:i/>
          <w:iCs/>
          <w:sz w:val="24"/>
          <w:lang w:val="lv-LV"/>
        </w:rPr>
        <w:t xml:space="preserve"> Vies</w:t>
      </w:r>
      <w:r w:rsidRPr="00A048C0">
        <w:rPr>
          <w:sz w:val="24"/>
          <w:lang w:val="lv-LV"/>
        </w:rPr>
        <w:t xml:space="preserve">, C-502/19, ECLI:EU:C:2019:1115. Vispārējās tiesas 2023. gada 5. jūlija spriedums lietā T-272/21 </w:t>
      </w:r>
      <w:proofErr w:type="spellStart"/>
      <w:r w:rsidRPr="00A048C0">
        <w:rPr>
          <w:i/>
          <w:iCs/>
          <w:sz w:val="24"/>
          <w:lang w:val="lv-LV"/>
        </w:rPr>
        <w:t>Puigdemont</w:t>
      </w:r>
      <w:proofErr w:type="spellEnd"/>
      <w:r w:rsidRPr="00A048C0">
        <w:rPr>
          <w:i/>
          <w:iCs/>
          <w:sz w:val="24"/>
          <w:lang w:val="lv-LV"/>
        </w:rPr>
        <w:t xml:space="preserve"> i </w:t>
      </w:r>
      <w:proofErr w:type="spellStart"/>
      <w:r w:rsidRPr="00A048C0">
        <w:rPr>
          <w:i/>
          <w:iCs/>
          <w:sz w:val="24"/>
          <w:lang w:val="lv-LV"/>
        </w:rPr>
        <w:t>Casamajó</w:t>
      </w:r>
      <w:proofErr w:type="spellEnd"/>
      <w:r w:rsidRPr="00A048C0">
        <w:rPr>
          <w:sz w:val="24"/>
          <w:lang w:val="lv-LV"/>
        </w:rPr>
        <w:t xml:space="preserve"> u. c./Parlaments, ECLI:EU:T:2023:373.</w:t>
      </w:r>
    </w:p>
  </w:footnote>
  <w:footnote w:id="2">
    <w:p w14:paraId="2444D956" w14:textId="6311BF69" w:rsidR="003D4CAF" w:rsidRPr="00A048C0" w:rsidRDefault="003D4CAF" w:rsidP="00A048C0">
      <w:pPr>
        <w:pStyle w:val="FootnoteText"/>
        <w:ind w:left="567" w:hanging="567"/>
        <w:rPr>
          <w:sz w:val="24"/>
          <w:lang w:val="lv-LV"/>
        </w:rPr>
      </w:pPr>
      <w:r w:rsidRPr="00A048C0">
        <w:rPr>
          <w:rStyle w:val="FootnoteReference"/>
          <w:sz w:val="24"/>
          <w:lang w:val="lv-LV"/>
        </w:rPr>
        <w:footnoteRef/>
      </w:r>
      <w:r w:rsidR="00A048C0" w:rsidRPr="00A048C0">
        <w:rPr>
          <w:sz w:val="24"/>
          <w:lang w:val="lv-LV"/>
        </w:rPr>
        <w:t xml:space="preserve"> </w:t>
      </w:r>
      <w:r w:rsidR="00A048C0" w:rsidRPr="00A048C0">
        <w:rPr>
          <w:sz w:val="24"/>
          <w:lang w:val="lv-LV"/>
        </w:rPr>
        <w:tab/>
      </w:r>
      <w:r w:rsidRPr="00A048C0">
        <w:rPr>
          <w:sz w:val="24"/>
          <w:lang w:val="lv-LV"/>
        </w:rPr>
        <w:t xml:space="preserve">Vispārējās tiesas 2019. gada 30. aprīļa spriedums, </w:t>
      </w:r>
      <w:proofErr w:type="spellStart"/>
      <w:r w:rsidRPr="00A048C0">
        <w:rPr>
          <w:i/>
          <w:iCs/>
          <w:sz w:val="24"/>
          <w:lang w:val="lv-LV"/>
        </w:rPr>
        <w:t>Briois</w:t>
      </w:r>
      <w:proofErr w:type="spellEnd"/>
      <w:r w:rsidRPr="00A048C0">
        <w:rPr>
          <w:sz w:val="24"/>
          <w:lang w:val="lv-LV"/>
        </w:rPr>
        <w:t>/Parlaments, T-214/18, ECLI:EU:T:2019:266.</w:t>
      </w:r>
    </w:p>
  </w:footnote>
  <w:footnote w:id="3">
    <w:p w14:paraId="005273F7" w14:textId="188D573C" w:rsidR="003D4CAF" w:rsidRPr="00A048C0" w:rsidRDefault="003D4CAF" w:rsidP="00A048C0">
      <w:pPr>
        <w:pStyle w:val="FootnoteText"/>
        <w:ind w:left="567" w:hanging="567"/>
        <w:rPr>
          <w:sz w:val="24"/>
          <w:lang w:val="lv-LV"/>
        </w:rPr>
      </w:pPr>
      <w:r w:rsidRPr="00A048C0">
        <w:rPr>
          <w:rStyle w:val="FootnoteReference"/>
          <w:sz w:val="24"/>
          <w:lang w:val="lv-LV"/>
        </w:rPr>
        <w:footnoteRef/>
      </w:r>
      <w:r w:rsidR="00A048C0" w:rsidRPr="00A048C0">
        <w:rPr>
          <w:sz w:val="24"/>
          <w:lang w:val="lv-LV"/>
        </w:rPr>
        <w:t xml:space="preserve"> </w:t>
      </w:r>
      <w:r w:rsidR="00A048C0" w:rsidRPr="00A048C0">
        <w:rPr>
          <w:sz w:val="24"/>
          <w:lang w:val="lv-LV"/>
        </w:rPr>
        <w:tab/>
      </w:r>
      <w:r w:rsidRPr="00A048C0">
        <w:rPr>
          <w:sz w:val="24"/>
          <w:lang w:val="lv-LV"/>
        </w:rPr>
        <w:t xml:space="preserve">Tiesas 2011. gada 6. septembra spriedums, </w:t>
      </w:r>
      <w:proofErr w:type="spellStart"/>
      <w:r w:rsidRPr="00A048C0">
        <w:rPr>
          <w:i/>
          <w:iCs/>
          <w:sz w:val="24"/>
          <w:lang w:val="lv-LV"/>
        </w:rPr>
        <w:t>Patriciello</w:t>
      </w:r>
      <w:proofErr w:type="spellEnd"/>
      <w:r w:rsidRPr="00A048C0">
        <w:rPr>
          <w:sz w:val="24"/>
          <w:lang w:val="lv-LV"/>
        </w:rPr>
        <w:t>, C-163/10, ECLI: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33076" w14:textId="77777777" w:rsidR="00064002" w:rsidRPr="00A048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9CD4F" w14:textId="77777777" w:rsidR="00064002" w:rsidRPr="00A048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4CBF7" w14:textId="77777777" w:rsidR="00064002" w:rsidRPr="00A048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741929">
    <w:abstractNumId w:val="9"/>
  </w:num>
  <w:num w:numId="2" w16cid:durableId="2043478359">
    <w:abstractNumId w:val="9"/>
  </w:num>
  <w:num w:numId="3" w16cid:durableId="1229924914">
    <w:abstractNumId w:val="7"/>
  </w:num>
  <w:num w:numId="4" w16cid:durableId="1903714156">
    <w:abstractNumId w:val="7"/>
  </w:num>
  <w:num w:numId="5" w16cid:durableId="2058896995">
    <w:abstractNumId w:val="6"/>
  </w:num>
  <w:num w:numId="6" w16cid:durableId="1313100241">
    <w:abstractNumId w:val="6"/>
  </w:num>
  <w:num w:numId="7" w16cid:durableId="1796096451">
    <w:abstractNumId w:val="5"/>
  </w:num>
  <w:num w:numId="8" w16cid:durableId="1301761262">
    <w:abstractNumId w:val="5"/>
  </w:num>
  <w:num w:numId="9" w16cid:durableId="700397292">
    <w:abstractNumId w:val="4"/>
  </w:num>
  <w:num w:numId="10" w16cid:durableId="359359630">
    <w:abstractNumId w:val="4"/>
  </w:num>
  <w:num w:numId="11" w16cid:durableId="1920212591">
    <w:abstractNumId w:val="8"/>
  </w:num>
  <w:num w:numId="12" w16cid:durableId="2052070115">
    <w:abstractNumId w:val="8"/>
  </w:num>
  <w:num w:numId="13" w16cid:durableId="947587469">
    <w:abstractNumId w:val="3"/>
  </w:num>
  <w:num w:numId="14" w16cid:durableId="741372299">
    <w:abstractNumId w:val="3"/>
  </w:num>
  <w:num w:numId="15" w16cid:durableId="898442940">
    <w:abstractNumId w:val="2"/>
  </w:num>
  <w:num w:numId="16" w16cid:durableId="1856384837">
    <w:abstractNumId w:val="2"/>
  </w:num>
  <w:num w:numId="17" w16cid:durableId="1970356511">
    <w:abstractNumId w:val="1"/>
  </w:num>
  <w:num w:numId="18" w16cid:durableId="707488620">
    <w:abstractNumId w:val="1"/>
  </w:num>
  <w:num w:numId="19" w16cid:durableId="1585140882">
    <w:abstractNumId w:val="0"/>
  </w:num>
  <w:num w:numId="20" w16cid:durableId="1444153309">
    <w:abstractNumId w:val="0"/>
  </w:num>
  <w:num w:numId="21" w16cid:durableId="683092835">
    <w:abstractNumId w:val="9"/>
  </w:num>
  <w:num w:numId="22" w16cid:durableId="406196204">
    <w:abstractNumId w:val="7"/>
  </w:num>
  <w:num w:numId="23" w16cid:durableId="37434071">
    <w:abstractNumId w:val="6"/>
  </w:num>
  <w:num w:numId="24" w16cid:durableId="578906650">
    <w:abstractNumId w:val="5"/>
  </w:num>
  <w:num w:numId="25" w16cid:durableId="1408649586">
    <w:abstractNumId w:val="4"/>
  </w:num>
  <w:num w:numId="26" w16cid:durableId="1094397715">
    <w:abstractNumId w:val="8"/>
  </w:num>
  <w:num w:numId="27" w16cid:durableId="1486048695">
    <w:abstractNumId w:val="3"/>
  </w:num>
  <w:num w:numId="28" w16cid:durableId="1968125034">
    <w:abstractNumId w:val="2"/>
  </w:num>
  <w:num w:numId="29" w16cid:durableId="1733698512">
    <w:abstractNumId w:val="1"/>
  </w:num>
  <w:num w:numId="30" w16cid:durableId="614405426">
    <w:abstractNumId w:val="0"/>
  </w:num>
  <w:num w:numId="31" w16cid:durableId="1658924563">
    <w:abstractNumId w:val="9"/>
  </w:num>
  <w:num w:numId="32" w16cid:durableId="1131098626">
    <w:abstractNumId w:val="7"/>
  </w:num>
  <w:num w:numId="33" w16cid:durableId="82649051">
    <w:abstractNumId w:val="6"/>
  </w:num>
  <w:num w:numId="34" w16cid:durableId="1187253139">
    <w:abstractNumId w:val="5"/>
  </w:num>
  <w:num w:numId="35" w16cid:durableId="1209223891">
    <w:abstractNumId w:val="4"/>
  </w:num>
  <w:num w:numId="36" w16cid:durableId="568536656">
    <w:abstractNumId w:val="8"/>
  </w:num>
  <w:num w:numId="37" w16cid:durableId="767850311">
    <w:abstractNumId w:val="3"/>
  </w:num>
  <w:num w:numId="38" w16cid:durableId="901447694">
    <w:abstractNumId w:val="2"/>
  </w:num>
  <w:num w:numId="39" w16cid:durableId="1341196084">
    <w:abstractNumId w:val="1"/>
  </w:num>
  <w:num w:numId="40" w16cid:durableId="1956867383">
    <w:abstractNumId w:val="0"/>
  </w:num>
  <w:num w:numId="41" w16cid:durableId="1758288966">
    <w:abstractNumId w:val="10"/>
  </w:num>
  <w:num w:numId="42" w16cid:durableId="194854771">
    <w:abstractNumId w:val="10"/>
  </w:num>
  <w:num w:numId="43" w16cid:durableId="2068723776">
    <w:abstractNumId w:val="10"/>
  </w:num>
  <w:num w:numId="44" w16cid:durableId="7221704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LV"/>
    <w:docVar w:name="dvnumam" w:val="0"/>
    <w:docVar w:name="dvpe" w:val="774.386"/>
    <w:docVar w:name="dvrapporteur" w:val="Referents: "/>
    <w:docVar w:name="dvtitre" w:val="Eiropas Parlamenta 2025. gada XX. XXX lēmums par pieprasījumu atcelt Alessandra Moretti imunitāti(2025/2064(IMM))"/>
  </w:docVars>
  <w:rsids>
    <w:rsidRoot w:val="0099135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4CA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FD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35F"/>
    <w:rsid w:val="00A048C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F36"/>
    <w:rsid w:val="00CC2357"/>
    <w:rsid w:val="00CF071A"/>
    <w:rsid w:val="00D058B8"/>
    <w:rsid w:val="00D56C11"/>
    <w:rsid w:val="00D834A0"/>
    <w:rsid w:val="00D872DF"/>
    <w:rsid w:val="00D91E21"/>
    <w:rsid w:val="00DA7FCD"/>
    <w:rsid w:val="00E365E1"/>
    <w:rsid w:val="00E4430D"/>
    <w:rsid w:val="00E702D3"/>
    <w:rsid w:val="00E820A4"/>
    <w:rsid w:val="00EB006A"/>
    <w:rsid w:val="00EB4772"/>
    <w:rsid w:val="00ED169E"/>
    <w:rsid w:val="00ED4235"/>
    <w:rsid w:val="00ED5EE4"/>
    <w:rsid w:val="00F04346"/>
    <w:rsid w:val="00F075DC"/>
    <w:rsid w:val="00F149E9"/>
    <w:rsid w:val="00F5134D"/>
    <w:rsid w:val="00F74202"/>
    <w:rsid w:val="00F87713"/>
    <w:rsid w:val="00FB4360"/>
    <w:rsid w:val="00FD0C70"/>
    <w:rsid w:val="00FE769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50821"/>
  <w15:chartTrackingRefBased/>
  <w15:docId w15:val="{7479E663-2840-460B-9072-71BE2D8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D4CAF"/>
    <w:rPr>
      <w:b/>
    </w:rPr>
  </w:style>
  <w:style w:type="paragraph" w:customStyle="1" w:styleId="NormalHanging12a">
    <w:name w:val="NormalHanging12a"/>
    <w:basedOn w:val="Normal"/>
    <w:rsid w:val="003D4CAF"/>
    <w:pPr>
      <w:spacing w:after="240"/>
      <w:ind w:left="567" w:hanging="567"/>
    </w:pPr>
  </w:style>
  <w:style w:type="paragraph" w:customStyle="1" w:styleId="EPComma">
    <w:name w:val="EPComma"/>
    <w:basedOn w:val="Normal"/>
    <w:rsid w:val="003D4CAF"/>
    <w:pPr>
      <w:spacing w:before="480" w:after="240"/>
    </w:pPr>
  </w:style>
  <w:style w:type="paragraph" w:styleId="Revision">
    <w:name w:val="Revision"/>
    <w:hidden/>
    <w:uiPriority w:val="99"/>
    <w:semiHidden/>
    <w:rsid w:val="005E7FD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6027</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2025-12-16T14:48:00Z</dcterms:created>
  <dcterms:modified xsi:type="dcterms:W3CDTF">2025-12-16T14:48:00Z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A10-0264/2025</vt:lpwstr>
  </property>
  <property fmtid="{D5CDD505-2E9C-101B-9397-08002B2CF9AE}" pid="4" name="&lt;Type&gt;">
    <vt:lpwstr>RR</vt:lpwstr>
  </property>
</Properties>
</file>