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3910" w14:paraId="4F29A7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3AF251" w14:textId="5454EF58" w:rsidR="00751A4A" w:rsidRPr="004B3910" w:rsidRDefault="00DF020F" w:rsidP="0010095E">
            <w:pPr>
              <w:pStyle w:val="EPName"/>
            </w:pPr>
            <w:r w:rsidRPr="004B3910">
              <w:t>Европейски</w:t>
            </w:r>
            <w:r w:rsidR="00E50EF8" w:rsidRPr="004B3910">
              <w:t xml:space="preserve"> парламент</w:t>
            </w:r>
          </w:p>
          <w:p w14:paraId="7D6EF1D4" w14:textId="466AFD2A" w:rsidR="00751A4A" w:rsidRPr="004B39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3910">
              <w:t>2024</w:t>
            </w:r>
            <w:r w:rsidR="00DF020F">
              <w:t> – </w:t>
            </w:r>
            <w:r w:rsidR="00817416" w:rsidRPr="004B3910">
              <w:t>202</w:t>
            </w:r>
            <w:r w:rsidRPr="004B3910">
              <w:t>9</w:t>
            </w:r>
          </w:p>
        </w:tc>
        <w:tc>
          <w:tcPr>
            <w:tcW w:w="2268" w:type="dxa"/>
            <w:shd w:val="clear" w:color="auto" w:fill="auto"/>
          </w:tcPr>
          <w:p w14:paraId="24403B24" w14:textId="77777777" w:rsidR="00751A4A" w:rsidRPr="004B3910" w:rsidRDefault="00187494" w:rsidP="0010095E">
            <w:pPr>
              <w:pStyle w:val="EPLogo"/>
            </w:pPr>
            <w:r w:rsidRPr="004B3910">
              <w:rPr>
                <w:noProof/>
                <w:lang w:eastAsia="ja-JP"/>
              </w:rPr>
              <w:drawing>
                <wp:inline distT="0" distB="0" distL="0" distR="0" wp14:anchorId="2B588398" wp14:editId="7DBD2B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BEC64" w14:textId="77777777" w:rsidR="00D058B8" w:rsidRPr="004B3910" w:rsidRDefault="00D058B8" w:rsidP="004C5D52">
      <w:pPr>
        <w:pStyle w:val="LineTop"/>
      </w:pPr>
    </w:p>
    <w:p w14:paraId="26488222" w14:textId="77777777" w:rsidR="00680577" w:rsidRPr="004B3910" w:rsidRDefault="00E50EF8" w:rsidP="00680577">
      <w:pPr>
        <w:pStyle w:val="EPBodyTA1"/>
      </w:pPr>
      <w:r w:rsidRPr="004B3910">
        <w:t>ПРИЕТИ ТЕКСТОВЕ</w:t>
      </w:r>
    </w:p>
    <w:p w14:paraId="46B528F8" w14:textId="77777777" w:rsidR="00D058B8" w:rsidRPr="004B3910" w:rsidRDefault="00D058B8" w:rsidP="00D058B8">
      <w:pPr>
        <w:pStyle w:val="LineBottom"/>
      </w:pPr>
    </w:p>
    <w:p w14:paraId="2EF18B09" w14:textId="2488C728" w:rsidR="00E50EF8" w:rsidRPr="004B3910" w:rsidRDefault="00E50EF8" w:rsidP="00E50EF8">
      <w:pPr>
        <w:pStyle w:val="ATHeading1"/>
      </w:pPr>
      <w:bookmarkStart w:id="0" w:name="TANumber"/>
      <w:r w:rsidRPr="004B3910">
        <w:t>P10_TA(2025)0</w:t>
      </w:r>
      <w:r w:rsidR="003E0481">
        <w:rPr>
          <w:lang w:val="en-GB"/>
        </w:rPr>
        <w:t>318</w:t>
      </w:r>
      <w:bookmarkEnd w:id="0"/>
    </w:p>
    <w:p w14:paraId="036FA30D" w14:textId="77777777" w:rsidR="00E50EF8" w:rsidRPr="004B3910" w:rsidRDefault="00E50EF8" w:rsidP="00E50EF8">
      <w:pPr>
        <w:pStyle w:val="ATHeading2"/>
      </w:pPr>
      <w:bookmarkStart w:id="1" w:name="title"/>
      <w:r w:rsidRPr="004B3910">
        <w:t>Изменение на Директивата за алтернативно решаване на потребителски спорове</w:t>
      </w:r>
      <w:bookmarkEnd w:id="1"/>
    </w:p>
    <w:p w14:paraId="6CCEE7D6" w14:textId="77777777" w:rsidR="00E50EF8" w:rsidRPr="004B3910" w:rsidRDefault="00E50EF8" w:rsidP="00E50EF8">
      <w:pPr>
        <w:rPr>
          <w:i/>
          <w:vanish/>
        </w:rPr>
      </w:pPr>
      <w:r w:rsidRPr="004B3910">
        <w:rPr>
          <w:i/>
        </w:rPr>
        <w:fldChar w:fldCharType="begin"/>
      </w:r>
      <w:r w:rsidRPr="004B3910">
        <w:rPr>
          <w:i/>
        </w:rPr>
        <w:instrText xml:space="preserve"> TC"(</w:instrText>
      </w:r>
      <w:bookmarkStart w:id="2" w:name="DocNumber"/>
      <w:r w:rsidRPr="004B3910">
        <w:rPr>
          <w:i/>
        </w:rPr>
        <w:instrText>A10-0249/2025</w:instrText>
      </w:r>
      <w:bookmarkEnd w:id="2"/>
      <w:r w:rsidRPr="004B3910">
        <w:rPr>
          <w:i/>
        </w:rPr>
        <w:instrText xml:space="preserve"> - Докладчик: Лаура Балярин Сереса)"\l3 \n&gt; \* MERGEFORMAT </w:instrText>
      </w:r>
      <w:r w:rsidRPr="004B3910">
        <w:rPr>
          <w:i/>
        </w:rPr>
        <w:fldChar w:fldCharType="end"/>
      </w:r>
    </w:p>
    <w:p w14:paraId="58A0ECD5" w14:textId="77777777" w:rsidR="00E50EF8" w:rsidRPr="004B3910" w:rsidRDefault="00E50EF8" w:rsidP="00E50EF8">
      <w:pPr>
        <w:rPr>
          <w:vanish/>
        </w:rPr>
      </w:pPr>
      <w:bookmarkStart w:id="3" w:name="Commission"/>
      <w:r w:rsidRPr="004B3910">
        <w:rPr>
          <w:vanish/>
        </w:rPr>
        <w:t>Комисия по вътрешния пазар и защита на потребителите</w:t>
      </w:r>
      <w:bookmarkEnd w:id="3"/>
    </w:p>
    <w:p w14:paraId="30AA9D64" w14:textId="77777777" w:rsidR="00E50EF8" w:rsidRPr="004B3910" w:rsidRDefault="00E50EF8" w:rsidP="00E50EF8">
      <w:pPr>
        <w:rPr>
          <w:vanish/>
        </w:rPr>
      </w:pPr>
      <w:bookmarkStart w:id="4" w:name="PE"/>
      <w:r w:rsidRPr="004B3910">
        <w:rPr>
          <w:vanish/>
        </w:rPr>
        <w:t>PE781.128</w:t>
      </w:r>
      <w:bookmarkEnd w:id="4"/>
    </w:p>
    <w:p w14:paraId="1C64E264" w14:textId="66483B92" w:rsidR="00E50EF8" w:rsidRPr="004B3910" w:rsidRDefault="00E50EF8" w:rsidP="00E50EF8">
      <w:pPr>
        <w:pStyle w:val="ATHeading3"/>
      </w:pPr>
      <w:bookmarkStart w:id="5" w:name="Sujet"/>
      <w:r w:rsidRPr="004B3910">
        <w:t xml:space="preserve">Законодателна резолюция на Европейския парламент от </w:t>
      </w:r>
      <w:r w:rsidR="00EF40C4">
        <w:t>16</w:t>
      </w:r>
      <w:r w:rsidR="00DF020F">
        <w:t xml:space="preserve"> декември</w:t>
      </w:r>
      <w:r w:rsidRPr="004B3910">
        <w:t xml:space="preserve"> 2025 г. относно позицията на Съвета на първо четене с оглед на приемането на директива на Европейския парламент и на Съвета за изменение на Директива 2013/11/ЕС за алтернативно решаване на потребителски спорове и за изменение на директиви (ЕС) 2015/2302, (ЕС) 2019/2161 и (ЕС) 2020/1828 вследствие прекратяването на европейската платформа за онлайн решаване на спорове</w:t>
      </w:r>
      <w:bookmarkEnd w:id="5"/>
      <w:r w:rsidRPr="004B3910">
        <w:t xml:space="preserve"> </w:t>
      </w:r>
      <w:bookmarkStart w:id="6" w:name="References"/>
      <w:r w:rsidRPr="004B3910">
        <w:t>(11778/1/2025 – C10-0309/2025 – 2023/0376(COD))</w:t>
      </w:r>
      <w:bookmarkEnd w:id="6"/>
    </w:p>
    <w:p w14:paraId="5D9BE9A1" w14:textId="77777777" w:rsidR="00062B0D" w:rsidRPr="004B3910" w:rsidRDefault="00062B0D" w:rsidP="00062B0D">
      <w:pPr>
        <w:pStyle w:val="NormalBold"/>
      </w:pPr>
      <w:bookmarkStart w:id="7" w:name="TextBodyBegin"/>
      <w:bookmarkEnd w:id="7"/>
      <w:r w:rsidRPr="004B3910">
        <w:t>(Обикновена законодателна процедура: второ четене)</w:t>
      </w:r>
    </w:p>
    <w:p w14:paraId="415EB44F" w14:textId="77777777" w:rsidR="00062B0D" w:rsidRPr="004B3910" w:rsidRDefault="00062B0D" w:rsidP="00062B0D">
      <w:pPr>
        <w:pStyle w:val="EPComma"/>
      </w:pPr>
      <w:r w:rsidRPr="004B3910">
        <w:rPr>
          <w:i/>
          <w:iCs/>
        </w:rPr>
        <w:t>Европейският парламент</w:t>
      </w:r>
      <w:r w:rsidRPr="004B3910">
        <w:t>,</w:t>
      </w:r>
    </w:p>
    <w:p w14:paraId="69381270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позицията на Съвета на първо четене (11778/1/2025 – C10</w:t>
      </w:r>
      <w:r w:rsidRPr="004B3910">
        <w:noBreakHyphen/>
        <w:t>0309/2025),</w:t>
      </w:r>
    </w:p>
    <w:p w14:paraId="2728476D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становището на Европейския икономически и социален комитет от 14 февруари 2024 г.</w:t>
      </w:r>
      <w:r w:rsidRPr="004B3910">
        <w:rPr>
          <w:rStyle w:val="FootnoteReference"/>
        </w:rPr>
        <w:footnoteReference w:id="1"/>
      </w:r>
      <w:r w:rsidRPr="004B3910">
        <w:t>,</w:t>
      </w:r>
    </w:p>
    <w:p w14:paraId="4F48FA49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позицията си на първо четене</w:t>
      </w:r>
      <w:r w:rsidRPr="004B3910">
        <w:rPr>
          <w:rStyle w:val="FootnoteReference"/>
        </w:rPr>
        <w:footnoteReference w:id="2"/>
      </w:r>
      <w:r w:rsidRPr="004B3910">
        <w:t xml:space="preserve"> относно предложението на Комисията до Европейския парламент и до Съвета (COM(2023)0649),</w:t>
      </w:r>
    </w:p>
    <w:p w14:paraId="3DB6AC9E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член 294, параграф 7 от Договора за функционирането на Европейския съюз,</w:t>
      </w:r>
    </w:p>
    <w:p w14:paraId="24090B08" w14:textId="7B6BA532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временното споразумение, одобрено от компетентната комисия в съответствие с член 75, параграф 4 от</w:t>
      </w:r>
      <w:r w:rsidR="00C127F9">
        <w:t xml:space="preserve"> своя</w:t>
      </w:r>
      <w:r w:rsidRPr="004B3910">
        <w:t xml:space="preserve"> Правилник за дейността,</w:t>
      </w:r>
    </w:p>
    <w:p w14:paraId="09F8FF63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>като взе предвид член 68 от своя Правилник за дейността,</w:t>
      </w:r>
    </w:p>
    <w:p w14:paraId="306A2566" w14:textId="77777777" w:rsidR="00062B0D" w:rsidRPr="004B3910" w:rsidRDefault="00062B0D" w:rsidP="00062B0D">
      <w:pPr>
        <w:pStyle w:val="NormalHanging12a"/>
      </w:pPr>
      <w:r w:rsidRPr="004B3910">
        <w:t>–</w:t>
      </w:r>
      <w:r w:rsidRPr="004B3910">
        <w:tab/>
        <w:t xml:space="preserve">като взе предвид препоръката за второ четене на комисията по вътрешния пазар и </w:t>
      </w:r>
      <w:r w:rsidRPr="004B3910">
        <w:lastRenderedPageBreak/>
        <w:t>защита на потребителите (A10-0249/2025),</w:t>
      </w:r>
    </w:p>
    <w:p w14:paraId="732988E0" w14:textId="77777777" w:rsidR="00062B0D" w:rsidRPr="004B3910" w:rsidRDefault="00062B0D" w:rsidP="00062B0D">
      <w:pPr>
        <w:pStyle w:val="NormalHanging12a"/>
      </w:pPr>
      <w:r w:rsidRPr="004B3910">
        <w:t>1.</w:t>
      </w:r>
      <w:r w:rsidRPr="004B3910">
        <w:tab/>
        <w:t>одобрява позицията на Съвета на първо четене;</w:t>
      </w:r>
    </w:p>
    <w:p w14:paraId="1B74FCE0" w14:textId="77777777" w:rsidR="00062B0D" w:rsidRPr="004B3910" w:rsidRDefault="00062B0D" w:rsidP="00062B0D">
      <w:pPr>
        <w:pStyle w:val="NormalHanging12a"/>
      </w:pPr>
      <w:r w:rsidRPr="004B3910">
        <w:t>2.</w:t>
      </w:r>
      <w:r w:rsidRPr="004B3910">
        <w:tab/>
        <w:t>констатира, че актът е приет в съответствие с позицията на Съвета;</w:t>
      </w:r>
    </w:p>
    <w:p w14:paraId="7215EED2" w14:textId="77777777" w:rsidR="00062B0D" w:rsidRPr="004B3910" w:rsidRDefault="00062B0D" w:rsidP="00062B0D">
      <w:pPr>
        <w:pStyle w:val="NormalHanging12a"/>
      </w:pPr>
      <w:r w:rsidRPr="004B3910">
        <w:t>3.</w:t>
      </w:r>
      <w:r w:rsidRPr="004B3910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4E77D923" w14:textId="77777777" w:rsidR="00062B0D" w:rsidRPr="004B3910" w:rsidRDefault="00062B0D" w:rsidP="00062B0D">
      <w:pPr>
        <w:pStyle w:val="NormalHanging12a"/>
      </w:pPr>
      <w:r w:rsidRPr="004B3910">
        <w:t>4.</w:t>
      </w:r>
      <w:r w:rsidRPr="004B3910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3E0481">
        <w:rPr>
          <w:i/>
          <w:iCs/>
        </w:rPr>
        <w:t>Официален вестник на Европейския съюз</w:t>
      </w:r>
      <w:r w:rsidRPr="004B3910">
        <w:t>;</w:t>
      </w:r>
    </w:p>
    <w:p w14:paraId="66D1EE73" w14:textId="7574B3B6" w:rsidR="004B3910" w:rsidRPr="004B3910" w:rsidRDefault="00062B0D" w:rsidP="004B3910">
      <w:pPr>
        <w:pStyle w:val="NormalHanging12a"/>
      </w:pPr>
      <w:r w:rsidRPr="004B3910">
        <w:t>5.</w:t>
      </w:r>
      <w:r w:rsidRPr="004B391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4C1A829" w14:textId="474889AD" w:rsidR="00E365E1" w:rsidRPr="004B3910" w:rsidRDefault="00E365E1" w:rsidP="00E50EF8"/>
    <w:sectPr w:rsidR="00E365E1" w:rsidRPr="004B3910" w:rsidSect="004B39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0337" w14:textId="77777777" w:rsidR="00E50EF8" w:rsidRPr="004B3910" w:rsidRDefault="00E50EF8">
      <w:r w:rsidRPr="004B3910">
        <w:separator/>
      </w:r>
    </w:p>
  </w:endnote>
  <w:endnote w:type="continuationSeparator" w:id="0">
    <w:p w14:paraId="77DAE829" w14:textId="77777777" w:rsidR="00E50EF8" w:rsidRPr="004B3910" w:rsidRDefault="00E50EF8">
      <w:r w:rsidRPr="004B39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CF3DA" w14:textId="77777777" w:rsidR="00064002" w:rsidRPr="004B39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098D9" w14:textId="77777777" w:rsidR="00064002" w:rsidRPr="004B39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EF224" w14:textId="77777777" w:rsidR="00064002" w:rsidRPr="004B39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8FFC" w14:textId="77777777" w:rsidR="00E50EF8" w:rsidRPr="004B3910" w:rsidRDefault="00E50EF8">
      <w:r w:rsidRPr="004B3910">
        <w:separator/>
      </w:r>
    </w:p>
  </w:footnote>
  <w:footnote w:type="continuationSeparator" w:id="0">
    <w:p w14:paraId="7617075C" w14:textId="77777777" w:rsidR="00E50EF8" w:rsidRPr="004B3910" w:rsidRDefault="00E50EF8">
      <w:r w:rsidRPr="004B3910">
        <w:continuationSeparator/>
      </w:r>
    </w:p>
  </w:footnote>
  <w:footnote w:id="1">
    <w:p w14:paraId="3B48DE0E" w14:textId="1E4B4FB1" w:rsidR="00062B0D" w:rsidRPr="004B3910" w:rsidRDefault="00062B0D" w:rsidP="004B3910">
      <w:pPr>
        <w:pStyle w:val="FootnoteText"/>
        <w:ind w:left="567" w:hanging="567"/>
        <w:rPr>
          <w:sz w:val="24"/>
          <w:lang w:val="bg-BG"/>
        </w:rPr>
      </w:pPr>
      <w:r w:rsidRPr="004B3910">
        <w:rPr>
          <w:rStyle w:val="FootnoteReference"/>
          <w:sz w:val="24"/>
          <w:lang w:val="bg-BG"/>
        </w:rPr>
        <w:footnoteRef/>
      </w:r>
      <w:r w:rsidR="004B3910" w:rsidRPr="004B3910">
        <w:rPr>
          <w:sz w:val="24"/>
          <w:lang w:val="bg-BG"/>
        </w:rPr>
        <w:t xml:space="preserve"> </w:t>
      </w:r>
      <w:r w:rsidR="004B3910" w:rsidRPr="004B3910">
        <w:rPr>
          <w:sz w:val="24"/>
          <w:lang w:val="bg-BG"/>
        </w:rPr>
        <w:tab/>
      </w:r>
      <w:r w:rsidRPr="004B3910">
        <w:rPr>
          <w:sz w:val="24"/>
          <w:lang w:val="bg-BG"/>
        </w:rPr>
        <w:t xml:space="preserve">ОВ C, C/2024/2482, 23.4.2024 г., ELI: </w:t>
      </w:r>
      <w:hyperlink r:id="rId1" w:history="1">
        <w:r w:rsidRPr="00DF020F">
          <w:rPr>
            <w:rStyle w:val="Hyperlink"/>
            <w:sz w:val="24"/>
            <w:lang w:val="bg-BG"/>
          </w:rPr>
          <w:t>http://data.europa.eu/eli/C/2024/2482/oj</w:t>
        </w:r>
      </w:hyperlink>
      <w:r w:rsidRPr="004B3910">
        <w:rPr>
          <w:sz w:val="24"/>
          <w:lang w:val="bg-BG"/>
        </w:rPr>
        <w:t>.</w:t>
      </w:r>
    </w:p>
  </w:footnote>
  <w:footnote w:id="2">
    <w:p w14:paraId="757B91CE" w14:textId="66A80A3E" w:rsidR="00062B0D" w:rsidRPr="004B3910" w:rsidRDefault="00062B0D" w:rsidP="004B3910">
      <w:pPr>
        <w:pStyle w:val="FootnoteText"/>
        <w:ind w:left="567" w:hanging="567"/>
        <w:rPr>
          <w:sz w:val="24"/>
          <w:lang w:val="bg-BG"/>
        </w:rPr>
      </w:pPr>
      <w:r w:rsidRPr="004B3910">
        <w:rPr>
          <w:rStyle w:val="FootnoteReference"/>
          <w:sz w:val="24"/>
          <w:lang w:val="bg-BG"/>
        </w:rPr>
        <w:footnoteRef/>
      </w:r>
      <w:r w:rsidR="004B3910" w:rsidRPr="004B3910">
        <w:rPr>
          <w:sz w:val="24"/>
          <w:lang w:val="bg-BG"/>
        </w:rPr>
        <w:t xml:space="preserve"> </w:t>
      </w:r>
      <w:r w:rsidR="004B3910" w:rsidRPr="004B3910">
        <w:rPr>
          <w:sz w:val="24"/>
          <w:lang w:val="bg-BG"/>
        </w:rPr>
        <w:tab/>
      </w:r>
      <w:r w:rsidRPr="004B3910">
        <w:rPr>
          <w:sz w:val="24"/>
          <w:lang w:val="bg-BG"/>
        </w:rPr>
        <w:t xml:space="preserve">ОВ C, C/2025/1028, 27.2.2025 г., ELI: </w:t>
      </w:r>
      <w:hyperlink r:id="rId2" w:history="1">
        <w:r w:rsidRPr="00DF020F">
          <w:rPr>
            <w:rStyle w:val="Hyperlink"/>
            <w:sz w:val="24"/>
            <w:lang w:val="bg-BG"/>
          </w:rPr>
          <w:t>http://data.europa.eu/eli/C/2025/1028/oj</w:t>
        </w:r>
      </w:hyperlink>
      <w:r w:rsidRPr="004B3910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DB17" w14:textId="77777777" w:rsidR="00064002" w:rsidRPr="004B39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0618" w14:textId="77777777" w:rsidR="00064002" w:rsidRPr="004B39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65E2" w14:textId="77777777" w:rsidR="00064002" w:rsidRPr="004B39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8624355">
    <w:abstractNumId w:val="9"/>
  </w:num>
  <w:num w:numId="2" w16cid:durableId="543059998">
    <w:abstractNumId w:val="9"/>
  </w:num>
  <w:num w:numId="3" w16cid:durableId="382751997">
    <w:abstractNumId w:val="7"/>
  </w:num>
  <w:num w:numId="4" w16cid:durableId="350568292">
    <w:abstractNumId w:val="7"/>
  </w:num>
  <w:num w:numId="5" w16cid:durableId="206645704">
    <w:abstractNumId w:val="6"/>
  </w:num>
  <w:num w:numId="6" w16cid:durableId="1442068251">
    <w:abstractNumId w:val="6"/>
  </w:num>
  <w:num w:numId="7" w16cid:durableId="2512445">
    <w:abstractNumId w:val="5"/>
  </w:num>
  <w:num w:numId="8" w16cid:durableId="1836070356">
    <w:abstractNumId w:val="5"/>
  </w:num>
  <w:num w:numId="9" w16cid:durableId="6098059">
    <w:abstractNumId w:val="4"/>
  </w:num>
  <w:num w:numId="10" w16cid:durableId="296566706">
    <w:abstractNumId w:val="4"/>
  </w:num>
  <w:num w:numId="11" w16cid:durableId="1027409699">
    <w:abstractNumId w:val="8"/>
  </w:num>
  <w:num w:numId="12" w16cid:durableId="638650297">
    <w:abstractNumId w:val="8"/>
  </w:num>
  <w:num w:numId="13" w16cid:durableId="990056532">
    <w:abstractNumId w:val="3"/>
  </w:num>
  <w:num w:numId="14" w16cid:durableId="468135167">
    <w:abstractNumId w:val="3"/>
  </w:num>
  <w:num w:numId="15" w16cid:durableId="1576816104">
    <w:abstractNumId w:val="2"/>
  </w:num>
  <w:num w:numId="16" w16cid:durableId="766926633">
    <w:abstractNumId w:val="2"/>
  </w:num>
  <w:num w:numId="17" w16cid:durableId="1372682611">
    <w:abstractNumId w:val="1"/>
  </w:num>
  <w:num w:numId="18" w16cid:durableId="1739788670">
    <w:abstractNumId w:val="1"/>
  </w:num>
  <w:num w:numId="19" w16cid:durableId="128087713">
    <w:abstractNumId w:val="0"/>
  </w:num>
  <w:num w:numId="20" w16cid:durableId="1213611905">
    <w:abstractNumId w:val="0"/>
  </w:num>
  <w:num w:numId="21" w16cid:durableId="1476919524">
    <w:abstractNumId w:val="9"/>
  </w:num>
  <w:num w:numId="22" w16cid:durableId="1414740884">
    <w:abstractNumId w:val="7"/>
  </w:num>
  <w:num w:numId="23" w16cid:durableId="1320577494">
    <w:abstractNumId w:val="6"/>
  </w:num>
  <w:num w:numId="24" w16cid:durableId="1679383003">
    <w:abstractNumId w:val="5"/>
  </w:num>
  <w:num w:numId="25" w16cid:durableId="234509299">
    <w:abstractNumId w:val="4"/>
  </w:num>
  <w:num w:numId="26" w16cid:durableId="1950621098">
    <w:abstractNumId w:val="8"/>
  </w:num>
  <w:num w:numId="27" w16cid:durableId="724186353">
    <w:abstractNumId w:val="3"/>
  </w:num>
  <w:num w:numId="28" w16cid:durableId="360742325">
    <w:abstractNumId w:val="2"/>
  </w:num>
  <w:num w:numId="29" w16cid:durableId="1750153503">
    <w:abstractNumId w:val="1"/>
  </w:num>
  <w:num w:numId="30" w16cid:durableId="1232928799">
    <w:abstractNumId w:val="0"/>
  </w:num>
  <w:num w:numId="31" w16cid:durableId="160892450">
    <w:abstractNumId w:val="9"/>
  </w:num>
  <w:num w:numId="32" w16cid:durableId="9724472">
    <w:abstractNumId w:val="7"/>
  </w:num>
  <w:num w:numId="33" w16cid:durableId="813835498">
    <w:abstractNumId w:val="6"/>
  </w:num>
  <w:num w:numId="34" w16cid:durableId="1924759075">
    <w:abstractNumId w:val="5"/>
  </w:num>
  <w:num w:numId="35" w16cid:durableId="1778325929">
    <w:abstractNumId w:val="4"/>
  </w:num>
  <w:num w:numId="36" w16cid:durableId="1845198846">
    <w:abstractNumId w:val="8"/>
  </w:num>
  <w:num w:numId="37" w16cid:durableId="687103727">
    <w:abstractNumId w:val="3"/>
  </w:num>
  <w:num w:numId="38" w16cid:durableId="815031534">
    <w:abstractNumId w:val="2"/>
  </w:num>
  <w:num w:numId="39" w16cid:durableId="891236830">
    <w:abstractNumId w:val="1"/>
  </w:num>
  <w:num w:numId="40" w16cid:durableId="160705302">
    <w:abstractNumId w:val="0"/>
  </w:num>
  <w:num w:numId="41" w16cid:durableId="528221391">
    <w:abstractNumId w:val="10"/>
  </w:num>
  <w:num w:numId="42" w16cid:durableId="1013411335">
    <w:abstractNumId w:val="10"/>
  </w:num>
  <w:num w:numId="43" w16cid:durableId="419983233">
    <w:abstractNumId w:val="10"/>
  </w:num>
  <w:num w:numId="44" w16cid:durableId="997996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BG"/>
    <w:docVar w:name="dvnumam" w:val="0"/>
    <w:docVar w:name="dvpe" w:val="781.128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директива на Европейския парламент и на Съвета за изменение на Директива 2013/11/ЕС за алтернативно решаване на потребителски спорове и за изменение на директиви (ЕС) 2015/2302, (ЕС) 2019/2161 и (ЕС) 2020/1828 вследствие прекратяването на европейската платформа за онлайн решаване на спорове(11778/1/2025 – C10-0309/2025 – 2023/0376(COD))"/>
  </w:docVars>
  <w:rsids>
    <w:rsidRoot w:val="00E50EF8"/>
    <w:rsid w:val="00002272"/>
    <w:rsid w:val="00062B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481"/>
    <w:rsid w:val="003E15D4"/>
    <w:rsid w:val="00411CCE"/>
    <w:rsid w:val="0041666E"/>
    <w:rsid w:val="00421060"/>
    <w:rsid w:val="00425BE9"/>
    <w:rsid w:val="00471C19"/>
    <w:rsid w:val="004867E3"/>
    <w:rsid w:val="00494A28"/>
    <w:rsid w:val="004B391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F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7F9"/>
    <w:rsid w:val="00C23CD4"/>
    <w:rsid w:val="00C61C0C"/>
    <w:rsid w:val="00C941CB"/>
    <w:rsid w:val="00CC2357"/>
    <w:rsid w:val="00CF071A"/>
    <w:rsid w:val="00D058B8"/>
    <w:rsid w:val="00D56C11"/>
    <w:rsid w:val="00D81B58"/>
    <w:rsid w:val="00D834A0"/>
    <w:rsid w:val="00D872DF"/>
    <w:rsid w:val="00D91E21"/>
    <w:rsid w:val="00DA7FCD"/>
    <w:rsid w:val="00DF020F"/>
    <w:rsid w:val="00E35A74"/>
    <w:rsid w:val="00E365E1"/>
    <w:rsid w:val="00E50EF8"/>
    <w:rsid w:val="00E820A4"/>
    <w:rsid w:val="00EB006A"/>
    <w:rsid w:val="00EB4772"/>
    <w:rsid w:val="00ED169E"/>
    <w:rsid w:val="00ED4235"/>
    <w:rsid w:val="00EF40C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36B46"/>
  <w15:chartTrackingRefBased/>
  <w15:docId w15:val="{A91B2EB3-642C-4CA5-92CD-966F899C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2B0D"/>
    <w:pPr>
      <w:spacing w:before="480" w:after="240"/>
    </w:pPr>
  </w:style>
  <w:style w:type="paragraph" w:customStyle="1" w:styleId="NormalBold">
    <w:name w:val="NormalBold"/>
    <w:basedOn w:val="Normal"/>
    <w:rsid w:val="00062B0D"/>
    <w:rPr>
      <w:b/>
    </w:rPr>
  </w:style>
  <w:style w:type="paragraph" w:customStyle="1" w:styleId="NormalHanging12a">
    <w:name w:val="NormalHanging12a"/>
    <w:basedOn w:val="Normal"/>
    <w:rsid w:val="00062B0D"/>
    <w:pPr>
      <w:spacing w:after="240"/>
      <w:ind w:left="567" w:hanging="567"/>
    </w:pPr>
  </w:style>
  <w:style w:type="character" w:styleId="Hyperlink">
    <w:name w:val="Hyperlink"/>
    <w:basedOn w:val="DefaultParagraphFont"/>
    <w:rsid w:val="00DF02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20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020F"/>
    <w:rPr>
      <w:sz w:val="24"/>
      <w:lang w:val="bg-BG"/>
    </w:rPr>
  </w:style>
  <w:style w:type="character" w:styleId="CommentReference">
    <w:name w:val="annotation reference"/>
    <w:basedOn w:val="DefaultParagraphFont"/>
    <w:rsid w:val="00C127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27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27F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12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27F9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2025-12-16T12:41:00Z</dcterms:created>
  <dcterms:modified xsi:type="dcterms:W3CDTF">2025-12-16T12:41:00Z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