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23663" w14:paraId="0258118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BFA32A6" w14:textId="77777777" w:rsidR="00751A4A" w:rsidRPr="00023663" w:rsidRDefault="005F55FF" w:rsidP="0010095E">
            <w:pPr>
              <w:pStyle w:val="EPName"/>
            </w:pPr>
            <w:r w:rsidRPr="00023663">
              <w:t>Europos Parlamentas</w:t>
            </w:r>
          </w:p>
          <w:p w14:paraId="2875F2D5" w14:textId="77777777" w:rsidR="00751A4A" w:rsidRPr="0002366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23663">
              <w:t>2024</w:t>
            </w:r>
            <w:r w:rsidR="00817416" w:rsidRPr="00023663">
              <w:t>-202</w:t>
            </w:r>
            <w:r w:rsidRPr="00023663">
              <w:t>9</w:t>
            </w:r>
          </w:p>
        </w:tc>
        <w:tc>
          <w:tcPr>
            <w:tcW w:w="2268" w:type="dxa"/>
            <w:shd w:val="clear" w:color="auto" w:fill="auto"/>
          </w:tcPr>
          <w:p w14:paraId="4FF197C4" w14:textId="77777777" w:rsidR="00751A4A" w:rsidRPr="00023663" w:rsidRDefault="00187494" w:rsidP="0010095E">
            <w:pPr>
              <w:pStyle w:val="EPLogo"/>
            </w:pPr>
            <w:r w:rsidRPr="00023663">
              <w:rPr>
                <w:noProof/>
                <w:lang w:eastAsia="ja-JP"/>
              </w:rPr>
              <w:drawing>
                <wp:inline distT="0" distB="0" distL="0" distR="0" wp14:anchorId="5656B484" wp14:editId="5758102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A40012" w14:textId="77777777" w:rsidR="00D058B8" w:rsidRPr="00023663" w:rsidRDefault="00D058B8" w:rsidP="004C5D52">
      <w:pPr>
        <w:pStyle w:val="LineTop"/>
      </w:pPr>
    </w:p>
    <w:p w14:paraId="39A3583B" w14:textId="77777777" w:rsidR="00680577" w:rsidRPr="00023663" w:rsidRDefault="005F55FF" w:rsidP="00680577">
      <w:pPr>
        <w:pStyle w:val="EPBodyTA1"/>
      </w:pPr>
      <w:r w:rsidRPr="00023663">
        <w:t>PRIIMTI TEKSTAI</w:t>
      </w:r>
    </w:p>
    <w:p w14:paraId="4A7CA7EA" w14:textId="77777777" w:rsidR="00D058B8" w:rsidRPr="00023663" w:rsidRDefault="00D058B8" w:rsidP="00D058B8">
      <w:pPr>
        <w:pStyle w:val="LineBottom"/>
      </w:pPr>
    </w:p>
    <w:p w14:paraId="2B429A6B" w14:textId="4D97E589" w:rsidR="005F55FF" w:rsidRPr="00023663" w:rsidRDefault="005F55FF" w:rsidP="005F55FF">
      <w:pPr>
        <w:pStyle w:val="ATHeading1"/>
      </w:pPr>
      <w:bookmarkStart w:id="0" w:name="TANumber"/>
      <w:r w:rsidRPr="00023663">
        <w:t>P10_TA(2025)0</w:t>
      </w:r>
      <w:r w:rsidR="00AF19EC">
        <w:t>318</w:t>
      </w:r>
      <w:bookmarkEnd w:id="0"/>
    </w:p>
    <w:p w14:paraId="352ACF9E" w14:textId="77777777" w:rsidR="005F55FF" w:rsidRPr="00023663" w:rsidRDefault="005F55FF" w:rsidP="005F55FF">
      <w:pPr>
        <w:pStyle w:val="ATHeading2"/>
      </w:pPr>
      <w:bookmarkStart w:id="1" w:name="title"/>
      <w:r w:rsidRPr="00023663">
        <w:t>Direktyvos dėl alternatyvaus vartotojų ginčų sprendimo dalinis keitimas</w:t>
      </w:r>
      <w:bookmarkEnd w:id="1"/>
    </w:p>
    <w:p w14:paraId="466BA495" w14:textId="77777777" w:rsidR="005F55FF" w:rsidRPr="00023663" w:rsidRDefault="005F55FF" w:rsidP="005F55FF">
      <w:pPr>
        <w:rPr>
          <w:i/>
          <w:vanish/>
        </w:rPr>
      </w:pPr>
      <w:r w:rsidRPr="00023663">
        <w:rPr>
          <w:i/>
        </w:rPr>
        <w:fldChar w:fldCharType="begin"/>
      </w:r>
      <w:r w:rsidRPr="00023663">
        <w:rPr>
          <w:i/>
        </w:rPr>
        <w:instrText xml:space="preserve"> TC"(</w:instrText>
      </w:r>
      <w:bookmarkStart w:id="2" w:name="DocNumber"/>
      <w:r w:rsidRPr="00023663">
        <w:rPr>
          <w:i/>
        </w:rPr>
        <w:instrText>A10-0249/2025</w:instrText>
      </w:r>
      <w:bookmarkEnd w:id="2"/>
      <w:r w:rsidRPr="00023663">
        <w:rPr>
          <w:i/>
        </w:rPr>
        <w:instrText xml:space="preserve"> - Pranešėja: Laura Ballarín Cereza)"\l3 \n&gt; \* MERGEFORMAT </w:instrText>
      </w:r>
      <w:r w:rsidRPr="00023663">
        <w:rPr>
          <w:i/>
        </w:rPr>
        <w:fldChar w:fldCharType="end"/>
      </w:r>
    </w:p>
    <w:p w14:paraId="2A95CD35" w14:textId="77777777" w:rsidR="005F55FF" w:rsidRPr="00023663" w:rsidRDefault="005F55FF" w:rsidP="005F55FF">
      <w:pPr>
        <w:rPr>
          <w:vanish/>
        </w:rPr>
      </w:pPr>
      <w:bookmarkStart w:id="3" w:name="Commission"/>
      <w:r w:rsidRPr="00023663">
        <w:rPr>
          <w:vanish/>
        </w:rPr>
        <w:t>Vidaus rinkos ir vartotojų apsaugos komitetas</w:t>
      </w:r>
      <w:bookmarkEnd w:id="3"/>
    </w:p>
    <w:p w14:paraId="4FEE455E" w14:textId="77777777" w:rsidR="005F55FF" w:rsidRPr="00023663" w:rsidRDefault="005F55FF" w:rsidP="005F55FF">
      <w:pPr>
        <w:rPr>
          <w:vanish/>
        </w:rPr>
      </w:pPr>
      <w:bookmarkStart w:id="4" w:name="PE"/>
      <w:r w:rsidRPr="00023663">
        <w:rPr>
          <w:vanish/>
        </w:rPr>
        <w:t>PE781.128</w:t>
      </w:r>
      <w:bookmarkEnd w:id="4"/>
    </w:p>
    <w:p w14:paraId="02E7FC32" w14:textId="05116E5E" w:rsidR="005F55FF" w:rsidRPr="00023663" w:rsidRDefault="005F55FF" w:rsidP="005F55FF">
      <w:pPr>
        <w:pStyle w:val="ATHeading3"/>
      </w:pPr>
      <w:bookmarkStart w:id="5" w:name="Sujet"/>
      <w:r w:rsidRPr="00023663">
        <w:t xml:space="preserve">2025 m. </w:t>
      </w:r>
      <w:r w:rsidR="00F27E22" w:rsidRPr="00023663">
        <w:t>gruodžio</w:t>
      </w:r>
      <w:r w:rsidRPr="00023663">
        <w:t xml:space="preserve"> </w:t>
      </w:r>
      <w:r w:rsidR="00F27E22">
        <w:t>16</w:t>
      </w:r>
      <w:r w:rsidRPr="00023663">
        <w:t xml:space="preserve"> d. Europos Parlamento teisėkūros rezoliucija dėl per pirmąjį svarstymą priimtos Tarybos pozicijos, siekiant priimti Europos Parlamento ir Tarybos direktyvą, kuria iš dalies keičiama Direktyva 2013/11/ES dėl alternatyvaus vartotojų ginčų sprendimo ir kuria iš dalies keičiamos direktyvos (ES) 2015/2302, (ES) 2019/2161 bei (ES) 2020/1828, nutraukus Europos elektroninio ginčų sprendimo platformos veiklą</w:t>
      </w:r>
      <w:bookmarkEnd w:id="5"/>
      <w:r w:rsidRPr="00023663">
        <w:t xml:space="preserve"> </w:t>
      </w:r>
      <w:bookmarkStart w:id="6" w:name="References"/>
      <w:r w:rsidRPr="00023663">
        <w:t>(11778/1/2025 – C10-0309/2025 – 2023/0376(COD))</w:t>
      </w:r>
      <w:bookmarkEnd w:id="6"/>
    </w:p>
    <w:p w14:paraId="18C2C3DD" w14:textId="77777777" w:rsidR="005F55FF" w:rsidRPr="00023663" w:rsidRDefault="005F55FF" w:rsidP="005F55FF"/>
    <w:p w14:paraId="35877CCA" w14:textId="77777777" w:rsidR="00C252B2" w:rsidRPr="00023663" w:rsidRDefault="00C252B2" w:rsidP="00C252B2">
      <w:pPr>
        <w:pStyle w:val="NormalBold"/>
      </w:pPr>
      <w:bookmarkStart w:id="7" w:name="TextBodyBegin"/>
      <w:bookmarkEnd w:id="7"/>
      <w:r w:rsidRPr="00023663">
        <w:t>(Įprasta teisėkūros procedūra: antrasis svarstymas)</w:t>
      </w:r>
    </w:p>
    <w:p w14:paraId="29CB28C0" w14:textId="77777777" w:rsidR="00C252B2" w:rsidRPr="00023663" w:rsidRDefault="00C252B2" w:rsidP="00C252B2">
      <w:pPr>
        <w:pStyle w:val="EPComma"/>
      </w:pPr>
      <w:r w:rsidRPr="00023663">
        <w:rPr>
          <w:i/>
        </w:rPr>
        <w:t>Europos Parlamentas</w:t>
      </w:r>
      <w:r w:rsidRPr="00023663">
        <w:t>,</w:t>
      </w:r>
    </w:p>
    <w:p w14:paraId="71E71FA5" w14:textId="77777777" w:rsidR="00C252B2" w:rsidRPr="00023663" w:rsidRDefault="00C252B2" w:rsidP="00C252B2">
      <w:pPr>
        <w:pStyle w:val="NormalHanging12a"/>
      </w:pPr>
      <w:r w:rsidRPr="00023663">
        <w:t>–</w:t>
      </w:r>
      <w:r w:rsidRPr="00023663">
        <w:tab/>
        <w:t>atsižvelgdamas į per pirmąjį svarstymą priimtą Tarybos poziciją (11778/1/2025 – C10</w:t>
      </w:r>
      <w:r w:rsidRPr="00023663">
        <w:noBreakHyphen/>
        <w:t>0309/2025),</w:t>
      </w:r>
    </w:p>
    <w:p w14:paraId="4AB5EB3C" w14:textId="77777777" w:rsidR="00C252B2" w:rsidRPr="00023663" w:rsidRDefault="00C252B2" w:rsidP="00C252B2">
      <w:pPr>
        <w:pStyle w:val="NormalHanging12a"/>
      </w:pPr>
      <w:r w:rsidRPr="00023663">
        <w:t>–</w:t>
      </w:r>
      <w:r w:rsidRPr="00023663">
        <w:tab/>
        <w:t>atsižvelgdamas į 2024 m. vasario 14 d. Europos ekonomikos ir socialinių reikalų komiteto nuomonę</w:t>
      </w:r>
      <w:r w:rsidRPr="00023663">
        <w:rPr>
          <w:rStyle w:val="FootnoteReference"/>
        </w:rPr>
        <w:footnoteReference w:id="1"/>
      </w:r>
      <w:r w:rsidRPr="00023663">
        <w:t>,</w:t>
      </w:r>
    </w:p>
    <w:p w14:paraId="400E4506" w14:textId="77777777" w:rsidR="00C252B2" w:rsidRPr="00023663" w:rsidRDefault="00C252B2" w:rsidP="00C252B2">
      <w:pPr>
        <w:pStyle w:val="NormalHanging12a"/>
      </w:pPr>
      <w:r w:rsidRPr="00023663">
        <w:t>–</w:t>
      </w:r>
      <w:r w:rsidRPr="00023663">
        <w:tab/>
        <w:t>atsižvelgdamas į savo poziciją dėl Komisijos pasiūlymo Europos Parlamentui ir Tarybai (COM(2023)0649) per pirmąjį svarstymą</w:t>
      </w:r>
      <w:r w:rsidRPr="00023663">
        <w:rPr>
          <w:rStyle w:val="FootnoteReference"/>
        </w:rPr>
        <w:footnoteReference w:id="2"/>
      </w:r>
      <w:r w:rsidRPr="00023663">
        <w:t>,</w:t>
      </w:r>
    </w:p>
    <w:p w14:paraId="7E7AC40D" w14:textId="77777777" w:rsidR="00C252B2" w:rsidRPr="00023663" w:rsidRDefault="00C252B2" w:rsidP="00C252B2">
      <w:pPr>
        <w:pStyle w:val="NormalHanging12a"/>
      </w:pPr>
      <w:r w:rsidRPr="00023663">
        <w:t>–</w:t>
      </w:r>
      <w:r w:rsidRPr="00023663">
        <w:tab/>
        <w:t>atsižvelgdamas į Sutarties dėl Europos Sąjungos veikimo 294 straipsnio 7 dalį,</w:t>
      </w:r>
    </w:p>
    <w:p w14:paraId="46C034DD" w14:textId="77777777" w:rsidR="00C252B2" w:rsidRPr="00023663" w:rsidRDefault="00C252B2" w:rsidP="00C252B2">
      <w:pPr>
        <w:pStyle w:val="NormalHanging12a"/>
      </w:pPr>
      <w:r w:rsidRPr="00023663">
        <w:t>–</w:t>
      </w:r>
      <w:r w:rsidRPr="00023663">
        <w:tab/>
        <w:t>atsižvelgdamas į preliminarų susitarimą, kurį atsakingas komitetas patvirtino pagal Darbo tvarkos taisyklių 75 straipsnio 4 dalį,</w:t>
      </w:r>
    </w:p>
    <w:p w14:paraId="56B8CBCA" w14:textId="77777777" w:rsidR="00C252B2" w:rsidRPr="00023663" w:rsidRDefault="00C252B2" w:rsidP="00C252B2">
      <w:pPr>
        <w:pStyle w:val="NormalHanging12a"/>
      </w:pPr>
      <w:r w:rsidRPr="00023663">
        <w:t>–</w:t>
      </w:r>
      <w:r w:rsidRPr="00023663">
        <w:tab/>
        <w:t>atsižvelgdamas į Darbo tvarkos taisyklių 68 straipsnį,</w:t>
      </w:r>
    </w:p>
    <w:p w14:paraId="0A6EE57E" w14:textId="77777777" w:rsidR="00C252B2" w:rsidRPr="00023663" w:rsidRDefault="00C252B2" w:rsidP="00C252B2">
      <w:pPr>
        <w:pStyle w:val="NormalHanging12a"/>
      </w:pPr>
      <w:r w:rsidRPr="00023663">
        <w:t>–</w:t>
      </w:r>
      <w:r w:rsidRPr="00023663">
        <w:tab/>
        <w:t>atsižvelgdamas į Vidaus rinkos ir vartotojų apsaugos komiteto rekomendaciją antrajam svarstymui (A10-0249/2025),</w:t>
      </w:r>
    </w:p>
    <w:p w14:paraId="5B66D5D5" w14:textId="77777777" w:rsidR="00C252B2" w:rsidRPr="00023663" w:rsidRDefault="00C252B2" w:rsidP="00C252B2">
      <w:pPr>
        <w:pStyle w:val="NormalHanging12a"/>
      </w:pPr>
      <w:r w:rsidRPr="00023663">
        <w:lastRenderedPageBreak/>
        <w:t>1.</w:t>
      </w:r>
      <w:r w:rsidRPr="00023663">
        <w:tab/>
        <w:t>pritaria per pirmąjį svarstymą priimtai Tarybos pozicijai;</w:t>
      </w:r>
    </w:p>
    <w:p w14:paraId="13263C06" w14:textId="77777777" w:rsidR="00C252B2" w:rsidRPr="00023663" w:rsidRDefault="00C252B2" w:rsidP="00C252B2">
      <w:pPr>
        <w:pStyle w:val="NormalHanging12a"/>
      </w:pPr>
      <w:r w:rsidRPr="00023663">
        <w:t>2.</w:t>
      </w:r>
      <w:r w:rsidRPr="00023663">
        <w:tab/>
        <w:t>pažymi, kad aktas priimtas remiantis Tarybos pozicija;</w:t>
      </w:r>
    </w:p>
    <w:p w14:paraId="3CD97E62" w14:textId="2735A2EF" w:rsidR="00C252B2" w:rsidRPr="00023663" w:rsidRDefault="00C252B2" w:rsidP="00C252B2">
      <w:pPr>
        <w:pStyle w:val="NormalHanging12a"/>
      </w:pPr>
      <w:r w:rsidRPr="00023663">
        <w:t>3.</w:t>
      </w:r>
      <w:r w:rsidRPr="00023663">
        <w:tab/>
        <w:t>paveda Pirmininkei pasirašyti aktą su Tarybos Pirminink</w:t>
      </w:r>
      <w:r w:rsidR="003A3C9E">
        <w:t>u</w:t>
      </w:r>
      <w:r w:rsidRPr="00023663">
        <w:t xml:space="preserve"> pagal Sutarties dėl Europos Sąjungos veikimo 297 straipsnio 1 dalį;</w:t>
      </w:r>
    </w:p>
    <w:p w14:paraId="7ED24506" w14:textId="4FB870A8" w:rsidR="00C252B2" w:rsidRPr="00023663" w:rsidRDefault="00C252B2" w:rsidP="00C252B2">
      <w:pPr>
        <w:pStyle w:val="NormalHanging12a"/>
      </w:pPr>
      <w:r w:rsidRPr="00023663">
        <w:t>4.</w:t>
      </w:r>
      <w:r w:rsidRPr="00023663">
        <w:tab/>
        <w:t xml:space="preserve">paveda generaliniam sekretoriui pasirašyti aktą, patikrinus, ar tinkamai įvykdytos visos procedūros, ir, susitarus su Tarybos generaliniu sekretoriumi, pasirūpinti, kad šis aktas būtų paskelbtas </w:t>
      </w:r>
      <w:r w:rsidRPr="00023663">
        <w:rPr>
          <w:i/>
        </w:rPr>
        <w:t>Europos Sąjungos oficialiajame leidinyje</w:t>
      </w:r>
      <w:r w:rsidRPr="00023663">
        <w:t>;</w:t>
      </w:r>
    </w:p>
    <w:p w14:paraId="7EEDF290" w14:textId="71C6C1F5" w:rsidR="00E365E1" w:rsidRPr="00023663" w:rsidRDefault="00C252B2" w:rsidP="00AF19EC">
      <w:pPr>
        <w:pStyle w:val="NormalHanging12a"/>
      </w:pPr>
      <w:r w:rsidRPr="00023663">
        <w:t>5.</w:t>
      </w:r>
      <w:r w:rsidRPr="00023663">
        <w:tab/>
        <w:t>paveda Pirmininkei perduoti Parlamento poziciją Tarybai, Komisijai ir nacionaliniams parlamentams.</w:t>
      </w:r>
    </w:p>
    <w:sectPr w:rsidR="00E365E1" w:rsidRPr="00023663" w:rsidSect="0002366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71E62" w14:textId="77777777" w:rsidR="005F55FF" w:rsidRPr="00023663" w:rsidRDefault="005F55FF">
      <w:r w:rsidRPr="00023663">
        <w:separator/>
      </w:r>
    </w:p>
  </w:endnote>
  <w:endnote w:type="continuationSeparator" w:id="0">
    <w:p w14:paraId="5BF09131" w14:textId="77777777" w:rsidR="005F55FF" w:rsidRPr="00023663" w:rsidRDefault="005F55FF">
      <w:r w:rsidRPr="000236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C5EED" w14:textId="77777777" w:rsidR="00064002" w:rsidRPr="0002366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BC887" w14:textId="77777777" w:rsidR="00064002" w:rsidRPr="0002366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D27AA" w14:textId="77777777" w:rsidR="00064002" w:rsidRPr="0002366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20D2D" w14:textId="77777777" w:rsidR="005F55FF" w:rsidRPr="00023663" w:rsidRDefault="005F55FF">
      <w:r w:rsidRPr="00023663">
        <w:separator/>
      </w:r>
    </w:p>
  </w:footnote>
  <w:footnote w:type="continuationSeparator" w:id="0">
    <w:p w14:paraId="1319CF5A" w14:textId="77777777" w:rsidR="005F55FF" w:rsidRPr="00023663" w:rsidRDefault="005F55FF">
      <w:r w:rsidRPr="00023663">
        <w:continuationSeparator/>
      </w:r>
    </w:p>
  </w:footnote>
  <w:footnote w:id="1">
    <w:p w14:paraId="1A0F647F" w14:textId="297CDDFA" w:rsidR="00C252B2" w:rsidRPr="00023663" w:rsidRDefault="00C252B2" w:rsidP="00023663">
      <w:pPr>
        <w:pStyle w:val="FootnoteText"/>
        <w:ind w:left="567" w:hanging="567"/>
        <w:rPr>
          <w:sz w:val="24"/>
          <w:lang w:val="lt-LT"/>
        </w:rPr>
      </w:pPr>
      <w:r w:rsidRPr="00023663">
        <w:rPr>
          <w:rStyle w:val="FootnoteReference"/>
          <w:sz w:val="24"/>
          <w:lang w:val="lt-LT"/>
        </w:rPr>
        <w:footnoteRef/>
      </w:r>
      <w:r w:rsidR="00023663" w:rsidRPr="00023663">
        <w:rPr>
          <w:sz w:val="24"/>
          <w:lang w:val="lt-LT"/>
        </w:rPr>
        <w:t xml:space="preserve"> </w:t>
      </w:r>
      <w:r w:rsidR="00023663" w:rsidRPr="00023663">
        <w:rPr>
          <w:sz w:val="24"/>
          <w:lang w:val="lt-LT"/>
        </w:rPr>
        <w:tab/>
      </w:r>
      <w:r w:rsidRPr="00023663">
        <w:rPr>
          <w:sz w:val="24"/>
          <w:lang w:val="lt-LT"/>
        </w:rPr>
        <w:t xml:space="preserve">OL C, C/2024/2482, 2024 4 23, ELI: </w:t>
      </w:r>
      <w:hyperlink r:id="rId1" w:history="1">
        <w:r w:rsidRPr="00F27E22">
          <w:rPr>
            <w:rStyle w:val="Hyperlink"/>
            <w:sz w:val="24"/>
            <w:lang w:val="lt-LT"/>
          </w:rPr>
          <w:t>http://data.europa.eu/eli/C/2024/2482/oj</w:t>
        </w:r>
      </w:hyperlink>
      <w:r w:rsidRPr="00023663">
        <w:rPr>
          <w:sz w:val="24"/>
          <w:lang w:val="lt-LT"/>
        </w:rPr>
        <w:t>.</w:t>
      </w:r>
    </w:p>
  </w:footnote>
  <w:footnote w:id="2">
    <w:p w14:paraId="5B8F1A8D" w14:textId="523DE37D" w:rsidR="00C252B2" w:rsidRPr="00023663" w:rsidRDefault="00C252B2" w:rsidP="00023663">
      <w:pPr>
        <w:pStyle w:val="FootnoteText"/>
        <w:ind w:left="567" w:hanging="567"/>
        <w:rPr>
          <w:sz w:val="24"/>
          <w:lang w:val="lt-LT"/>
        </w:rPr>
      </w:pPr>
      <w:r w:rsidRPr="00023663">
        <w:rPr>
          <w:rStyle w:val="FootnoteReference"/>
          <w:sz w:val="24"/>
          <w:lang w:val="lt-LT"/>
        </w:rPr>
        <w:footnoteRef/>
      </w:r>
      <w:r w:rsidR="00023663" w:rsidRPr="00023663">
        <w:rPr>
          <w:sz w:val="24"/>
          <w:lang w:val="lt-LT"/>
        </w:rPr>
        <w:t xml:space="preserve"> </w:t>
      </w:r>
      <w:r w:rsidR="00023663" w:rsidRPr="00023663">
        <w:rPr>
          <w:sz w:val="24"/>
          <w:lang w:val="lt-LT"/>
        </w:rPr>
        <w:tab/>
      </w:r>
      <w:r w:rsidRPr="00023663">
        <w:rPr>
          <w:sz w:val="24"/>
          <w:lang w:val="lt-LT"/>
        </w:rPr>
        <w:t xml:space="preserve">OL C, C/2025/1028, 2025 2 27, ELI: </w:t>
      </w:r>
      <w:hyperlink r:id="rId2" w:history="1">
        <w:r w:rsidRPr="00F27E22">
          <w:rPr>
            <w:rStyle w:val="Hyperlink"/>
            <w:sz w:val="24"/>
            <w:lang w:val="lt-LT"/>
          </w:rPr>
          <w:t>http://data.europa.eu/eli/C/2025/1028/oj</w:t>
        </w:r>
      </w:hyperlink>
      <w:r w:rsidRPr="00023663">
        <w:rPr>
          <w:sz w:val="24"/>
          <w:lang w:val="lt-L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356F2" w14:textId="77777777" w:rsidR="00064002" w:rsidRPr="0002366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E4CA" w14:textId="77777777" w:rsidR="00064002" w:rsidRPr="0002366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73192" w14:textId="77777777" w:rsidR="00064002" w:rsidRPr="0002366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44413919">
    <w:abstractNumId w:val="9"/>
  </w:num>
  <w:num w:numId="2" w16cid:durableId="56246264">
    <w:abstractNumId w:val="9"/>
  </w:num>
  <w:num w:numId="3" w16cid:durableId="385842119">
    <w:abstractNumId w:val="7"/>
  </w:num>
  <w:num w:numId="4" w16cid:durableId="348339079">
    <w:abstractNumId w:val="7"/>
  </w:num>
  <w:num w:numId="5" w16cid:durableId="600338644">
    <w:abstractNumId w:val="6"/>
  </w:num>
  <w:num w:numId="6" w16cid:durableId="1804493751">
    <w:abstractNumId w:val="6"/>
  </w:num>
  <w:num w:numId="7" w16cid:durableId="1026442840">
    <w:abstractNumId w:val="5"/>
  </w:num>
  <w:num w:numId="8" w16cid:durableId="324095030">
    <w:abstractNumId w:val="5"/>
  </w:num>
  <w:num w:numId="9" w16cid:durableId="1700735115">
    <w:abstractNumId w:val="4"/>
  </w:num>
  <w:num w:numId="10" w16cid:durableId="450322081">
    <w:abstractNumId w:val="4"/>
  </w:num>
  <w:num w:numId="11" w16cid:durableId="2063409002">
    <w:abstractNumId w:val="8"/>
  </w:num>
  <w:num w:numId="12" w16cid:durableId="1778669715">
    <w:abstractNumId w:val="8"/>
  </w:num>
  <w:num w:numId="13" w16cid:durableId="521162875">
    <w:abstractNumId w:val="3"/>
  </w:num>
  <w:num w:numId="14" w16cid:durableId="1122111622">
    <w:abstractNumId w:val="3"/>
  </w:num>
  <w:num w:numId="15" w16cid:durableId="1534268023">
    <w:abstractNumId w:val="2"/>
  </w:num>
  <w:num w:numId="16" w16cid:durableId="1691419789">
    <w:abstractNumId w:val="2"/>
  </w:num>
  <w:num w:numId="17" w16cid:durableId="1058167320">
    <w:abstractNumId w:val="1"/>
  </w:num>
  <w:num w:numId="18" w16cid:durableId="1142575988">
    <w:abstractNumId w:val="1"/>
  </w:num>
  <w:num w:numId="19" w16cid:durableId="42674981">
    <w:abstractNumId w:val="0"/>
  </w:num>
  <w:num w:numId="20" w16cid:durableId="57749392">
    <w:abstractNumId w:val="0"/>
  </w:num>
  <w:num w:numId="21" w16cid:durableId="1762724543">
    <w:abstractNumId w:val="9"/>
  </w:num>
  <w:num w:numId="22" w16cid:durableId="950283361">
    <w:abstractNumId w:val="7"/>
  </w:num>
  <w:num w:numId="23" w16cid:durableId="57826239">
    <w:abstractNumId w:val="6"/>
  </w:num>
  <w:num w:numId="24" w16cid:durableId="2095394809">
    <w:abstractNumId w:val="5"/>
  </w:num>
  <w:num w:numId="25" w16cid:durableId="2038659019">
    <w:abstractNumId w:val="4"/>
  </w:num>
  <w:num w:numId="26" w16cid:durableId="1932541216">
    <w:abstractNumId w:val="8"/>
  </w:num>
  <w:num w:numId="27" w16cid:durableId="1378705347">
    <w:abstractNumId w:val="3"/>
  </w:num>
  <w:num w:numId="28" w16cid:durableId="1403791052">
    <w:abstractNumId w:val="2"/>
  </w:num>
  <w:num w:numId="29" w16cid:durableId="1186863044">
    <w:abstractNumId w:val="1"/>
  </w:num>
  <w:num w:numId="30" w16cid:durableId="1932201395">
    <w:abstractNumId w:val="0"/>
  </w:num>
  <w:num w:numId="31" w16cid:durableId="381636040">
    <w:abstractNumId w:val="9"/>
  </w:num>
  <w:num w:numId="32" w16cid:durableId="494035316">
    <w:abstractNumId w:val="7"/>
  </w:num>
  <w:num w:numId="33" w16cid:durableId="1072042678">
    <w:abstractNumId w:val="6"/>
  </w:num>
  <w:num w:numId="34" w16cid:durableId="1904021277">
    <w:abstractNumId w:val="5"/>
  </w:num>
  <w:num w:numId="35" w16cid:durableId="509637009">
    <w:abstractNumId w:val="4"/>
  </w:num>
  <w:num w:numId="36" w16cid:durableId="2106723522">
    <w:abstractNumId w:val="8"/>
  </w:num>
  <w:num w:numId="37" w16cid:durableId="1003626132">
    <w:abstractNumId w:val="3"/>
  </w:num>
  <w:num w:numId="38" w16cid:durableId="279650816">
    <w:abstractNumId w:val="2"/>
  </w:num>
  <w:num w:numId="39" w16cid:durableId="140735889">
    <w:abstractNumId w:val="1"/>
  </w:num>
  <w:num w:numId="40" w16cid:durableId="1017930707">
    <w:abstractNumId w:val="0"/>
  </w:num>
  <w:num w:numId="41" w16cid:durableId="602802482">
    <w:abstractNumId w:val="10"/>
  </w:num>
  <w:num w:numId="42" w16cid:durableId="630553296">
    <w:abstractNumId w:val="10"/>
  </w:num>
  <w:num w:numId="43" w16cid:durableId="2005009641">
    <w:abstractNumId w:val="10"/>
  </w:num>
  <w:num w:numId="44" w16cid:durableId="6463942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9/2025"/>
    <w:docVar w:name="dvlangue" w:val="LT"/>
    <w:docVar w:name="dvnumam" w:val="0"/>
    <w:docVar w:name="dvpe" w:val="781.128"/>
    <w:docVar w:name="dvrapporteur" w:val="Pranešėja: "/>
    <w:docVar w:name="dvstar" w:val="***II"/>
    <w:docVar w:name="dvtitre" w:val="2025 m. grauodzio XX d. Europos Parlamento teisėkūros rezoliucija dėl per pirmąjį svarstymą priimtos Tarybos pozicijos, siekiant priimti Europos Parlamento ir Tarybos direktyvą, kuria iš dalies keičiama Direktyva 2013/11/ES dėl alternatyvaus vartotojų ginčų sprendimo ir kuria iš dalies keičiamos direktyvos (ES) 2015/2302, (ES) 2019/2161 bei (ES) 2020/1828, nutraukus Europos elektroninio ginčų sprendimo platformos veiklą(11778/1/2025 – C10-0309/2025 – 2023/0376(COD))"/>
  </w:docVars>
  <w:rsids>
    <w:rsidRoot w:val="005F55FF"/>
    <w:rsid w:val="00002272"/>
    <w:rsid w:val="00023663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591E"/>
    <w:rsid w:val="00343214"/>
    <w:rsid w:val="00361C00"/>
    <w:rsid w:val="00395FA1"/>
    <w:rsid w:val="003A3C9E"/>
    <w:rsid w:val="003E15D4"/>
    <w:rsid w:val="003F22A3"/>
    <w:rsid w:val="00411CCE"/>
    <w:rsid w:val="0041666E"/>
    <w:rsid w:val="00421060"/>
    <w:rsid w:val="00471C19"/>
    <w:rsid w:val="004867E3"/>
    <w:rsid w:val="00494A28"/>
    <w:rsid w:val="004C0004"/>
    <w:rsid w:val="004C5D52"/>
    <w:rsid w:val="004F20A8"/>
    <w:rsid w:val="0050519A"/>
    <w:rsid w:val="005072A1"/>
    <w:rsid w:val="00514517"/>
    <w:rsid w:val="00545827"/>
    <w:rsid w:val="00560270"/>
    <w:rsid w:val="005C2568"/>
    <w:rsid w:val="005F1B17"/>
    <w:rsid w:val="005F55FF"/>
    <w:rsid w:val="006037C0"/>
    <w:rsid w:val="006631B6"/>
    <w:rsid w:val="00680577"/>
    <w:rsid w:val="006F74FA"/>
    <w:rsid w:val="00731ADD"/>
    <w:rsid w:val="00734777"/>
    <w:rsid w:val="00744D2F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19EC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52B2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7E22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74D2A9"/>
  <w15:chartTrackingRefBased/>
  <w15:docId w15:val="{30B1385A-22EA-4022-BDA9-22E4BCF8B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252B2"/>
    <w:pPr>
      <w:spacing w:before="480" w:after="240"/>
    </w:pPr>
  </w:style>
  <w:style w:type="paragraph" w:customStyle="1" w:styleId="NormalBold">
    <w:name w:val="NormalBold"/>
    <w:basedOn w:val="Normal"/>
    <w:rsid w:val="00C252B2"/>
    <w:rPr>
      <w:b/>
    </w:rPr>
  </w:style>
  <w:style w:type="paragraph" w:customStyle="1" w:styleId="NormalHanging12a">
    <w:name w:val="NormalHanging12a"/>
    <w:basedOn w:val="Normal"/>
    <w:rsid w:val="00C252B2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27E22"/>
    <w:rPr>
      <w:sz w:val="24"/>
      <w:lang w:val="lt-LT"/>
    </w:rPr>
  </w:style>
  <w:style w:type="character" w:styleId="Hyperlink">
    <w:name w:val="Hyperlink"/>
    <w:basedOn w:val="DefaultParagraphFont"/>
    <w:rsid w:val="00F27E2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7E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1028/oj" TargetMode="External"/><Relationship Id="rId1" Type="http://schemas.openxmlformats.org/officeDocument/2006/relationships/hyperlink" Target="http://data.europa.eu/eli/C/2024/248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SKEIVYTE Silvija</dc:creator>
  <cp:keywords/>
  <cp:lastModifiedBy>SKEIVYTE Silvija</cp:lastModifiedBy>
  <cp:revision>2</cp:revision>
  <cp:lastPrinted>2004-11-19T15:42:00Z</cp:lastPrinted>
  <dcterms:created xsi:type="dcterms:W3CDTF">2025-12-16T12:55:00Z</dcterms:created>
  <dcterms:modified xsi:type="dcterms:W3CDTF">2025-12-16T12:55:00Z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A10-0249/2025</vt:lpwstr>
  </property>
  <property fmtid="{D5CDD505-2E9C-101B-9397-08002B2CF9AE}" pid="4" name="&lt;Type&gt;">
    <vt:lpwstr>RR</vt:lpwstr>
  </property>
</Properties>
</file>