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51E0" w14:paraId="61730534" w14:textId="77777777" w:rsidTr="0010095E">
        <w:trPr>
          <w:trHeight w:hRule="exact" w:val="1418"/>
        </w:trPr>
        <w:tc>
          <w:tcPr>
            <w:tcW w:w="6804" w:type="dxa"/>
            <w:shd w:val="clear" w:color="auto" w:fill="auto"/>
            <w:vAlign w:val="center"/>
          </w:tcPr>
          <w:p w14:paraId="437B9930" w14:textId="77777777" w:rsidR="00751A4A" w:rsidRPr="003E51E0" w:rsidRDefault="001D606B" w:rsidP="0010095E">
            <w:pPr>
              <w:pStyle w:val="EPName"/>
            </w:pPr>
            <w:r w:rsidRPr="003E51E0">
              <w:t>Europees Parlement</w:t>
            </w:r>
          </w:p>
          <w:p w14:paraId="77B08EBD" w14:textId="77777777" w:rsidR="00751A4A" w:rsidRPr="003E51E0" w:rsidRDefault="005F1B17" w:rsidP="005F1B17">
            <w:pPr>
              <w:pStyle w:val="EPTerm"/>
              <w:rPr>
                <w:rStyle w:val="HideTWBExt"/>
                <w:noProof w:val="0"/>
                <w:vanish w:val="0"/>
                <w:color w:val="auto"/>
              </w:rPr>
            </w:pPr>
            <w:r w:rsidRPr="003E51E0">
              <w:t>2024</w:t>
            </w:r>
            <w:r w:rsidR="00817416" w:rsidRPr="003E51E0">
              <w:t>-202</w:t>
            </w:r>
            <w:r w:rsidRPr="003E51E0">
              <w:t>9</w:t>
            </w:r>
          </w:p>
        </w:tc>
        <w:tc>
          <w:tcPr>
            <w:tcW w:w="2268" w:type="dxa"/>
            <w:shd w:val="clear" w:color="auto" w:fill="auto"/>
          </w:tcPr>
          <w:p w14:paraId="4B60F3BA" w14:textId="77777777" w:rsidR="00751A4A" w:rsidRPr="003E51E0" w:rsidRDefault="00187494" w:rsidP="0010095E">
            <w:pPr>
              <w:pStyle w:val="EPLogo"/>
            </w:pPr>
            <w:r w:rsidRPr="003E51E0">
              <w:rPr>
                <w:noProof/>
                <w:lang w:eastAsia="ja-JP"/>
              </w:rPr>
              <w:drawing>
                <wp:inline distT="0" distB="0" distL="0" distR="0" wp14:anchorId="5D01CFA4" wp14:editId="2987A8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9B858B" w14:textId="77777777" w:rsidR="00D058B8" w:rsidRPr="003E51E0" w:rsidRDefault="00D058B8" w:rsidP="004C5D52">
      <w:pPr>
        <w:pStyle w:val="LineTop"/>
      </w:pPr>
    </w:p>
    <w:p w14:paraId="2D5EDD52" w14:textId="77777777" w:rsidR="00680577" w:rsidRPr="003E51E0" w:rsidRDefault="001D606B" w:rsidP="00680577">
      <w:pPr>
        <w:pStyle w:val="EPBodyTA1"/>
      </w:pPr>
      <w:r w:rsidRPr="003E51E0">
        <w:t>AANGENOMEN TEKSTEN</w:t>
      </w:r>
    </w:p>
    <w:p w14:paraId="2B5D52A1" w14:textId="77777777" w:rsidR="00D058B8" w:rsidRPr="003E51E0" w:rsidRDefault="00D058B8" w:rsidP="00D058B8">
      <w:pPr>
        <w:pStyle w:val="LineBottom"/>
      </w:pPr>
    </w:p>
    <w:p w14:paraId="3637BB0A" w14:textId="16E4DB64" w:rsidR="001D606B" w:rsidRPr="003E51E0" w:rsidRDefault="001D606B" w:rsidP="001D606B">
      <w:pPr>
        <w:pStyle w:val="ATHeading1"/>
      </w:pPr>
      <w:bookmarkStart w:id="0" w:name="TANumber"/>
      <w:r w:rsidRPr="003E51E0">
        <w:t>P10_TA(2025)0</w:t>
      </w:r>
      <w:r w:rsidR="00ED32FA">
        <w:t>318</w:t>
      </w:r>
      <w:bookmarkEnd w:id="0"/>
    </w:p>
    <w:p w14:paraId="130F2C3A" w14:textId="77777777" w:rsidR="001D606B" w:rsidRPr="003E51E0" w:rsidRDefault="001D606B" w:rsidP="001D606B">
      <w:pPr>
        <w:pStyle w:val="ATHeading2"/>
      </w:pPr>
      <w:bookmarkStart w:id="1" w:name="title"/>
      <w:r w:rsidRPr="003E51E0">
        <w:t>Wijziging van de richtlijn betreffende alternatieve beslechting van consumentengeschillen</w:t>
      </w:r>
      <w:bookmarkEnd w:id="1"/>
    </w:p>
    <w:p w14:paraId="48206C62" w14:textId="77777777" w:rsidR="001D606B" w:rsidRPr="003E51E0" w:rsidRDefault="001D606B" w:rsidP="001D606B">
      <w:pPr>
        <w:rPr>
          <w:i/>
          <w:vanish/>
        </w:rPr>
      </w:pPr>
      <w:r w:rsidRPr="003E51E0">
        <w:rPr>
          <w:i/>
        </w:rPr>
        <w:fldChar w:fldCharType="begin"/>
      </w:r>
      <w:r w:rsidRPr="003E51E0">
        <w:rPr>
          <w:i/>
        </w:rPr>
        <w:instrText xml:space="preserve"> TC"(</w:instrText>
      </w:r>
      <w:bookmarkStart w:id="2" w:name="DocNumber"/>
      <w:r w:rsidRPr="003E51E0">
        <w:rPr>
          <w:i/>
        </w:rPr>
        <w:instrText>A10-0249/2025</w:instrText>
      </w:r>
      <w:bookmarkEnd w:id="2"/>
      <w:r w:rsidRPr="003E51E0">
        <w:rPr>
          <w:i/>
        </w:rPr>
        <w:instrText xml:space="preserve"> - Rapporteur: Laura Ballarín Cereza)"\l3 \n&gt; \* MERGEFORMAT </w:instrText>
      </w:r>
      <w:r w:rsidRPr="003E51E0">
        <w:rPr>
          <w:i/>
        </w:rPr>
        <w:fldChar w:fldCharType="end"/>
      </w:r>
    </w:p>
    <w:p w14:paraId="1EEAD81A" w14:textId="77777777" w:rsidR="001D606B" w:rsidRPr="003E51E0" w:rsidRDefault="001D606B" w:rsidP="001D606B">
      <w:pPr>
        <w:rPr>
          <w:vanish/>
        </w:rPr>
      </w:pPr>
      <w:bookmarkStart w:id="3" w:name="Commission"/>
      <w:r w:rsidRPr="003E51E0">
        <w:rPr>
          <w:vanish/>
        </w:rPr>
        <w:t>Commissie interne markt en consumentenbescherming</w:t>
      </w:r>
      <w:bookmarkEnd w:id="3"/>
    </w:p>
    <w:p w14:paraId="32711186" w14:textId="77777777" w:rsidR="001D606B" w:rsidRPr="003E51E0" w:rsidRDefault="001D606B" w:rsidP="001D606B">
      <w:pPr>
        <w:rPr>
          <w:vanish/>
        </w:rPr>
      </w:pPr>
      <w:bookmarkStart w:id="4" w:name="PE"/>
      <w:r w:rsidRPr="003E51E0">
        <w:rPr>
          <w:vanish/>
        </w:rPr>
        <w:t>PE781.128</w:t>
      </w:r>
      <w:bookmarkEnd w:id="4"/>
    </w:p>
    <w:p w14:paraId="36B9FE5F" w14:textId="066DF685" w:rsidR="001D606B" w:rsidRPr="003E51E0" w:rsidRDefault="001D606B" w:rsidP="001D606B">
      <w:pPr>
        <w:pStyle w:val="ATHeading3"/>
      </w:pPr>
      <w:bookmarkStart w:id="5" w:name="Sujet"/>
      <w:r w:rsidRPr="003E51E0">
        <w:t xml:space="preserve">Wetgevingsresolutie van het Europees Parlement van </w:t>
      </w:r>
      <w:r w:rsidR="00C00321">
        <w:t>16</w:t>
      </w:r>
      <w:r w:rsidR="00C00321" w:rsidRPr="003E51E0">
        <w:t xml:space="preserve"> </w:t>
      </w:r>
      <w:r w:rsidRPr="003E51E0">
        <w:t>december 2025 over het standpunt van de Raad in eerste lezing met het oog op de vaststelling van een richtlijn van het Europees Parlement en de Raad tot wijziging van Richtlijn 2013/11/EU betreffende alternatieve beslechting van consumentengeschillen, en tot wijziging van Richtlijnen (EU) 2015/2302, (EU) 2019/2161 en (EU) 2020/1828 na de stopzetting van het Europees platform voor onlinegeschillenbeslechting</w:t>
      </w:r>
      <w:bookmarkEnd w:id="5"/>
      <w:r w:rsidRPr="003E51E0">
        <w:t xml:space="preserve"> </w:t>
      </w:r>
      <w:bookmarkStart w:id="6" w:name="References"/>
      <w:r w:rsidRPr="003E51E0">
        <w:t>(11778/1/2025 – C10-0309/2025 – 2023/0376(COD))</w:t>
      </w:r>
      <w:bookmarkEnd w:id="6"/>
    </w:p>
    <w:p w14:paraId="1860614C" w14:textId="77777777" w:rsidR="001D606B" w:rsidRPr="003E51E0" w:rsidRDefault="001D606B" w:rsidP="001D606B"/>
    <w:p w14:paraId="66820C94" w14:textId="77777777" w:rsidR="007939A1" w:rsidRPr="003E51E0" w:rsidRDefault="007939A1" w:rsidP="007939A1">
      <w:pPr>
        <w:pStyle w:val="NormalBold"/>
      </w:pPr>
      <w:bookmarkStart w:id="7" w:name="TextBodyBegin"/>
      <w:bookmarkEnd w:id="7"/>
      <w:r w:rsidRPr="003E51E0">
        <w:t>(Gewone wetgevingsprocedure: tweede lezing)</w:t>
      </w:r>
    </w:p>
    <w:p w14:paraId="2629882C" w14:textId="77777777" w:rsidR="007939A1" w:rsidRPr="003E51E0" w:rsidRDefault="007939A1" w:rsidP="007939A1">
      <w:pPr>
        <w:pStyle w:val="EPComma"/>
      </w:pPr>
      <w:r w:rsidRPr="003E51E0">
        <w:rPr>
          <w:i/>
        </w:rPr>
        <w:t>Het Europees Parlement</w:t>
      </w:r>
      <w:r w:rsidRPr="003E51E0">
        <w:t>,</w:t>
      </w:r>
    </w:p>
    <w:p w14:paraId="2259C3DF" w14:textId="77777777" w:rsidR="007939A1" w:rsidRPr="003E51E0" w:rsidRDefault="007939A1" w:rsidP="007939A1">
      <w:pPr>
        <w:pStyle w:val="NormalHanging12a"/>
      </w:pPr>
      <w:r w:rsidRPr="003E51E0">
        <w:t>–</w:t>
      </w:r>
      <w:r w:rsidRPr="003E51E0">
        <w:tab/>
        <w:t>gezien het standpunt van de Raad in eerste lezing (11778/1/2025 – C10</w:t>
      </w:r>
      <w:r w:rsidRPr="003E51E0">
        <w:noBreakHyphen/>
        <w:t>0309/2025),</w:t>
      </w:r>
    </w:p>
    <w:p w14:paraId="68BC0B37" w14:textId="77777777" w:rsidR="007939A1" w:rsidRPr="003E51E0" w:rsidRDefault="007939A1" w:rsidP="007939A1">
      <w:pPr>
        <w:pStyle w:val="NormalHanging12a"/>
      </w:pPr>
      <w:r w:rsidRPr="003E51E0">
        <w:t>–</w:t>
      </w:r>
      <w:r w:rsidRPr="003E51E0">
        <w:tab/>
        <w:t>gezien het advies van het Europees Economisch en Sociaal Comité van 14 februari 2024</w:t>
      </w:r>
      <w:r w:rsidRPr="003E51E0">
        <w:rPr>
          <w:rStyle w:val="FootnoteReference"/>
        </w:rPr>
        <w:footnoteReference w:id="1"/>
      </w:r>
      <w:r w:rsidRPr="003E51E0">
        <w:t>,</w:t>
      </w:r>
    </w:p>
    <w:p w14:paraId="11072895" w14:textId="77777777" w:rsidR="007939A1" w:rsidRPr="003E51E0" w:rsidRDefault="007939A1" w:rsidP="007939A1">
      <w:pPr>
        <w:pStyle w:val="NormalHanging12a"/>
      </w:pPr>
      <w:r w:rsidRPr="003E51E0">
        <w:t>–</w:t>
      </w:r>
      <w:r w:rsidRPr="003E51E0">
        <w:tab/>
        <w:t>gezien zijn in eerste lezing geformuleerde standpunt</w:t>
      </w:r>
      <w:r w:rsidRPr="003E51E0">
        <w:rPr>
          <w:rStyle w:val="FootnoteReference"/>
        </w:rPr>
        <w:footnoteReference w:id="2"/>
      </w:r>
      <w:r w:rsidRPr="003E51E0">
        <w:t xml:space="preserve"> inzake het voorstel van de Commissie aan het Europees Parlement en de Raad (COM(2023)0649),</w:t>
      </w:r>
    </w:p>
    <w:p w14:paraId="5AAC894F" w14:textId="77777777" w:rsidR="007939A1" w:rsidRPr="003E51E0" w:rsidRDefault="007939A1" w:rsidP="007939A1">
      <w:pPr>
        <w:pStyle w:val="NormalHanging12a"/>
      </w:pPr>
      <w:r w:rsidRPr="003E51E0">
        <w:t>–</w:t>
      </w:r>
      <w:r w:rsidRPr="003E51E0">
        <w:tab/>
        <w:t>gezien artikel 294, lid 7, van het Verdrag betreffende de werking van de Europese Unie,</w:t>
      </w:r>
    </w:p>
    <w:p w14:paraId="281C89D8" w14:textId="77777777" w:rsidR="007939A1" w:rsidRPr="003E51E0" w:rsidRDefault="007939A1" w:rsidP="007939A1">
      <w:pPr>
        <w:pStyle w:val="NormalHanging12a"/>
      </w:pPr>
      <w:r w:rsidRPr="003E51E0">
        <w:t>–</w:t>
      </w:r>
      <w:r w:rsidRPr="003E51E0">
        <w:tab/>
        <w:t>gezien het overeenkomstig artikel 75, lid 4, van zijn Reglement door de bevoegde commissie goedgekeurde voorlopig akkoord,</w:t>
      </w:r>
    </w:p>
    <w:p w14:paraId="69E0FDC1" w14:textId="77777777" w:rsidR="007939A1" w:rsidRPr="003E51E0" w:rsidRDefault="007939A1" w:rsidP="007939A1">
      <w:pPr>
        <w:pStyle w:val="NormalHanging12a"/>
      </w:pPr>
      <w:r w:rsidRPr="003E51E0">
        <w:t>–</w:t>
      </w:r>
      <w:r w:rsidRPr="003E51E0">
        <w:tab/>
        <w:t>gezien artikel 68 van zijn Reglement,</w:t>
      </w:r>
    </w:p>
    <w:p w14:paraId="7773D098" w14:textId="77777777" w:rsidR="007939A1" w:rsidRPr="003E51E0" w:rsidRDefault="007939A1" w:rsidP="007939A1">
      <w:pPr>
        <w:pStyle w:val="NormalHanging12a"/>
      </w:pPr>
      <w:r w:rsidRPr="003E51E0">
        <w:t>–</w:t>
      </w:r>
      <w:r w:rsidRPr="003E51E0">
        <w:tab/>
        <w:t>gezien de aanbeveling voor de tweede lezing van de Commissie interne markt en consumentenbescherming (A10</w:t>
      </w:r>
      <w:r w:rsidRPr="003E51E0">
        <w:noBreakHyphen/>
        <w:t>0249/2025),</w:t>
      </w:r>
    </w:p>
    <w:p w14:paraId="31163E3F" w14:textId="77777777" w:rsidR="007939A1" w:rsidRPr="003E51E0" w:rsidRDefault="007939A1" w:rsidP="007939A1">
      <w:pPr>
        <w:pStyle w:val="NormalHanging12a"/>
      </w:pPr>
      <w:r w:rsidRPr="003E51E0">
        <w:lastRenderedPageBreak/>
        <w:t>1.</w:t>
      </w:r>
      <w:r w:rsidRPr="003E51E0">
        <w:tab/>
        <w:t>hecht zijn goedkeuring aan het standpunt van de Raad in eerste lezing;</w:t>
      </w:r>
    </w:p>
    <w:p w14:paraId="3D5EC76F" w14:textId="77777777" w:rsidR="007939A1" w:rsidRPr="003E51E0" w:rsidRDefault="007939A1" w:rsidP="007939A1">
      <w:pPr>
        <w:pStyle w:val="NormalHanging12a"/>
      </w:pPr>
      <w:r w:rsidRPr="003E51E0">
        <w:t>2.</w:t>
      </w:r>
      <w:r w:rsidRPr="003E51E0">
        <w:tab/>
        <w:t>constateert dat de handeling is vastgesteld overeenkomstig het standpunt van de Raad;</w:t>
      </w:r>
    </w:p>
    <w:p w14:paraId="7815D147" w14:textId="77777777" w:rsidR="007939A1" w:rsidRPr="003E51E0" w:rsidRDefault="007939A1" w:rsidP="007939A1">
      <w:pPr>
        <w:pStyle w:val="NormalHanging12a"/>
      </w:pPr>
      <w:r w:rsidRPr="003E51E0">
        <w:t>3.</w:t>
      </w:r>
      <w:r w:rsidRPr="003E51E0">
        <w:tab/>
        <w:t>verzoekt zijn Voorzitter de handeling samen met de voorzitter van de Raad overeenkomstig artikel 297, lid 1, van het Verdrag betreffende de werking van de Europese Unie te ondertekenen;</w:t>
      </w:r>
    </w:p>
    <w:p w14:paraId="780A7678" w14:textId="77777777" w:rsidR="007939A1" w:rsidRPr="003E51E0" w:rsidRDefault="007939A1" w:rsidP="007939A1">
      <w:pPr>
        <w:pStyle w:val="NormalHanging12a"/>
      </w:pPr>
      <w:r w:rsidRPr="003E51E0">
        <w:t>4.</w:t>
      </w:r>
      <w:r w:rsidRPr="003E51E0">
        <w:tab/>
        <w:t xml:space="preserve">verzoekt zijn secretaris-generaal de handeling te ondertekenen nadat is nagegaan of alle procedures naar behoren zijn uitgevoerd, en met de secretaris-generaal van de Raad te zorgen voor bekendmaking ervan in het </w:t>
      </w:r>
      <w:r w:rsidRPr="003E51E0">
        <w:rPr>
          <w:i/>
        </w:rPr>
        <w:t>Publicatieblad van de Europese Unie</w:t>
      </w:r>
      <w:r w:rsidRPr="003E51E0">
        <w:t>;</w:t>
      </w:r>
    </w:p>
    <w:p w14:paraId="34F8CE53" w14:textId="5F7E6A75" w:rsidR="00E365E1" w:rsidRPr="003E51E0" w:rsidRDefault="007939A1" w:rsidP="00F737F3">
      <w:pPr>
        <w:ind w:left="567" w:hanging="567"/>
      </w:pPr>
      <w:r w:rsidRPr="003E51E0">
        <w:t>5.</w:t>
      </w:r>
      <w:r w:rsidRPr="003E51E0">
        <w:tab/>
        <w:t>verzoekt zijn Voorzitter het standpunt van het Parlement te doen toekomen aan de Raad en de Commissie</w:t>
      </w:r>
      <w:r w:rsidR="00450308">
        <w:t>,</w:t>
      </w:r>
      <w:r w:rsidRPr="003E51E0">
        <w:t xml:space="preserve"> alsook aan de nationale parlementen.</w:t>
      </w:r>
    </w:p>
    <w:sectPr w:rsidR="00E365E1" w:rsidRPr="003E51E0" w:rsidSect="003E51E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AB5E" w14:textId="77777777" w:rsidR="001D606B" w:rsidRPr="003E51E0" w:rsidRDefault="001D606B">
      <w:r w:rsidRPr="003E51E0">
        <w:separator/>
      </w:r>
    </w:p>
  </w:endnote>
  <w:endnote w:type="continuationSeparator" w:id="0">
    <w:p w14:paraId="40DF448A" w14:textId="77777777" w:rsidR="001D606B" w:rsidRPr="003E51E0" w:rsidRDefault="001D606B">
      <w:r w:rsidRPr="003E51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93BD" w14:textId="77777777" w:rsidR="00064002" w:rsidRPr="003E51E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8A4A" w14:textId="77777777" w:rsidR="00064002" w:rsidRPr="003E51E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FDE10" w14:textId="77777777" w:rsidR="00064002" w:rsidRPr="003E51E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584D" w14:textId="77777777" w:rsidR="001D606B" w:rsidRPr="003E51E0" w:rsidRDefault="001D606B">
      <w:r w:rsidRPr="003E51E0">
        <w:separator/>
      </w:r>
    </w:p>
  </w:footnote>
  <w:footnote w:type="continuationSeparator" w:id="0">
    <w:p w14:paraId="2312802C" w14:textId="77777777" w:rsidR="001D606B" w:rsidRPr="003E51E0" w:rsidRDefault="001D606B">
      <w:r w:rsidRPr="003E51E0">
        <w:continuationSeparator/>
      </w:r>
    </w:p>
  </w:footnote>
  <w:footnote w:id="1">
    <w:p w14:paraId="0F121ABE" w14:textId="3EBD101C" w:rsidR="007939A1" w:rsidRPr="00104D4F" w:rsidRDefault="007939A1" w:rsidP="003E51E0">
      <w:pPr>
        <w:pStyle w:val="FootnoteText"/>
        <w:ind w:left="567" w:hanging="567"/>
        <w:rPr>
          <w:sz w:val="24"/>
          <w:lang w:val="fi-FI"/>
        </w:rPr>
      </w:pPr>
      <w:r w:rsidRPr="003E51E0">
        <w:rPr>
          <w:rStyle w:val="FootnoteReference"/>
          <w:sz w:val="24"/>
          <w:lang w:val="nl-NL"/>
        </w:rPr>
        <w:footnoteRef/>
      </w:r>
      <w:r w:rsidR="003E51E0" w:rsidRPr="00104D4F">
        <w:rPr>
          <w:sz w:val="24"/>
          <w:lang w:val="fi-FI"/>
        </w:rPr>
        <w:tab/>
      </w:r>
      <w:r w:rsidRPr="00104D4F">
        <w:rPr>
          <w:sz w:val="24"/>
          <w:lang w:val="fi-FI"/>
        </w:rPr>
        <w:t xml:space="preserve">PB C, C/2024/2482, 23.4.2024, ELI: </w:t>
      </w:r>
      <w:hyperlink r:id="rId1" w:history="1">
        <w:r w:rsidR="00F737F3" w:rsidRPr="00104D4F">
          <w:rPr>
            <w:rStyle w:val="Hyperlink"/>
            <w:sz w:val="24"/>
            <w:lang w:val="fi-FI"/>
          </w:rPr>
          <w:t>http://data.europa.eu/eli/C/2024/2482/oj</w:t>
        </w:r>
      </w:hyperlink>
      <w:r w:rsidRPr="00104D4F">
        <w:rPr>
          <w:sz w:val="24"/>
          <w:lang w:val="fi-FI"/>
        </w:rPr>
        <w:t>.</w:t>
      </w:r>
    </w:p>
  </w:footnote>
  <w:footnote w:id="2">
    <w:p w14:paraId="4498AA90" w14:textId="14434B7A" w:rsidR="007939A1" w:rsidRPr="00104D4F" w:rsidRDefault="007939A1" w:rsidP="003E51E0">
      <w:pPr>
        <w:pStyle w:val="FootnoteText"/>
        <w:ind w:left="567" w:hanging="567"/>
        <w:rPr>
          <w:sz w:val="24"/>
          <w:lang w:val="fi-FI"/>
        </w:rPr>
      </w:pPr>
      <w:r w:rsidRPr="003E51E0">
        <w:rPr>
          <w:rStyle w:val="FootnoteReference"/>
          <w:sz w:val="24"/>
          <w:lang w:val="nl-NL"/>
        </w:rPr>
        <w:footnoteRef/>
      </w:r>
      <w:r w:rsidR="003E51E0" w:rsidRPr="00104D4F">
        <w:rPr>
          <w:sz w:val="24"/>
          <w:lang w:val="fi-FI"/>
        </w:rPr>
        <w:tab/>
      </w:r>
      <w:r w:rsidRPr="00104D4F">
        <w:rPr>
          <w:sz w:val="24"/>
          <w:lang w:val="fi-FI"/>
        </w:rPr>
        <w:t xml:space="preserve">PB C, C/2025/1028, 27.2.2025, ELI: </w:t>
      </w:r>
      <w:hyperlink r:id="rId2" w:history="1">
        <w:r w:rsidR="00F737F3" w:rsidRPr="00104D4F">
          <w:rPr>
            <w:rStyle w:val="Hyperlink"/>
            <w:sz w:val="24"/>
            <w:lang w:val="fi-FI"/>
          </w:rPr>
          <w:t>http://data.europa.eu/eli/C/2025/1028/oj</w:t>
        </w:r>
      </w:hyperlink>
      <w:r w:rsidRPr="00104D4F">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36F2" w14:textId="77777777" w:rsidR="00064002" w:rsidRPr="003E51E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D658" w14:textId="77777777" w:rsidR="00064002" w:rsidRPr="003E51E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83DE" w14:textId="77777777" w:rsidR="00064002" w:rsidRPr="003E51E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44607096">
    <w:abstractNumId w:val="9"/>
  </w:num>
  <w:num w:numId="2" w16cid:durableId="661472833">
    <w:abstractNumId w:val="9"/>
  </w:num>
  <w:num w:numId="3" w16cid:durableId="1201285298">
    <w:abstractNumId w:val="7"/>
  </w:num>
  <w:num w:numId="4" w16cid:durableId="1806971939">
    <w:abstractNumId w:val="7"/>
  </w:num>
  <w:num w:numId="5" w16cid:durableId="820274129">
    <w:abstractNumId w:val="6"/>
  </w:num>
  <w:num w:numId="6" w16cid:durableId="1563059537">
    <w:abstractNumId w:val="6"/>
  </w:num>
  <w:num w:numId="7" w16cid:durableId="1511872450">
    <w:abstractNumId w:val="5"/>
  </w:num>
  <w:num w:numId="8" w16cid:durableId="1477261905">
    <w:abstractNumId w:val="5"/>
  </w:num>
  <w:num w:numId="9" w16cid:durableId="202600827">
    <w:abstractNumId w:val="4"/>
  </w:num>
  <w:num w:numId="10" w16cid:durableId="567039864">
    <w:abstractNumId w:val="4"/>
  </w:num>
  <w:num w:numId="11" w16cid:durableId="2116436276">
    <w:abstractNumId w:val="8"/>
  </w:num>
  <w:num w:numId="12" w16cid:durableId="1998259646">
    <w:abstractNumId w:val="8"/>
  </w:num>
  <w:num w:numId="13" w16cid:durableId="193077021">
    <w:abstractNumId w:val="3"/>
  </w:num>
  <w:num w:numId="14" w16cid:durableId="937911534">
    <w:abstractNumId w:val="3"/>
  </w:num>
  <w:num w:numId="15" w16cid:durableId="1257399325">
    <w:abstractNumId w:val="2"/>
  </w:num>
  <w:num w:numId="16" w16cid:durableId="1497457859">
    <w:abstractNumId w:val="2"/>
  </w:num>
  <w:num w:numId="17" w16cid:durableId="2100566215">
    <w:abstractNumId w:val="1"/>
  </w:num>
  <w:num w:numId="18" w16cid:durableId="1150056161">
    <w:abstractNumId w:val="1"/>
  </w:num>
  <w:num w:numId="19" w16cid:durableId="10575580">
    <w:abstractNumId w:val="0"/>
  </w:num>
  <w:num w:numId="20" w16cid:durableId="1822427782">
    <w:abstractNumId w:val="0"/>
  </w:num>
  <w:num w:numId="21" w16cid:durableId="1337805534">
    <w:abstractNumId w:val="9"/>
  </w:num>
  <w:num w:numId="22" w16cid:durableId="327294617">
    <w:abstractNumId w:val="7"/>
  </w:num>
  <w:num w:numId="23" w16cid:durableId="72356822">
    <w:abstractNumId w:val="6"/>
  </w:num>
  <w:num w:numId="24" w16cid:durableId="169376281">
    <w:abstractNumId w:val="5"/>
  </w:num>
  <w:num w:numId="25" w16cid:durableId="1218665818">
    <w:abstractNumId w:val="4"/>
  </w:num>
  <w:num w:numId="26" w16cid:durableId="1305507374">
    <w:abstractNumId w:val="8"/>
  </w:num>
  <w:num w:numId="27" w16cid:durableId="489833706">
    <w:abstractNumId w:val="3"/>
  </w:num>
  <w:num w:numId="28" w16cid:durableId="894899473">
    <w:abstractNumId w:val="2"/>
  </w:num>
  <w:num w:numId="29" w16cid:durableId="716779952">
    <w:abstractNumId w:val="1"/>
  </w:num>
  <w:num w:numId="30" w16cid:durableId="1214194988">
    <w:abstractNumId w:val="0"/>
  </w:num>
  <w:num w:numId="31" w16cid:durableId="1932228701">
    <w:abstractNumId w:val="9"/>
  </w:num>
  <w:num w:numId="32" w16cid:durableId="327369185">
    <w:abstractNumId w:val="7"/>
  </w:num>
  <w:num w:numId="33" w16cid:durableId="856888486">
    <w:abstractNumId w:val="6"/>
  </w:num>
  <w:num w:numId="34" w16cid:durableId="1879663965">
    <w:abstractNumId w:val="5"/>
  </w:num>
  <w:num w:numId="35" w16cid:durableId="213546933">
    <w:abstractNumId w:val="4"/>
  </w:num>
  <w:num w:numId="36" w16cid:durableId="221722154">
    <w:abstractNumId w:val="8"/>
  </w:num>
  <w:num w:numId="37" w16cid:durableId="688719775">
    <w:abstractNumId w:val="3"/>
  </w:num>
  <w:num w:numId="38" w16cid:durableId="1000738164">
    <w:abstractNumId w:val="2"/>
  </w:num>
  <w:num w:numId="39" w16cid:durableId="2116247793">
    <w:abstractNumId w:val="1"/>
  </w:num>
  <w:num w:numId="40" w16cid:durableId="803884725">
    <w:abstractNumId w:val="0"/>
  </w:num>
  <w:num w:numId="41" w16cid:durableId="1583177814">
    <w:abstractNumId w:val="10"/>
  </w:num>
  <w:num w:numId="42" w16cid:durableId="1798838842">
    <w:abstractNumId w:val="10"/>
  </w:num>
  <w:num w:numId="43" w16cid:durableId="344790037">
    <w:abstractNumId w:val="10"/>
  </w:num>
  <w:num w:numId="44" w16cid:durableId="1412969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9/2025"/>
    <w:docVar w:name="dvlangue" w:val="NL"/>
    <w:docVar w:name="dvnumam" w:val="0"/>
    <w:docVar w:name="dvpe" w:val="781.128"/>
    <w:docVar w:name="dvrapporteur" w:val="Rapporteur: "/>
    <w:docVar w:name="dvstar" w:val="***II"/>
    <w:docVar w:name="dvtitre" w:val="Wetgevingsresolutie van het Europees Parlement van xx december 2025 over het standpunt van de Raad in eerste lezing met het oog op de vaststelling van een richtlijn van het Europees Parlement en de Raad tot wijziging van Richtlijn 2013/11/EU betreffende alternatieve beslechting van consumentengeschillen, en tot wijziging van Richtlijnen (EU) 2015/2302, (EU) 2019/2161 en (EU) 2020/1828 na de stopzetting van het Europees platform voor onlinegeschillenbeslechting(11778/1/2025 – C10-0309/2025 – 2023/0376(COD))"/>
  </w:docVars>
  <w:rsids>
    <w:rsidRoot w:val="001D606B"/>
    <w:rsid w:val="00002272"/>
    <w:rsid w:val="00054B4C"/>
    <w:rsid w:val="00064002"/>
    <w:rsid w:val="000677B9"/>
    <w:rsid w:val="000831BA"/>
    <w:rsid w:val="000A42CC"/>
    <w:rsid w:val="000E7DD9"/>
    <w:rsid w:val="0010095E"/>
    <w:rsid w:val="00104D4F"/>
    <w:rsid w:val="00125B37"/>
    <w:rsid w:val="00177A84"/>
    <w:rsid w:val="00187494"/>
    <w:rsid w:val="001D606B"/>
    <w:rsid w:val="001F32AE"/>
    <w:rsid w:val="002767FF"/>
    <w:rsid w:val="002B18FE"/>
    <w:rsid w:val="002B5493"/>
    <w:rsid w:val="002D2D1B"/>
    <w:rsid w:val="00343214"/>
    <w:rsid w:val="00361C00"/>
    <w:rsid w:val="00395FA1"/>
    <w:rsid w:val="003E15D4"/>
    <w:rsid w:val="003E51E0"/>
    <w:rsid w:val="00411CCE"/>
    <w:rsid w:val="0041666E"/>
    <w:rsid w:val="00421060"/>
    <w:rsid w:val="00450308"/>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24E0A"/>
    <w:rsid w:val="00731ADD"/>
    <w:rsid w:val="00734777"/>
    <w:rsid w:val="00735E5F"/>
    <w:rsid w:val="00747932"/>
    <w:rsid w:val="00751A4A"/>
    <w:rsid w:val="00756632"/>
    <w:rsid w:val="00762C74"/>
    <w:rsid w:val="00786EC0"/>
    <w:rsid w:val="007939A1"/>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0321"/>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32FA"/>
    <w:rsid w:val="00ED4235"/>
    <w:rsid w:val="00F04346"/>
    <w:rsid w:val="00F075DC"/>
    <w:rsid w:val="00F149E9"/>
    <w:rsid w:val="00F5134D"/>
    <w:rsid w:val="00F737F3"/>
    <w:rsid w:val="00F74202"/>
    <w:rsid w:val="00F87713"/>
    <w:rsid w:val="00FB4360"/>
    <w:rsid w:val="00FD0C70"/>
    <w:rsid w:val="00FD5AB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8AF85"/>
  <w15:chartTrackingRefBased/>
  <w15:docId w15:val="{01CD14C1-B227-4D36-81E3-CF90235C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939A1"/>
    <w:pPr>
      <w:spacing w:before="480" w:after="240"/>
    </w:pPr>
  </w:style>
  <w:style w:type="paragraph" w:customStyle="1" w:styleId="NormalBold">
    <w:name w:val="NormalBold"/>
    <w:basedOn w:val="Normal"/>
    <w:rsid w:val="007939A1"/>
    <w:rPr>
      <w:b/>
    </w:rPr>
  </w:style>
  <w:style w:type="paragraph" w:customStyle="1" w:styleId="NormalHanging12a">
    <w:name w:val="NormalHanging12a"/>
    <w:basedOn w:val="Normal"/>
    <w:rsid w:val="007939A1"/>
    <w:pPr>
      <w:spacing w:after="240"/>
      <w:ind w:left="567" w:hanging="567"/>
    </w:pPr>
  </w:style>
  <w:style w:type="character" w:styleId="Hyperlink">
    <w:name w:val="Hyperlink"/>
    <w:basedOn w:val="DefaultParagraphFont"/>
    <w:rsid w:val="00F737F3"/>
    <w:rPr>
      <w:color w:val="0563C1" w:themeColor="hyperlink"/>
      <w:u w:val="single"/>
    </w:rPr>
  </w:style>
  <w:style w:type="character" w:styleId="UnresolvedMention">
    <w:name w:val="Unresolved Mention"/>
    <w:basedOn w:val="DefaultParagraphFont"/>
    <w:uiPriority w:val="99"/>
    <w:semiHidden/>
    <w:unhideWhenUsed/>
    <w:rsid w:val="00F737F3"/>
    <w:rPr>
      <w:color w:val="605E5C"/>
      <w:shd w:val="clear" w:color="auto" w:fill="E1DFDD"/>
    </w:rPr>
  </w:style>
  <w:style w:type="paragraph" w:styleId="Revision">
    <w:name w:val="Revision"/>
    <w:hidden/>
    <w:uiPriority w:val="99"/>
    <w:semiHidden/>
    <w:rsid w:val="00735E5F"/>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28/oj" TargetMode="External"/><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2022</Characters>
  <Application>Microsoft Office Word</Application>
  <DocSecurity>0</DocSecurity>
  <Lines>38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SLOSSE Filiep</cp:lastModifiedBy>
  <cp:revision>2</cp:revision>
  <cp:lastPrinted>2004-11-19T15:42:00Z</cp:lastPrinted>
  <dcterms:created xsi:type="dcterms:W3CDTF">2025-12-16T12:43:00Z</dcterms:created>
  <dcterms:modified xsi:type="dcterms:W3CDTF">2025-12-16T12:43:00Z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A10-0249/2025</vt:lpwstr>
  </property>
  <property fmtid="{D5CDD505-2E9C-101B-9397-08002B2CF9AE}" pid="4" name="&lt;Type&gt;">
    <vt:lpwstr>RR</vt:lpwstr>
  </property>
</Properties>
</file>