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7D68" w14:paraId="021D76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88A606" w14:textId="7EF4DDAD" w:rsidR="00751A4A" w:rsidRPr="00A27D68" w:rsidRDefault="000F41BC" w:rsidP="0010095E">
            <w:pPr>
              <w:pStyle w:val="EPName"/>
            </w:pPr>
            <w:r w:rsidRPr="00A27D68">
              <w:t>Europaparlamentet</w:t>
            </w:r>
          </w:p>
          <w:p w14:paraId="7D55D957" w14:textId="77777777" w:rsidR="00751A4A" w:rsidRPr="00A27D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7D68">
              <w:t>2024</w:t>
            </w:r>
            <w:r w:rsidR="00817416" w:rsidRPr="00A27D68">
              <w:t>-202</w:t>
            </w:r>
            <w:r w:rsidRPr="00A27D68">
              <w:t>9</w:t>
            </w:r>
          </w:p>
        </w:tc>
        <w:tc>
          <w:tcPr>
            <w:tcW w:w="2268" w:type="dxa"/>
            <w:shd w:val="clear" w:color="auto" w:fill="auto"/>
          </w:tcPr>
          <w:p w14:paraId="617FE267" w14:textId="77777777" w:rsidR="00751A4A" w:rsidRPr="00A27D68" w:rsidRDefault="00187494" w:rsidP="0010095E">
            <w:pPr>
              <w:pStyle w:val="EPLogo"/>
            </w:pPr>
            <w:r w:rsidRPr="00A27D68">
              <w:rPr>
                <w:noProof/>
                <w:lang w:eastAsia="ja-JP"/>
              </w:rPr>
              <w:drawing>
                <wp:inline distT="0" distB="0" distL="0" distR="0" wp14:anchorId="55FB2437" wp14:editId="1EA937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10B06" w14:textId="77777777" w:rsidR="00D058B8" w:rsidRPr="00A27D68" w:rsidRDefault="00D058B8" w:rsidP="004C5D52">
      <w:pPr>
        <w:pStyle w:val="LineTop"/>
      </w:pPr>
    </w:p>
    <w:p w14:paraId="08F0C146" w14:textId="19946DFC" w:rsidR="00680577" w:rsidRPr="00A27D68" w:rsidRDefault="000F41BC" w:rsidP="00680577">
      <w:pPr>
        <w:pStyle w:val="EPBodyTA1"/>
      </w:pPr>
      <w:r w:rsidRPr="00A27D68">
        <w:t>ANTAGNA TEXTER</w:t>
      </w:r>
    </w:p>
    <w:p w14:paraId="1733479D" w14:textId="77777777" w:rsidR="00D058B8" w:rsidRPr="00A27D68" w:rsidRDefault="00D058B8" w:rsidP="00D058B8">
      <w:pPr>
        <w:pStyle w:val="LineBottom"/>
      </w:pPr>
    </w:p>
    <w:p w14:paraId="0A170E77" w14:textId="6E9E5248" w:rsidR="000F41BC" w:rsidRPr="00A27D68" w:rsidRDefault="000F41BC" w:rsidP="000F41BC">
      <w:pPr>
        <w:pStyle w:val="ATHeading1"/>
      </w:pPr>
      <w:bookmarkStart w:id="0" w:name="TANumber"/>
      <w:r w:rsidRPr="00A27D68">
        <w:t>P10_TA(2025)0</w:t>
      </w:r>
      <w:bookmarkEnd w:id="0"/>
      <w:r w:rsidR="00E66E46">
        <w:t>318</w:t>
      </w:r>
    </w:p>
    <w:p w14:paraId="00B840A7" w14:textId="77777777" w:rsidR="000F41BC" w:rsidRPr="00A27D68" w:rsidRDefault="000F41BC" w:rsidP="000F41BC">
      <w:pPr>
        <w:pStyle w:val="ATHeading2"/>
      </w:pPr>
      <w:bookmarkStart w:id="1" w:name="title"/>
      <w:r w:rsidRPr="00A27D68">
        <w:t>Ändring av direktivet om alternativ tvistlösning vid konsumenttvister</w:t>
      </w:r>
      <w:bookmarkEnd w:id="1"/>
    </w:p>
    <w:p w14:paraId="7DF7BEB0" w14:textId="77777777" w:rsidR="000F41BC" w:rsidRPr="00A27D68" w:rsidRDefault="000F41BC" w:rsidP="000F41BC">
      <w:pPr>
        <w:rPr>
          <w:i/>
          <w:vanish/>
        </w:rPr>
      </w:pPr>
      <w:r w:rsidRPr="00A27D68">
        <w:rPr>
          <w:i/>
        </w:rPr>
        <w:fldChar w:fldCharType="begin"/>
      </w:r>
      <w:r w:rsidRPr="00A27D68">
        <w:rPr>
          <w:i/>
        </w:rPr>
        <w:instrText xml:space="preserve"> TC"(</w:instrText>
      </w:r>
      <w:bookmarkStart w:id="2" w:name="DocNumber"/>
      <w:r w:rsidRPr="00A27D68">
        <w:rPr>
          <w:i/>
        </w:rPr>
        <w:instrText>A10-0249/2025</w:instrText>
      </w:r>
      <w:bookmarkEnd w:id="2"/>
      <w:r w:rsidRPr="00A27D68">
        <w:rPr>
          <w:i/>
        </w:rPr>
        <w:instrText xml:space="preserve"> - Föredragande: Laura Ballarín Cereza)"\l3 \n&gt; \* MERGEFORMAT </w:instrText>
      </w:r>
      <w:r w:rsidRPr="00A27D68">
        <w:rPr>
          <w:i/>
        </w:rPr>
        <w:fldChar w:fldCharType="end"/>
      </w:r>
    </w:p>
    <w:p w14:paraId="2DB20ACC" w14:textId="77777777" w:rsidR="000F41BC" w:rsidRPr="00A27D68" w:rsidRDefault="000F41BC" w:rsidP="000F41BC">
      <w:pPr>
        <w:rPr>
          <w:vanish/>
        </w:rPr>
      </w:pPr>
      <w:bookmarkStart w:id="3" w:name="Commission"/>
      <w:r w:rsidRPr="00A27D68">
        <w:rPr>
          <w:vanish/>
        </w:rPr>
        <w:t>Utskottet för den inre marknaden och konsumentskydd</w:t>
      </w:r>
      <w:bookmarkEnd w:id="3"/>
    </w:p>
    <w:p w14:paraId="3C09B23F" w14:textId="77777777" w:rsidR="000F41BC" w:rsidRPr="00A27D68" w:rsidRDefault="000F41BC" w:rsidP="000F41BC">
      <w:pPr>
        <w:rPr>
          <w:vanish/>
        </w:rPr>
      </w:pPr>
      <w:bookmarkStart w:id="4" w:name="PE"/>
      <w:r w:rsidRPr="00A27D68">
        <w:rPr>
          <w:vanish/>
        </w:rPr>
        <w:t>PE781.128</w:t>
      </w:r>
      <w:bookmarkEnd w:id="4"/>
    </w:p>
    <w:p w14:paraId="05322C61" w14:textId="6AEA9E93" w:rsidR="000F41BC" w:rsidRPr="00A27D68" w:rsidRDefault="000F41BC" w:rsidP="000F41BC">
      <w:pPr>
        <w:pStyle w:val="ATHeading3"/>
      </w:pPr>
      <w:bookmarkStart w:id="5" w:name="Sujet"/>
      <w:r w:rsidRPr="00A27D68">
        <w:t xml:space="preserve">Europaparlamentets lagstiftningsresolution av den </w:t>
      </w:r>
      <w:r w:rsidR="00457716">
        <w:t>16</w:t>
      </w:r>
      <w:r w:rsidRPr="00A27D68">
        <w:t xml:space="preserve"> </w:t>
      </w:r>
      <w:r w:rsidR="00457716">
        <w:t>december</w:t>
      </w:r>
      <w:r w:rsidR="00457716" w:rsidRPr="00A27D68">
        <w:t xml:space="preserve"> </w:t>
      </w:r>
      <w:r w:rsidRPr="00A27D68">
        <w:t>2025 om rådets ståndpunkt vid första behandlingen inför antagandet av Europaparlamentets och rådets direktiv om ändring av direktiv 2013/11/EU om alternativ tvistlösning vid konsumenttvister och om ändring av direktiv (EU) 2015/2302, (EU) 2019/2161 och (EU) 2020/1828 till följd av stängningen av den europeiska plattformen för tvistlösning online</w:t>
      </w:r>
      <w:bookmarkEnd w:id="5"/>
      <w:r w:rsidRPr="00A27D68">
        <w:t xml:space="preserve"> </w:t>
      </w:r>
      <w:bookmarkStart w:id="6" w:name="References"/>
      <w:r w:rsidRPr="00A27D68">
        <w:t>(11778/1/2025 – C10-0309/2025 – 2023/0376(COD))</w:t>
      </w:r>
      <w:bookmarkEnd w:id="6"/>
    </w:p>
    <w:p w14:paraId="668711A8" w14:textId="77777777" w:rsidR="003A4B8C" w:rsidRPr="00A27D68" w:rsidRDefault="003A4B8C" w:rsidP="003A4B8C">
      <w:pPr>
        <w:pStyle w:val="NormalBold"/>
      </w:pPr>
      <w:r w:rsidRPr="00A27D68">
        <w:t>(Ordinarie lagstiftningsförfarande: andra behandlingen)</w:t>
      </w:r>
    </w:p>
    <w:p w14:paraId="66BD4F84" w14:textId="77777777" w:rsidR="003A4B8C" w:rsidRPr="00A27D68" w:rsidRDefault="003A4B8C" w:rsidP="003A4B8C">
      <w:pPr>
        <w:pStyle w:val="EPComma"/>
      </w:pPr>
      <w:r w:rsidRPr="00A27D68">
        <w:rPr>
          <w:i/>
        </w:rPr>
        <w:t>Europaparlamentet utfärdar denna resolution</w:t>
      </w:r>
    </w:p>
    <w:p w14:paraId="07A073F7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rådets ståndpunkt vid första behandlingen (11778/1/2025 – C10</w:t>
      </w:r>
      <w:r w:rsidRPr="00A27D68">
        <w:noBreakHyphen/>
        <w:t>0309/2025),</w:t>
      </w:r>
    </w:p>
    <w:p w14:paraId="318D8B9F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Europeiska ekonomiska och sociala kommitténs yttrande av den 14 februari 2024</w:t>
      </w:r>
      <w:r w:rsidRPr="00A27D68">
        <w:rPr>
          <w:rStyle w:val="FootnoteReference"/>
        </w:rPr>
        <w:footnoteReference w:id="1"/>
      </w:r>
      <w:r w:rsidRPr="00A27D68">
        <w:t>,</w:t>
      </w:r>
    </w:p>
    <w:p w14:paraId="1E3211C7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sin ståndpunkt vid första behandlingen av ärendet</w:t>
      </w:r>
      <w:r w:rsidRPr="00A27D68">
        <w:rPr>
          <w:rStyle w:val="FootnoteReference"/>
        </w:rPr>
        <w:footnoteReference w:id="2"/>
      </w:r>
      <w:r w:rsidRPr="00A27D68">
        <w:t>, en behandling som avsåg kommissionens förslag till Europaparlamentet och rådet (COM(2023)0649),</w:t>
      </w:r>
    </w:p>
    <w:p w14:paraId="01E0CFEC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artikel 294.7 i fördraget om Europeiska unionens funktionssätt,</w:t>
      </w:r>
    </w:p>
    <w:p w14:paraId="28952EEF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den preliminära överenskommelse som godkänts av det ansvariga utskottet i enlighet med artikel 75.4 i arbetsordningen,</w:t>
      </w:r>
    </w:p>
    <w:p w14:paraId="7E364204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artikel 68 i arbetsordningen,</w:t>
      </w:r>
    </w:p>
    <w:p w14:paraId="028F9755" w14:textId="77777777" w:rsidR="003A4B8C" w:rsidRPr="00A27D68" w:rsidRDefault="003A4B8C" w:rsidP="003A4B8C">
      <w:pPr>
        <w:pStyle w:val="NormalHanging12a"/>
      </w:pPr>
      <w:r w:rsidRPr="00A27D68">
        <w:t>–</w:t>
      </w:r>
      <w:r w:rsidRPr="00A27D68">
        <w:tab/>
        <w:t>med beaktande av andrabehandlingsrekommendationen från utskottet för den inre marknaden och konsumentskydd (A10-0249/2025).</w:t>
      </w:r>
    </w:p>
    <w:p w14:paraId="59AD3F5D" w14:textId="77777777" w:rsidR="003A4B8C" w:rsidRPr="00A27D68" w:rsidRDefault="003A4B8C" w:rsidP="003A4B8C">
      <w:pPr>
        <w:pStyle w:val="NormalHanging12a"/>
      </w:pPr>
      <w:r w:rsidRPr="00A27D68">
        <w:lastRenderedPageBreak/>
        <w:t>1.</w:t>
      </w:r>
      <w:r w:rsidRPr="00A27D68">
        <w:tab/>
        <w:t>Europaparlamentet godkänner rådets ståndpunkt vid första behandlingen.</w:t>
      </w:r>
    </w:p>
    <w:p w14:paraId="6664C86C" w14:textId="77777777" w:rsidR="003A4B8C" w:rsidRPr="00A27D68" w:rsidRDefault="003A4B8C" w:rsidP="003A4B8C">
      <w:pPr>
        <w:pStyle w:val="NormalHanging12a"/>
      </w:pPr>
      <w:r w:rsidRPr="00A27D68">
        <w:t>2.</w:t>
      </w:r>
      <w:r w:rsidRPr="00A27D68">
        <w:tab/>
        <w:t>Europaparlamentet konstaterar att rättsakten är antagen i enlighet med rådets ståndpunkt.</w:t>
      </w:r>
    </w:p>
    <w:p w14:paraId="4369CED2" w14:textId="77777777" w:rsidR="003A4B8C" w:rsidRPr="00A27D68" w:rsidRDefault="003A4B8C" w:rsidP="003A4B8C">
      <w:pPr>
        <w:pStyle w:val="NormalHanging12a"/>
      </w:pPr>
      <w:r w:rsidRPr="00A27D68">
        <w:t>3.</w:t>
      </w:r>
      <w:r w:rsidRPr="00A27D68">
        <w:tab/>
        <w:t>Europaparlamentet uppdrar åt talmannen att tillsammans med rådets ordförande underteckna akten i enlighet med artikel 297.1 i fördraget om Europeiska unionens funktionssätt.</w:t>
      </w:r>
    </w:p>
    <w:p w14:paraId="4D30243B" w14:textId="77777777" w:rsidR="003A4B8C" w:rsidRPr="00A27D68" w:rsidRDefault="003A4B8C" w:rsidP="003A4B8C">
      <w:pPr>
        <w:pStyle w:val="NormalHanging12a"/>
      </w:pPr>
      <w:r w:rsidRPr="00A27D68">
        <w:t>4.</w:t>
      </w:r>
      <w:r w:rsidRPr="00A27D68">
        <w:tab/>
        <w:t xml:space="preserve">Europaparlamentet uppdrar åt sin generalsekreterare att, när det har kontrollerats att alla förfaranden vederbörligen avslutats, underteckna akten och i samförstånd med rådets generalsekreterare se till att den offentliggörs i </w:t>
      </w:r>
      <w:r w:rsidRPr="00A27D68">
        <w:rPr>
          <w:i/>
        </w:rPr>
        <w:t>Europeiska unionens officiella tidning</w:t>
      </w:r>
      <w:r w:rsidRPr="00A27D68">
        <w:t>.</w:t>
      </w:r>
    </w:p>
    <w:p w14:paraId="4AEAD262" w14:textId="357CEA14" w:rsidR="00A27D68" w:rsidRPr="00A27D68" w:rsidRDefault="003A4B8C" w:rsidP="00A27D68">
      <w:pPr>
        <w:pStyle w:val="NormalHanging12a"/>
        <w:keepLines/>
        <w:widowControl/>
      </w:pPr>
      <w:r w:rsidRPr="00A27D68">
        <w:t>5.</w:t>
      </w:r>
      <w:r w:rsidRPr="00A27D68">
        <w:tab/>
        <w:t>Europaparlamentet uppdrar åt talmannen att översända parlamentets ståndpunkt till rådet, kommissionen och de nationella parlamenten.</w:t>
      </w:r>
    </w:p>
    <w:p w14:paraId="2153D6C6" w14:textId="0ED56CF9" w:rsidR="00E365E1" w:rsidRPr="00A27D68" w:rsidRDefault="00E365E1" w:rsidP="000F41BC"/>
    <w:sectPr w:rsidR="00E365E1" w:rsidRPr="00A27D68" w:rsidSect="00A27D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866CB" w14:textId="77777777" w:rsidR="000F41BC" w:rsidRPr="00A27D68" w:rsidRDefault="000F41BC">
      <w:r w:rsidRPr="00A27D68">
        <w:separator/>
      </w:r>
    </w:p>
  </w:endnote>
  <w:endnote w:type="continuationSeparator" w:id="0">
    <w:p w14:paraId="6725905F" w14:textId="77777777" w:rsidR="000F41BC" w:rsidRPr="00A27D68" w:rsidRDefault="000F41BC">
      <w:r w:rsidRPr="00A27D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55D2" w14:textId="77777777" w:rsidR="00064002" w:rsidRPr="00A27D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7207" w14:textId="77777777" w:rsidR="00064002" w:rsidRPr="00A27D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A0E4" w14:textId="77777777" w:rsidR="00064002" w:rsidRPr="00A27D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20A5B" w14:textId="77777777" w:rsidR="000F41BC" w:rsidRPr="00A27D68" w:rsidRDefault="000F41BC">
      <w:r w:rsidRPr="00A27D68">
        <w:separator/>
      </w:r>
    </w:p>
  </w:footnote>
  <w:footnote w:type="continuationSeparator" w:id="0">
    <w:p w14:paraId="2E90C47E" w14:textId="77777777" w:rsidR="000F41BC" w:rsidRPr="00A27D68" w:rsidRDefault="000F41BC">
      <w:r w:rsidRPr="00A27D68">
        <w:continuationSeparator/>
      </w:r>
    </w:p>
  </w:footnote>
  <w:footnote w:id="1">
    <w:p w14:paraId="58BE9973" w14:textId="37A4A7F8" w:rsidR="003A4B8C" w:rsidRPr="000A49BB" w:rsidRDefault="003A4B8C" w:rsidP="00A27D68">
      <w:pPr>
        <w:pStyle w:val="FootnoteText"/>
        <w:ind w:left="567" w:hanging="567"/>
        <w:rPr>
          <w:sz w:val="24"/>
          <w:lang w:val="fi-FI"/>
        </w:rPr>
      </w:pPr>
      <w:r w:rsidRPr="00A27D68">
        <w:rPr>
          <w:rStyle w:val="FootnoteReference"/>
          <w:sz w:val="24"/>
          <w:lang w:val="sv-SE"/>
        </w:rPr>
        <w:footnoteRef/>
      </w:r>
      <w:r w:rsidR="00A27D68" w:rsidRPr="000A49BB">
        <w:rPr>
          <w:sz w:val="24"/>
          <w:lang w:val="fi-FI"/>
        </w:rPr>
        <w:t xml:space="preserve"> </w:t>
      </w:r>
      <w:r w:rsidR="00A27D68" w:rsidRPr="000A49BB">
        <w:rPr>
          <w:sz w:val="24"/>
          <w:lang w:val="fi-FI"/>
        </w:rPr>
        <w:tab/>
      </w:r>
      <w:r w:rsidRPr="000A49BB">
        <w:rPr>
          <w:sz w:val="24"/>
          <w:lang w:val="fi-FI"/>
        </w:rPr>
        <w:t xml:space="preserve">EUT C, C/2024/2482, 23.4.2024, ELI: </w:t>
      </w:r>
      <w:hyperlink r:id="rId1" w:history="1">
        <w:r w:rsidR="00CA0733" w:rsidRPr="0002760A">
          <w:rPr>
            <w:rStyle w:val="Hyperlink"/>
            <w:sz w:val="24"/>
            <w:szCs w:val="24"/>
            <w:lang w:val="fi-FI"/>
          </w:rPr>
          <w:t>http://data.europa.eu/eli/C/2024/2482/oj</w:t>
        </w:r>
      </w:hyperlink>
      <w:r w:rsidRPr="000A49BB">
        <w:rPr>
          <w:sz w:val="24"/>
          <w:lang w:val="fi-FI"/>
        </w:rPr>
        <w:t>.</w:t>
      </w:r>
    </w:p>
  </w:footnote>
  <w:footnote w:id="2">
    <w:p w14:paraId="2311C07F" w14:textId="194BA719" w:rsidR="003A4B8C" w:rsidRPr="000A49BB" w:rsidRDefault="003A4B8C" w:rsidP="00A27D68">
      <w:pPr>
        <w:pStyle w:val="FootnoteText"/>
        <w:ind w:left="567" w:hanging="567"/>
        <w:rPr>
          <w:sz w:val="24"/>
          <w:lang w:val="fi-FI"/>
        </w:rPr>
      </w:pPr>
      <w:r w:rsidRPr="00A27D68">
        <w:rPr>
          <w:rStyle w:val="FootnoteReference"/>
          <w:sz w:val="24"/>
          <w:lang w:val="sv-SE"/>
        </w:rPr>
        <w:footnoteRef/>
      </w:r>
      <w:r w:rsidR="00A27D68" w:rsidRPr="000A49BB">
        <w:rPr>
          <w:sz w:val="24"/>
          <w:lang w:val="fi-FI"/>
        </w:rPr>
        <w:t xml:space="preserve"> </w:t>
      </w:r>
      <w:r w:rsidR="00A27D68" w:rsidRPr="000A49BB">
        <w:rPr>
          <w:sz w:val="24"/>
          <w:lang w:val="fi-FI"/>
        </w:rPr>
        <w:tab/>
      </w:r>
      <w:r w:rsidRPr="000A49BB">
        <w:rPr>
          <w:sz w:val="24"/>
          <w:lang w:val="fi-FI"/>
        </w:rPr>
        <w:t xml:space="preserve">EUT C, C/2025/1028, 27.2.2025, ELI: </w:t>
      </w:r>
      <w:hyperlink r:id="rId2" w:history="1">
        <w:r w:rsidR="00CA0733" w:rsidRPr="0002760A">
          <w:rPr>
            <w:rStyle w:val="Hyperlink"/>
            <w:sz w:val="24"/>
            <w:szCs w:val="24"/>
            <w:lang w:val="fi-FI"/>
          </w:rPr>
          <w:t>http://data.europa.eu/eli/C/2025/1028/oj</w:t>
        </w:r>
      </w:hyperlink>
      <w:r w:rsidRPr="000A49B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003C" w14:textId="77777777" w:rsidR="00064002" w:rsidRPr="00A27D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39A4" w14:textId="77777777" w:rsidR="00064002" w:rsidRPr="00A27D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227B0" w14:textId="77777777" w:rsidR="00064002" w:rsidRPr="00A27D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1280206">
    <w:abstractNumId w:val="9"/>
  </w:num>
  <w:num w:numId="2" w16cid:durableId="2013951001">
    <w:abstractNumId w:val="9"/>
  </w:num>
  <w:num w:numId="3" w16cid:durableId="750346361">
    <w:abstractNumId w:val="7"/>
  </w:num>
  <w:num w:numId="4" w16cid:durableId="1080295903">
    <w:abstractNumId w:val="7"/>
  </w:num>
  <w:num w:numId="5" w16cid:durableId="260844448">
    <w:abstractNumId w:val="6"/>
  </w:num>
  <w:num w:numId="6" w16cid:durableId="1150174764">
    <w:abstractNumId w:val="6"/>
  </w:num>
  <w:num w:numId="7" w16cid:durableId="1731461170">
    <w:abstractNumId w:val="5"/>
  </w:num>
  <w:num w:numId="8" w16cid:durableId="858273447">
    <w:abstractNumId w:val="5"/>
  </w:num>
  <w:num w:numId="9" w16cid:durableId="384720852">
    <w:abstractNumId w:val="4"/>
  </w:num>
  <w:num w:numId="10" w16cid:durableId="1829395964">
    <w:abstractNumId w:val="4"/>
  </w:num>
  <w:num w:numId="11" w16cid:durableId="687147440">
    <w:abstractNumId w:val="8"/>
  </w:num>
  <w:num w:numId="12" w16cid:durableId="1657417670">
    <w:abstractNumId w:val="8"/>
  </w:num>
  <w:num w:numId="13" w16cid:durableId="2128543799">
    <w:abstractNumId w:val="3"/>
  </w:num>
  <w:num w:numId="14" w16cid:durableId="11106736">
    <w:abstractNumId w:val="3"/>
  </w:num>
  <w:num w:numId="15" w16cid:durableId="263853163">
    <w:abstractNumId w:val="2"/>
  </w:num>
  <w:num w:numId="16" w16cid:durableId="836266564">
    <w:abstractNumId w:val="2"/>
  </w:num>
  <w:num w:numId="17" w16cid:durableId="1780024093">
    <w:abstractNumId w:val="1"/>
  </w:num>
  <w:num w:numId="18" w16cid:durableId="295109127">
    <w:abstractNumId w:val="1"/>
  </w:num>
  <w:num w:numId="19" w16cid:durableId="1346589478">
    <w:abstractNumId w:val="0"/>
  </w:num>
  <w:num w:numId="20" w16cid:durableId="525873897">
    <w:abstractNumId w:val="0"/>
  </w:num>
  <w:num w:numId="21" w16cid:durableId="2038189050">
    <w:abstractNumId w:val="9"/>
  </w:num>
  <w:num w:numId="22" w16cid:durableId="230433575">
    <w:abstractNumId w:val="7"/>
  </w:num>
  <w:num w:numId="23" w16cid:durableId="1041709128">
    <w:abstractNumId w:val="6"/>
  </w:num>
  <w:num w:numId="24" w16cid:durableId="1901332190">
    <w:abstractNumId w:val="5"/>
  </w:num>
  <w:num w:numId="25" w16cid:durableId="1385373144">
    <w:abstractNumId w:val="4"/>
  </w:num>
  <w:num w:numId="26" w16cid:durableId="1117677328">
    <w:abstractNumId w:val="8"/>
  </w:num>
  <w:num w:numId="27" w16cid:durableId="571814976">
    <w:abstractNumId w:val="3"/>
  </w:num>
  <w:num w:numId="28" w16cid:durableId="1269391543">
    <w:abstractNumId w:val="2"/>
  </w:num>
  <w:num w:numId="29" w16cid:durableId="225650357">
    <w:abstractNumId w:val="1"/>
  </w:num>
  <w:num w:numId="30" w16cid:durableId="1228222933">
    <w:abstractNumId w:val="0"/>
  </w:num>
  <w:num w:numId="31" w16cid:durableId="1223062826">
    <w:abstractNumId w:val="9"/>
  </w:num>
  <w:num w:numId="32" w16cid:durableId="1825927610">
    <w:abstractNumId w:val="7"/>
  </w:num>
  <w:num w:numId="33" w16cid:durableId="960772034">
    <w:abstractNumId w:val="6"/>
  </w:num>
  <w:num w:numId="34" w16cid:durableId="1778212361">
    <w:abstractNumId w:val="5"/>
  </w:num>
  <w:num w:numId="35" w16cid:durableId="1155297044">
    <w:abstractNumId w:val="4"/>
  </w:num>
  <w:num w:numId="36" w16cid:durableId="665860984">
    <w:abstractNumId w:val="8"/>
  </w:num>
  <w:num w:numId="37" w16cid:durableId="465659502">
    <w:abstractNumId w:val="3"/>
  </w:num>
  <w:num w:numId="38" w16cid:durableId="999695018">
    <w:abstractNumId w:val="2"/>
  </w:num>
  <w:num w:numId="39" w16cid:durableId="885945888">
    <w:abstractNumId w:val="1"/>
  </w:num>
  <w:num w:numId="40" w16cid:durableId="830214843">
    <w:abstractNumId w:val="0"/>
  </w:num>
  <w:num w:numId="41" w16cid:durableId="1881236742">
    <w:abstractNumId w:val="10"/>
  </w:num>
  <w:num w:numId="42" w16cid:durableId="1181697039">
    <w:abstractNumId w:val="10"/>
  </w:num>
  <w:num w:numId="43" w16cid:durableId="787822571">
    <w:abstractNumId w:val="10"/>
  </w:num>
  <w:num w:numId="44" w16cid:durableId="1263687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SV"/>
    <w:docVar w:name="dvnumam" w:val="0"/>
    <w:docVar w:name="dvpe" w:val="781.128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direktiv om ändring av direktiv 2013/11/EU om alternativ tvistlösning vid konsumenttvister och om ändring av direktiv (EU) 2015/2302, (EU) 2019/2161 och (EU) 2020/1828 till följd av stängningen av den europeiska plattformen för tvistlösning online(11778/1/2025 – C10-0309/2025 – 2023/0376(COD))"/>
  </w:docVars>
  <w:rsids>
    <w:rsidRoot w:val="000F41BC"/>
    <w:rsid w:val="00002272"/>
    <w:rsid w:val="0002760A"/>
    <w:rsid w:val="00064002"/>
    <w:rsid w:val="000677B9"/>
    <w:rsid w:val="000831BA"/>
    <w:rsid w:val="000A42CC"/>
    <w:rsid w:val="000A49BB"/>
    <w:rsid w:val="000A56DF"/>
    <w:rsid w:val="000E7DD9"/>
    <w:rsid w:val="000F41BC"/>
    <w:rsid w:val="0010095E"/>
    <w:rsid w:val="00125B37"/>
    <w:rsid w:val="00187494"/>
    <w:rsid w:val="001F32AE"/>
    <w:rsid w:val="00244934"/>
    <w:rsid w:val="002767FF"/>
    <w:rsid w:val="002B18FE"/>
    <w:rsid w:val="002B5493"/>
    <w:rsid w:val="00343214"/>
    <w:rsid w:val="00361C00"/>
    <w:rsid w:val="00395FA1"/>
    <w:rsid w:val="003A4B8C"/>
    <w:rsid w:val="003E15D4"/>
    <w:rsid w:val="00411CCE"/>
    <w:rsid w:val="0041666E"/>
    <w:rsid w:val="00421060"/>
    <w:rsid w:val="004577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07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128"/>
    <w:rsid w:val="00A27D6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73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E4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B9C63"/>
  <w15:chartTrackingRefBased/>
  <w15:docId w15:val="{1DC272D9-741D-4200-86BB-FA035512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4B8C"/>
    <w:pPr>
      <w:spacing w:before="480" w:after="240"/>
    </w:pPr>
  </w:style>
  <w:style w:type="paragraph" w:customStyle="1" w:styleId="NormalBold">
    <w:name w:val="NormalBold"/>
    <w:basedOn w:val="Normal"/>
    <w:rsid w:val="003A4B8C"/>
    <w:rPr>
      <w:b/>
    </w:rPr>
  </w:style>
  <w:style w:type="paragraph" w:customStyle="1" w:styleId="NormalHanging12a">
    <w:name w:val="NormalHanging12a"/>
    <w:basedOn w:val="Normal"/>
    <w:rsid w:val="003A4B8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57716"/>
    <w:rPr>
      <w:sz w:val="24"/>
      <w:lang w:val="sv-SE"/>
    </w:rPr>
  </w:style>
  <w:style w:type="character" w:styleId="Hyperlink">
    <w:name w:val="Hyperlink"/>
    <w:basedOn w:val="DefaultParagraphFont"/>
    <w:rsid w:val="00457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2025-12-16T12:51:00Z</dcterms:created>
  <dcterms:modified xsi:type="dcterms:W3CDTF">2025-12-16T12:51:00Z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