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30ED1" w14:paraId="0B2B964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B801DB" w14:textId="77777777" w:rsidR="00751A4A" w:rsidRPr="00A30ED1" w:rsidRDefault="008A648B" w:rsidP="0010095E">
            <w:pPr>
              <w:pStyle w:val="EPName"/>
            </w:pPr>
            <w:r w:rsidRPr="00A30ED1">
              <w:t>Parlement européen</w:t>
            </w:r>
          </w:p>
          <w:p w14:paraId="0D2C0E3F" w14:textId="77777777" w:rsidR="00751A4A" w:rsidRPr="00A30ED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0ED1">
              <w:t>2024</w:t>
            </w:r>
            <w:r w:rsidR="00817416" w:rsidRPr="00A30ED1">
              <w:t>-202</w:t>
            </w:r>
            <w:r w:rsidRPr="00A30ED1">
              <w:t>9</w:t>
            </w:r>
          </w:p>
        </w:tc>
        <w:tc>
          <w:tcPr>
            <w:tcW w:w="2268" w:type="dxa"/>
            <w:shd w:val="clear" w:color="auto" w:fill="auto"/>
          </w:tcPr>
          <w:p w14:paraId="6E2B38B6" w14:textId="77777777" w:rsidR="00751A4A" w:rsidRPr="00A30ED1" w:rsidRDefault="00187494" w:rsidP="0010095E">
            <w:pPr>
              <w:pStyle w:val="EPLogo"/>
            </w:pPr>
            <w:r w:rsidRPr="00A30ED1">
              <w:rPr>
                <w:noProof/>
                <w:lang w:eastAsia="ja-JP"/>
              </w:rPr>
              <w:drawing>
                <wp:inline distT="0" distB="0" distL="0" distR="0" wp14:anchorId="195117B2" wp14:editId="5706C10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31EF4D" w14:textId="77777777" w:rsidR="00D058B8" w:rsidRPr="00A30ED1" w:rsidRDefault="00D058B8" w:rsidP="004C5D52">
      <w:pPr>
        <w:pStyle w:val="LineTop"/>
      </w:pPr>
    </w:p>
    <w:p w14:paraId="70B622F4" w14:textId="77777777" w:rsidR="00680577" w:rsidRPr="00A30ED1" w:rsidRDefault="008A648B" w:rsidP="00680577">
      <w:pPr>
        <w:pStyle w:val="EPBodyTA1"/>
      </w:pPr>
      <w:r w:rsidRPr="00A30ED1">
        <w:t>TEXTES ADOPTÉS</w:t>
      </w:r>
    </w:p>
    <w:p w14:paraId="1667DD82" w14:textId="77777777" w:rsidR="00D058B8" w:rsidRPr="00A30ED1" w:rsidRDefault="00D058B8" w:rsidP="00D058B8">
      <w:pPr>
        <w:pStyle w:val="LineBottom"/>
      </w:pPr>
    </w:p>
    <w:p w14:paraId="29A9893D" w14:textId="2BF10D8D" w:rsidR="008A648B" w:rsidRPr="00A30ED1" w:rsidRDefault="008A648B" w:rsidP="008A648B">
      <w:pPr>
        <w:pStyle w:val="ATHeading1"/>
      </w:pPr>
      <w:bookmarkStart w:id="0" w:name="TANumber"/>
      <w:r w:rsidRPr="00A30ED1">
        <w:t>P10_</w:t>
      </w:r>
      <w:proofErr w:type="gramStart"/>
      <w:r w:rsidRPr="00A30ED1">
        <w:t>TA(</w:t>
      </w:r>
      <w:proofErr w:type="gramEnd"/>
      <w:r w:rsidRPr="00A30ED1">
        <w:t>2025)0</w:t>
      </w:r>
      <w:bookmarkEnd w:id="0"/>
      <w:r w:rsidR="000A5F6F">
        <w:t>319</w:t>
      </w:r>
    </w:p>
    <w:p w14:paraId="6802A7CC" w14:textId="16C8856A" w:rsidR="008A648B" w:rsidRPr="00A30ED1" w:rsidRDefault="00FD44F1" w:rsidP="008A648B">
      <w:pPr>
        <w:pStyle w:val="ATHeading2"/>
      </w:pPr>
      <w:bookmarkStart w:id="1" w:name="title"/>
      <w:r w:rsidRPr="00FD44F1">
        <w:t>Octroi de licences obligatoires pour la gestion de crise</w:t>
      </w:r>
      <w:bookmarkEnd w:id="1"/>
      <w:r w:rsidR="00323D78">
        <w:t>s</w:t>
      </w:r>
    </w:p>
    <w:p w14:paraId="48EC379E" w14:textId="77777777" w:rsidR="008A648B" w:rsidRPr="00A30ED1" w:rsidRDefault="008A648B" w:rsidP="008A648B">
      <w:pPr>
        <w:rPr>
          <w:i/>
          <w:vanish/>
        </w:rPr>
      </w:pPr>
      <w:r w:rsidRPr="00A30ED1">
        <w:rPr>
          <w:i/>
        </w:rPr>
        <w:fldChar w:fldCharType="begin"/>
      </w:r>
      <w:r w:rsidRPr="00A30ED1">
        <w:rPr>
          <w:i/>
        </w:rPr>
        <w:instrText xml:space="preserve"> TC"(</w:instrText>
      </w:r>
      <w:bookmarkStart w:id="2" w:name="DocNumber"/>
      <w:r w:rsidRPr="00A30ED1">
        <w:rPr>
          <w:i/>
        </w:rPr>
        <w:instrText>A10-0246/2025</w:instrText>
      </w:r>
      <w:bookmarkEnd w:id="2"/>
      <w:r w:rsidRPr="00A30ED1">
        <w:rPr>
          <w:i/>
        </w:rPr>
        <w:instrText xml:space="preserve"> - Rapporteur: Adrián Vázquez Lázara)"\l3 \n&gt; \* MERGEFORMAT </w:instrText>
      </w:r>
      <w:r w:rsidRPr="00A30ED1">
        <w:rPr>
          <w:i/>
        </w:rPr>
        <w:fldChar w:fldCharType="end"/>
      </w:r>
    </w:p>
    <w:p w14:paraId="291E8191" w14:textId="77777777" w:rsidR="008A648B" w:rsidRPr="00A30ED1" w:rsidRDefault="008A648B" w:rsidP="008A648B">
      <w:pPr>
        <w:rPr>
          <w:vanish/>
        </w:rPr>
      </w:pPr>
      <w:bookmarkStart w:id="3" w:name="Commission"/>
      <w:r w:rsidRPr="00A30ED1">
        <w:rPr>
          <w:vanish/>
        </w:rPr>
        <w:t>Commission des affaires juridiques</w:t>
      </w:r>
      <w:bookmarkEnd w:id="3"/>
    </w:p>
    <w:p w14:paraId="125D5100" w14:textId="77777777" w:rsidR="008A648B" w:rsidRPr="00A30ED1" w:rsidRDefault="008A648B" w:rsidP="008A648B">
      <w:pPr>
        <w:rPr>
          <w:vanish/>
        </w:rPr>
      </w:pPr>
      <w:bookmarkStart w:id="4" w:name="PE"/>
      <w:r w:rsidRPr="00A30ED1">
        <w:rPr>
          <w:vanish/>
        </w:rPr>
        <w:t>PE781.113</w:t>
      </w:r>
      <w:bookmarkEnd w:id="4"/>
    </w:p>
    <w:p w14:paraId="20F91EC1" w14:textId="4DC17DFB" w:rsidR="008A648B" w:rsidRPr="00A30ED1" w:rsidRDefault="008A648B" w:rsidP="008A648B">
      <w:pPr>
        <w:pStyle w:val="ATHeading3"/>
      </w:pPr>
      <w:bookmarkStart w:id="5" w:name="Sujet"/>
      <w:r w:rsidRPr="00A30ED1">
        <w:t xml:space="preserve">Résolution législative du Parlement européen du </w:t>
      </w:r>
      <w:r w:rsidR="00FD44F1">
        <w:t>16</w:t>
      </w:r>
      <w:r w:rsidR="00705B44">
        <w:t xml:space="preserve"> décembre</w:t>
      </w:r>
      <w:r w:rsidRPr="00A30ED1">
        <w:t xml:space="preserve"> 2025 sur la position du Conseil en première lecture en vue de l’adoption du règlement du Parlement européen et du Conseil relatif à l’octroi de licences obligatoires pour la gestion de crise et modifiant le règlement (CE) nº 816/2006</w:t>
      </w:r>
      <w:bookmarkEnd w:id="5"/>
      <w:r w:rsidRPr="00A30ED1">
        <w:t xml:space="preserve"> </w:t>
      </w:r>
      <w:bookmarkStart w:id="6" w:name="References"/>
      <w:r w:rsidRPr="00A30ED1">
        <w:t>(10498/2/2025 – C10-0281/2025 – 2023/0129(COD))</w:t>
      </w:r>
      <w:bookmarkEnd w:id="6"/>
    </w:p>
    <w:p w14:paraId="101D9CF8" w14:textId="77777777" w:rsidR="008A648B" w:rsidRPr="00A30ED1" w:rsidRDefault="008A648B" w:rsidP="008A648B"/>
    <w:p w14:paraId="17DFA6EC" w14:textId="77777777" w:rsidR="00464F88" w:rsidRPr="00A30ED1" w:rsidRDefault="00464F88" w:rsidP="00464F88">
      <w:pPr>
        <w:pStyle w:val="NormalBold"/>
      </w:pPr>
      <w:bookmarkStart w:id="7" w:name="TextBodyBegin"/>
      <w:bookmarkEnd w:id="7"/>
      <w:r w:rsidRPr="00A30ED1">
        <w:t>(Procédure législative ordinaire: deuxième lecture)</w:t>
      </w:r>
    </w:p>
    <w:p w14:paraId="7A136BB8" w14:textId="77777777" w:rsidR="00464F88" w:rsidRPr="00A30ED1" w:rsidRDefault="00464F88" w:rsidP="00464F88">
      <w:pPr>
        <w:pStyle w:val="EPComma"/>
      </w:pPr>
      <w:r w:rsidRPr="00A30ED1">
        <w:rPr>
          <w:i/>
        </w:rPr>
        <w:t>Le Parlement européen</w:t>
      </w:r>
      <w:r w:rsidRPr="00A30ED1">
        <w:t>,</w:t>
      </w:r>
    </w:p>
    <w:p w14:paraId="561876B1" w14:textId="77777777" w:rsidR="00464F88" w:rsidRPr="00A30ED1" w:rsidRDefault="00464F88" w:rsidP="00464F88">
      <w:pPr>
        <w:pStyle w:val="NormalHanging12a"/>
      </w:pPr>
      <w:r w:rsidRPr="00A30ED1">
        <w:t>–</w:t>
      </w:r>
      <w:r w:rsidRPr="00A30ED1">
        <w:tab/>
        <w:t>vu la position du Conseil en première lecture (10498/2/2025 – C10</w:t>
      </w:r>
      <w:r w:rsidRPr="00A30ED1">
        <w:noBreakHyphen/>
        <w:t>0281/2025),</w:t>
      </w:r>
    </w:p>
    <w:p w14:paraId="038E4018" w14:textId="77777777" w:rsidR="00464F88" w:rsidRPr="00A30ED1" w:rsidRDefault="00464F88" w:rsidP="00464F88">
      <w:pPr>
        <w:pStyle w:val="NormalHanging12a"/>
      </w:pPr>
      <w:r w:rsidRPr="00A30ED1">
        <w:t>–</w:t>
      </w:r>
      <w:r w:rsidRPr="00A30ED1">
        <w:tab/>
        <w:t>vu l’avis du Comité économique et social européen du 20 septembre 2023</w:t>
      </w:r>
      <w:r w:rsidRPr="00A30ED1">
        <w:rPr>
          <w:vertAlign w:val="superscript"/>
        </w:rPr>
        <w:footnoteReference w:id="1"/>
      </w:r>
      <w:r w:rsidRPr="00A30ED1">
        <w:t>,</w:t>
      </w:r>
    </w:p>
    <w:p w14:paraId="033D7964" w14:textId="77777777" w:rsidR="00464F88" w:rsidRPr="00A30ED1" w:rsidRDefault="00464F88" w:rsidP="00464F88">
      <w:pPr>
        <w:pStyle w:val="NormalHanging12a"/>
      </w:pPr>
      <w:r w:rsidRPr="00A30ED1">
        <w:t>–</w:t>
      </w:r>
      <w:r w:rsidRPr="00A30ED1">
        <w:tab/>
        <w:t>vu sa position en première lecture</w:t>
      </w:r>
      <w:r w:rsidRPr="00A30ED1">
        <w:rPr>
          <w:vertAlign w:val="superscript"/>
        </w:rPr>
        <w:footnoteReference w:id="2"/>
      </w:r>
      <w:r w:rsidRPr="00A30ED1">
        <w:t xml:space="preserve"> sur la proposition de la Commission au Parlement européen et au Conseil (COM(2023)0224),</w:t>
      </w:r>
    </w:p>
    <w:p w14:paraId="6866AC4B" w14:textId="77777777" w:rsidR="00464F88" w:rsidRPr="00A30ED1" w:rsidRDefault="00464F88" w:rsidP="00464F88">
      <w:pPr>
        <w:pStyle w:val="NormalHanging12a"/>
      </w:pPr>
      <w:r w:rsidRPr="00A30ED1">
        <w:t>–</w:t>
      </w:r>
      <w:r w:rsidRPr="00A30ED1">
        <w:tab/>
        <w:t>vu l’article 294, paragraphe 7, du traité sur le fonctionnement de l’Union européenne,</w:t>
      </w:r>
    </w:p>
    <w:p w14:paraId="45ECB794" w14:textId="77777777" w:rsidR="00464F88" w:rsidRPr="00A30ED1" w:rsidRDefault="00464F88" w:rsidP="00464F88">
      <w:pPr>
        <w:pStyle w:val="NormalHanging12a"/>
      </w:pPr>
      <w:r w:rsidRPr="00A30ED1">
        <w:t>–</w:t>
      </w:r>
      <w:r w:rsidRPr="00A30ED1">
        <w:tab/>
        <w:t>vu l’accord provisoire approuvé en vertu de l’article 75, paragraphe 4, de son règlement intérieur par la commission compétente,</w:t>
      </w:r>
    </w:p>
    <w:p w14:paraId="254B7CB0" w14:textId="77777777" w:rsidR="00464F88" w:rsidRPr="00A30ED1" w:rsidRDefault="00464F88" w:rsidP="00464F88">
      <w:pPr>
        <w:pStyle w:val="NormalHanging12a"/>
      </w:pPr>
      <w:r w:rsidRPr="00A30ED1">
        <w:t>–</w:t>
      </w:r>
      <w:r w:rsidRPr="00A30ED1">
        <w:tab/>
        <w:t>vu l’article 68 de son règlement intérieur,</w:t>
      </w:r>
    </w:p>
    <w:p w14:paraId="5BFB3032" w14:textId="77777777" w:rsidR="00464F88" w:rsidRPr="00A30ED1" w:rsidRDefault="00464F88" w:rsidP="00464F88">
      <w:pPr>
        <w:pStyle w:val="NormalHanging12a"/>
      </w:pPr>
      <w:r w:rsidRPr="00A30ED1">
        <w:t>–</w:t>
      </w:r>
      <w:r w:rsidRPr="00A30ED1">
        <w:tab/>
        <w:t>vu la recommandation pour la deuxième lecture de la commission des affaires juridiques (A10-0246/2025),</w:t>
      </w:r>
    </w:p>
    <w:p w14:paraId="4E74DA36" w14:textId="77777777" w:rsidR="00464F88" w:rsidRPr="00A30ED1" w:rsidRDefault="00464F88" w:rsidP="00464F88">
      <w:pPr>
        <w:pStyle w:val="NormalHanging12a"/>
      </w:pPr>
      <w:r w:rsidRPr="00A30ED1">
        <w:t>1.</w:t>
      </w:r>
      <w:r w:rsidRPr="00A30ED1">
        <w:tab/>
        <w:t>approuve la position du Conseil en première lecture;</w:t>
      </w:r>
    </w:p>
    <w:p w14:paraId="73E4209B" w14:textId="77777777" w:rsidR="00464F88" w:rsidRPr="00A30ED1" w:rsidRDefault="00464F88" w:rsidP="00464F88">
      <w:pPr>
        <w:pStyle w:val="NormalHanging12a"/>
      </w:pPr>
      <w:r w:rsidRPr="00A30ED1">
        <w:t>2.</w:t>
      </w:r>
      <w:r w:rsidRPr="00A30ED1">
        <w:tab/>
        <w:t xml:space="preserve">prend note de la déclaration de la Commission annexée à la présente résolution, qui sera publiée dans la série C du </w:t>
      </w:r>
      <w:r w:rsidRPr="00A30ED1">
        <w:rPr>
          <w:i/>
        </w:rPr>
        <w:t>Journal officiel de l’Union européenne</w:t>
      </w:r>
      <w:r w:rsidRPr="00A30ED1">
        <w:t>;</w:t>
      </w:r>
    </w:p>
    <w:p w14:paraId="11C3D618" w14:textId="77777777" w:rsidR="00464F88" w:rsidRPr="00A30ED1" w:rsidRDefault="00464F88" w:rsidP="00464F88">
      <w:pPr>
        <w:pStyle w:val="NormalHanging12a"/>
      </w:pPr>
      <w:r w:rsidRPr="00A30ED1">
        <w:lastRenderedPageBreak/>
        <w:t>3.</w:t>
      </w:r>
      <w:r w:rsidRPr="00A30ED1">
        <w:tab/>
        <w:t>constate que l’acte est adopté conformément à la position du Conseil;</w:t>
      </w:r>
    </w:p>
    <w:p w14:paraId="20F90CE5" w14:textId="10972A06" w:rsidR="00464F88" w:rsidRPr="00A30ED1" w:rsidRDefault="00464F88" w:rsidP="00464F88">
      <w:pPr>
        <w:pStyle w:val="NormalHanging12a"/>
      </w:pPr>
      <w:r w:rsidRPr="00A30ED1">
        <w:t>4.</w:t>
      </w:r>
      <w:r w:rsidRPr="00A30ED1">
        <w:tab/>
        <w:t>charge sa Présidente de signer l’acte, avec l</w:t>
      </w:r>
      <w:r w:rsidR="00AC18F4">
        <w:t>e</w:t>
      </w:r>
      <w:r w:rsidRPr="00A30ED1">
        <w:t xml:space="preserve"> Président du Conseil, conformément à l’article 297, paragraphe 1, du traité sur le fonctionnement de l’Union </w:t>
      </w:r>
      <w:proofErr w:type="gramStart"/>
      <w:r w:rsidRPr="00A30ED1">
        <w:t>européenne;</w:t>
      </w:r>
      <w:proofErr w:type="gramEnd"/>
    </w:p>
    <w:p w14:paraId="0D706D2F" w14:textId="77777777" w:rsidR="00464F88" w:rsidRPr="00A30ED1" w:rsidRDefault="00464F88" w:rsidP="00464F88">
      <w:pPr>
        <w:pStyle w:val="NormalHanging12a"/>
      </w:pPr>
      <w:r w:rsidRPr="00A30ED1">
        <w:t>5.</w:t>
      </w:r>
      <w:r w:rsidRPr="00A30ED1">
        <w:tab/>
        <w:t xml:space="preserve">charge son secrétaire général de signer l’acte, après qu’il a été vérifié que toutes les procédures ont été dûment accomplies, et de procéder, en accord avec le secrétaire général du Conseil, à sa publication au </w:t>
      </w:r>
      <w:r w:rsidRPr="00A30ED1">
        <w:rPr>
          <w:i/>
        </w:rPr>
        <w:t>Journal officiel de l’Union européenne</w:t>
      </w:r>
      <w:r w:rsidRPr="00A30ED1">
        <w:t>;</w:t>
      </w:r>
    </w:p>
    <w:p w14:paraId="2D195C32" w14:textId="77777777" w:rsidR="00464F88" w:rsidRPr="00A30ED1" w:rsidRDefault="00464F88" w:rsidP="00464F88">
      <w:pPr>
        <w:pStyle w:val="NormalHanging12a"/>
      </w:pPr>
      <w:r w:rsidRPr="00A30ED1">
        <w:t>6.</w:t>
      </w:r>
      <w:r w:rsidRPr="00A30ED1">
        <w:tab/>
        <w:t>charge sa Présidente de transmettre la position du Parlement au Conseil et à la Commission ainsi qu’aux parlements nationaux.</w:t>
      </w:r>
    </w:p>
    <w:p w14:paraId="40F2C5E0" w14:textId="77777777" w:rsidR="00464F88" w:rsidRPr="00A30ED1" w:rsidRDefault="00464F88" w:rsidP="00464F88">
      <w:pPr>
        <w:pStyle w:val="PageHeading"/>
        <w:sectPr w:rsidR="00464F88" w:rsidRPr="00A30ED1" w:rsidSect="00A30ED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C9E08CD" w14:textId="77777777" w:rsidR="00464F88" w:rsidRPr="00A30ED1" w:rsidRDefault="00464F88" w:rsidP="00FD44F1">
      <w:pPr>
        <w:pStyle w:val="PageHeading"/>
        <w:jc w:val="right"/>
      </w:pPr>
      <w:bookmarkStart w:id="8" w:name="_Toc215760136"/>
      <w:r w:rsidRPr="00A30ED1">
        <w:lastRenderedPageBreak/>
        <w:t>ANNEXE À LA RÉSOLUTION LÉGISLATIVE</w:t>
      </w:r>
      <w:bookmarkEnd w:id="8"/>
    </w:p>
    <w:p w14:paraId="2F52ACB1" w14:textId="12F41C42" w:rsidR="00464F88" w:rsidRPr="00A30ED1" w:rsidRDefault="00464F88" w:rsidP="00464F88">
      <w:pPr>
        <w:widowControl/>
        <w:rPr>
          <w:b/>
          <w:bCs/>
        </w:rPr>
      </w:pPr>
      <w:r w:rsidRPr="00A30ED1">
        <w:rPr>
          <w:b/>
        </w:rPr>
        <w:t>Déclaration de la Commission concernant le règlement (CE) nº 816/2006 à l’occasion de l’adoption du règlement (UE) 2025/</w:t>
      </w:r>
      <w:r w:rsidR="0032735A" w:rsidRPr="00D33F7A">
        <w:rPr>
          <w:b/>
        </w:rPr>
        <w:t xml:space="preserve">2645 </w:t>
      </w:r>
      <w:r w:rsidRPr="00A30ED1">
        <w:rPr>
          <w:b/>
        </w:rPr>
        <w:t>du Parlement européen et du Conseil relatif à l’octroi de licences obligatoires pour la gestion de crise</w:t>
      </w:r>
      <w:r w:rsidR="00323D78">
        <w:rPr>
          <w:b/>
        </w:rPr>
        <w:t>s</w:t>
      </w:r>
      <w:r w:rsidRPr="00A30ED1">
        <w:rPr>
          <w:b/>
        </w:rPr>
        <w:t xml:space="preserve"> et modifiant le règlement (CE) nº 816/2006</w:t>
      </w:r>
    </w:p>
    <w:p w14:paraId="11B7C2BE" w14:textId="77777777" w:rsidR="00464F88" w:rsidRPr="00A30ED1" w:rsidRDefault="00464F88" w:rsidP="00464F88">
      <w:pPr>
        <w:widowControl/>
      </w:pPr>
    </w:p>
    <w:p w14:paraId="51B6AE97" w14:textId="1F0A68E6" w:rsidR="00A30ED1" w:rsidRPr="00A30ED1" w:rsidRDefault="00464F88" w:rsidP="00A30ED1">
      <w:pPr>
        <w:widowControl/>
      </w:pPr>
      <w:r w:rsidRPr="00A30ED1">
        <w:t>La Commission s’engage à présenter un rapport au Parlement européen, au Conseil et au Comité économique et social européen sur le règlement (CE) nº 816/2006, conformément à l’article 19 dudit règlement.</w:t>
      </w:r>
    </w:p>
    <w:p w14:paraId="4D1CF952" w14:textId="3BD909C2" w:rsidR="00E365E1" w:rsidRPr="00A30ED1" w:rsidRDefault="00E365E1" w:rsidP="008A648B"/>
    <w:sectPr w:rsidR="00E365E1" w:rsidRPr="00A30ED1" w:rsidSect="00A30ED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A44DA" w14:textId="77777777" w:rsidR="008A648B" w:rsidRPr="00A30ED1" w:rsidRDefault="008A648B">
      <w:r w:rsidRPr="00A30ED1">
        <w:separator/>
      </w:r>
    </w:p>
  </w:endnote>
  <w:endnote w:type="continuationSeparator" w:id="0">
    <w:p w14:paraId="4DFC9776" w14:textId="77777777" w:rsidR="008A648B" w:rsidRPr="00A30ED1" w:rsidRDefault="008A648B">
      <w:r w:rsidRPr="00A30E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3E485" w14:textId="77777777" w:rsidR="00464F88" w:rsidRPr="00A30ED1" w:rsidRDefault="00464F88" w:rsidP="00CF45EF">
    <w:pPr>
      <w:pStyle w:val="EPFooter"/>
    </w:pPr>
    <w:r w:rsidRPr="00A30ED1">
      <w:t>PE</w:t>
    </w:r>
    <w:r w:rsidRPr="00A30ED1">
      <w:rPr>
        <w:rStyle w:val="HideTWBExt"/>
      </w:rPr>
      <w:t>&lt;NoPE&gt;</w:t>
    </w:r>
    <w:r w:rsidRPr="00A30ED1">
      <w:t>781.113</w:t>
    </w:r>
    <w:r w:rsidRPr="00A30ED1">
      <w:rPr>
        <w:rStyle w:val="HideTWBExt"/>
      </w:rPr>
      <w:t>&lt;/NoPE&gt;&lt;Version&gt;</w:t>
    </w:r>
    <w:r w:rsidRPr="00A30ED1">
      <w:t>v02-00</w:t>
    </w:r>
    <w:r w:rsidRPr="00A30ED1">
      <w:rPr>
        <w:rStyle w:val="HideTWBExt"/>
      </w:rPr>
      <w:t>&lt;/Version&gt;</w:t>
    </w:r>
    <w:r w:rsidRPr="00A30ED1">
      <w:tab/>
    </w:r>
    <w:r w:rsidRPr="00A30ED1">
      <w:fldChar w:fldCharType="begin"/>
    </w:r>
    <w:r w:rsidRPr="00A30ED1">
      <w:instrText xml:space="preserve"> PAGE  \* MERGEFORMAT </w:instrText>
    </w:r>
    <w:r w:rsidRPr="00A30ED1">
      <w:fldChar w:fldCharType="separate"/>
    </w:r>
    <w:r w:rsidRPr="00A30ED1">
      <w:rPr>
        <w:noProof/>
      </w:rPr>
      <w:t>4</w:t>
    </w:r>
    <w:r w:rsidRPr="00A30ED1">
      <w:fldChar w:fldCharType="end"/>
    </w:r>
    <w:r w:rsidRPr="00A30ED1">
      <w:t>/</w:t>
    </w:r>
    <w:r w:rsidR="0032735A">
      <w:fldChar w:fldCharType="begin"/>
    </w:r>
    <w:r w:rsidR="0032735A">
      <w:instrText xml:space="preserve"> NUMPAGES  \* MERGEFORMAT </w:instrText>
    </w:r>
    <w:r w:rsidR="0032735A">
      <w:fldChar w:fldCharType="separate"/>
    </w:r>
    <w:r w:rsidRPr="00A30ED1">
      <w:rPr>
        <w:noProof/>
      </w:rPr>
      <w:t>10</w:t>
    </w:r>
    <w:r w:rsidR="0032735A">
      <w:rPr>
        <w:noProof/>
      </w:rPr>
      <w:fldChar w:fldCharType="end"/>
    </w:r>
    <w:r w:rsidRPr="00A30ED1">
      <w:tab/>
    </w:r>
    <w:r w:rsidRPr="00A30ED1">
      <w:rPr>
        <w:rStyle w:val="HideTWBExt"/>
      </w:rPr>
      <w:t>&lt;PathFdR&gt;</w:t>
    </w:r>
    <w:r w:rsidRPr="00A30ED1">
      <w:t>RR\1333569FR.docx</w:t>
    </w:r>
    <w:r w:rsidRPr="00A30ED1">
      <w:rPr>
        <w:rStyle w:val="HideTWBExt"/>
      </w:rPr>
      <w:t>&lt;/PathFdR&gt;</w:t>
    </w:r>
  </w:p>
  <w:p w14:paraId="2642A200" w14:textId="77777777" w:rsidR="00464F88" w:rsidRPr="00A30ED1" w:rsidRDefault="00464F88" w:rsidP="00CF45EF">
    <w:pPr>
      <w:pStyle w:val="EPFooter2"/>
    </w:pPr>
    <w:r w:rsidRPr="00A30ED1"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1F833" w14:textId="13DCE4AF" w:rsidR="00464F88" w:rsidRPr="00A30ED1" w:rsidRDefault="00464F88" w:rsidP="00CF45EF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6A518" w14:textId="77777777" w:rsidR="00464F88" w:rsidRPr="00A30ED1" w:rsidRDefault="00464F88" w:rsidP="00CF45EF">
    <w:pPr>
      <w:pStyle w:val="EPFooter"/>
    </w:pPr>
    <w:r w:rsidRPr="00A30ED1">
      <w:rPr>
        <w:rStyle w:val="HideTWBExt"/>
      </w:rPr>
      <w:t>&lt;PathFdR&gt;</w:t>
    </w:r>
    <w:r w:rsidRPr="00A30ED1">
      <w:t>RR\1333569FR.docx</w:t>
    </w:r>
    <w:r w:rsidRPr="00A30ED1">
      <w:rPr>
        <w:rStyle w:val="HideTWBExt"/>
      </w:rPr>
      <w:t>&lt;/PathFdR&gt;</w:t>
    </w:r>
    <w:r w:rsidRPr="00A30ED1">
      <w:tab/>
    </w:r>
    <w:r w:rsidRPr="00A30ED1">
      <w:tab/>
      <w:t>PE</w:t>
    </w:r>
    <w:r w:rsidRPr="00A30ED1">
      <w:rPr>
        <w:rStyle w:val="HideTWBExt"/>
      </w:rPr>
      <w:t>&lt;NoPE&gt;</w:t>
    </w:r>
    <w:r w:rsidRPr="00A30ED1">
      <w:t>781.113</w:t>
    </w:r>
    <w:r w:rsidRPr="00A30ED1">
      <w:rPr>
        <w:rStyle w:val="HideTWBExt"/>
      </w:rPr>
      <w:t>&lt;/NoPE&gt;&lt;Version&gt;</w:t>
    </w:r>
    <w:r w:rsidRPr="00A30ED1">
      <w:t>v02-00</w:t>
    </w:r>
    <w:r w:rsidRPr="00A30ED1">
      <w:rPr>
        <w:rStyle w:val="HideTWBExt"/>
      </w:rPr>
      <w:t>&lt;/Version&gt;</w:t>
    </w:r>
  </w:p>
  <w:p w14:paraId="4D286C8C" w14:textId="77777777" w:rsidR="00464F88" w:rsidRPr="00A30ED1" w:rsidRDefault="00464F88" w:rsidP="00CF45EF">
    <w:pPr>
      <w:pStyle w:val="EPFooter2"/>
    </w:pPr>
    <w:r w:rsidRPr="00A30ED1">
      <w:t>FR</w:t>
    </w:r>
    <w:r w:rsidRPr="00A30ED1">
      <w:tab/>
    </w:r>
    <w:r w:rsidRPr="00A30ED1">
      <w:rPr>
        <w:b w:val="0"/>
        <w:i/>
        <w:color w:val="C0C0C0"/>
        <w:sz w:val="22"/>
      </w:rPr>
      <w:t>Unie dans la diversité</w:t>
    </w:r>
    <w:r w:rsidRPr="00A30ED1">
      <w:tab/>
      <w:t>FR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55F5A" w14:textId="77777777" w:rsidR="00064002" w:rsidRPr="00A30ED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433D3" w14:textId="77777777" w:rsidR="00064002" w:rsidRPr="00A30ED1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0BD35" w14:textId="77777777" w:rsidR="00064002" w:rsidRPr="00A30E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DBD80" w14:textId="77777777" w:rsidR="008A648B" w:rsidRPr="00A30ED1" w:rsidRDefault="008A648B">
      <w:r w:rsidRPr="00A30ED1">
        <w:separator/>
      </w:r>
    </w:p>
  </w:footnote>
  <w:footnote w:type="continuationSeparator" w:id="0">
    <w:p w14:paraId="44410950" w14:textId="77777777" w:rsidR="008A648B" w:rsidRPr="00A30ED1" w:rsidRDefault="008A648B">
      <w:r w:rsidRPr="00A30ED1">
        <w:continuationSeparator/>
      </w:r>
    </w:p>
  </w:footnote>
  <w:footnote w:id="1">
    <w:p w14:paraId="165E7391" w14:textId="0AA4E48F" w:rsidR="00464F88" w:rsidRPr="00FD44F1" w:rsidRDefault="00464F88" w:rsidP="00A30ED1">
      <w:pPr>
        <w:pStyle w:val="FootnoteText"/>
        <w:ind w:left="567" w:hanging="567"/>
        <w:rPr>
          <w:sz w:val="24"/>
          <w:lang w:val="fi-FI"/>
        </w:rPr>
      </w:pPr>
      <w:r w:rsidRPr="00A30ED1">
        <w:rPr>
          <w:rStyle w:val="FootnoteReference"/>
          <w:sz w:val="24"/>
        </w:rPr>
        <w:footnoteRef/>
      </w:r>
      <w:r w:rsidR="00A30ED1" w:rsidRPr="00FD44F1">
        <w:rPr>
          <w:color w:val="333333"/>
          <w:sz w:val="24"/>
          <w:shd w:val="clear" w:color="auto" w:fill="FFFFFF"/>
          <w:lang w:val="fi-FI"/>
        </w:rPr>
        <w:t xml:space="preserve"> </w:t>
      </w:r>
      <w:r w:rsidR="00A30ED1" w:rsidRPr="00FD44F1">
        <w:rPr>
          <w:color w:val="333333"/>
          <w:sz w:val="24"/>
          <w:shd w:val="clear" w:color="auto" w:fill="FFFFFF"/>
          <w:lang w:val="fi-FI"/>
        </w:rPr>
        <w:tab/>
      </w:r>
      <w:r w:rsidRPr="00FD44F1">
        <w:rPr>
          <w:color w:val="333333"/>
          <w:sz w:val="24"/>
          <w:shd w:val="clear" w:color="auto" w:fill="FFFFFF"/>
          <w:lang w:val="fi-FI"/>
        </w:rPr>
        <w:t>JO C, C/2023/865, 8.12.2023, ELI: </w:t>
      </w:r>
      <w:hyperlink r:id="rId1" w:tgtFrame="_blank" w:tooltip="Permet d’accéder à ce document par l’intermédiaire de son URI ELI." w:history="1">
        <w:r w:rsidRPr="00FD44F1">
          <w:rPr>
            <w:rStyle w:val="Hyperlink"/>
            <w:color w:val="0E47CB"/>
            <w:sz w:val="24"/>
            <w:shd w:val="clear" w:color="auto" w:fill="FFFFFF"/>
            <w:lang w:val="fi-FI"/>
          </w:rPr>
          <w:t>http://data.europa.eu/eli/C/2023/865/oj</w:t>
        </w:r>
      </w:hyperlink>
      <w:r w:rsidRPr="00FD44F1">
        <w:rPr>
          <w:color w:val="333333"/>
          <w:sz w:val="24"/>
          <w:shd w:val="clear" w:color="auto" w:fill="FFFFFF"/>
          <w:lang w:val="fi-FI"/>
        </w:rPr>
        <w:t>.</w:t>
      </w:r>
      <w:r w:rsidRPr="00FD44F1">
        <w:rPr>
          <w:i/>
          <w:color w:val="333333"/>
          <w:sz w:val="24"/>
          <w:shd w:val="clear" w:color="auto" w:fill="FFFFFF"/>
          <w:lang w:val="fi-FI"/>
        </w:rPr>
        <w:t> </w:t>
      </w:r>
    </w:p>
  </w:footnote>
  <w:footnote w:id="2">
    <w:p w14:paraId="40845200" w14:textId="3B650612" w:rsidR="00464F88" w:rsidRPr="00FD44F1" w:rsidRDefault="00464F88" w:rsidP="00A30ED1">
      <w:pPr>
        <w:pStyle w:val="FootnoteText"/>
        <w:ind w:left="567" w:hanging="567"/>
        <w:rPr>
          <w:sz w:val="24"/>
          <w:lang w:val="fi-FI"/>
        </w:rPr>
      </w:pPr>
      <w:r w:rsidRPr="00A30ED1">
        <w:rPr>
          <w:rStyle w:val="FootnoteReference"/>
          <w:sz w:val="24"/>
        </w:rPr>
        <w:footnoteRef/>
      </w:r>
      <w:r w:rsidR="00A30ED1" w:rsidRPr="00FD44F1">
        <w:rPr>
          <w:sz w:val="24"/>
          <w:lang w:val="fi-FI"/>
        </w:rPr>
        <w:t xml:space="preserve"> </w:t>
      </w:r>
      <w:r w:rsidR="00A30ED1" w:rsidRPr="00FD44F1">
        <w:rPr>
          <w:sz w:val="24"/>
          <w:lang w:val="fi-FI"/>
        </w:rPr>
        <w:tab/>
      </w:r>
      <w:r w:rsidRPr="00FD44F1">
        <w:rPr>
          <w:sz w:val="24"/>
          <w:lang w:val="fi-FI"/>
        </w:rPr>
        <w:t xml:space="preserve">JO C, C/2025/1031, 27.2.2025, </w:t>
      </w:r>
      <w:r w:rsidRPr="00FD44F1">
        <w:rPr>
          <w:color w:val="333333"/>
          <w:sz w:val="24"/>
          <w:shd w:val="clear" w:color="auto" w:fill="FFFFFF"/>
          <w:lang w:val="fi-FI"/>
        </w:rPr>
        <w:t>ELI: </w:t>
      </w:r>
      <w:hyperlink r:id="rId2" w:tgtFrame="_blank" w:tooltip="Permet d’accéder à ce document par l’intermédiaire de son URI ELI." w:history="1">
        <w:r w:rsidRPr="00FD44F1">
          <w:rPr>
            <w:rStyle w:val="Hyperlink"/>
            <w:color w:val="0E47CB"/>
            <w:sz w:val="24"/>
            <w:shd w:val="clear" w:color="auto" w:fill="FFFFFF"/>
            <w:lang w:val="fi-FI"/>
          </w:rPr>
          <w:t>http://data.europa.eu/eli/C/2025/1031/oj</w:t>
        </w:r>
      </w:hyperlink>
      <w:r w:rsidRPr="00FD44F1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E5366" w14:textId="77777777" w:rsidR="00464F88" w:rsidRPr="00A30ED1" w:rsidRDefault="00464F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499A" w14:textId="77777777" w:rsidR="00464F88" w:rsidRPr="00A30ED1" w:rsidRDefault="00464F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2087C" w14:textId="77777777" w:rsidR="00464F88" w:rsidRPr="00A30ED1" w:rsidRDefault="00464F8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6703D" w14:textId="77777777" w:rsidR="00064002" w:rsidRPr="00A30ED1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C0BEC" w14:textId="77777777" w:rsidR="00064002" w:rsidRPr="00A30ED1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43109" w14:textId="77777777" w:rsidR="00064002" w:rsidRPr="00A30E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0109798">
    <w:abstractNumId w:val="9"/>
  </w:num>
  <w:num w:numId="2" w16cid:durableId="870458191">
    <w:abstractNumId w:val="9"/>
  </w:num>
  <w:num w:numId="3" w16cid:durableId="190648285">
    <w:abstractNumId w:val="7"/>
  </w:num>
  <w:num w:numId="4" w16cid:durableId="372582045">
    <w:abstractNumId w:val="7"/>
  </w:num>
  <w:num w:numId="5" w16cid:durableId="55856794">
    <w:abstractNumId w:val="6"/>
  </w:num>
  <w:num w:numId="6" w16cid:durableId="1807314441">
    <w:abstractNumId w:val="6"/>
  </w:num>
  <w:num w:numId="7" w16cid:durableId="1713966144">
    <w:abstractNumId w:val="5"/>
  </w:num>
  <w:num w:numId="8" w16cid:durableId="1870795832">
    <w:abstractNumId w:val="5"/>
  </w:num>
  <w:num w:numId="9" w16cid:durableId="1061906297">
    <w:abstractNumId w:val="4"/>
  </w:num>
  <w:num w:numId="10" w16cid:durableId="143662768">
    <w:abstractNumId w:val="4"/>
  </w:num>
  <w:num w:numId="11" w16cid:durableId="1278560138">
    <w:abstractNumId w:val="8"/>
  </w:num>
  <w:num w:numId="12" w16cid:durableId="1381709678">
    <w:abstractNumId w:val="8"/>
  </w:num>
  <w:num w:numId="13" w16cid:durableId="2145807036">
    <w:abstractNumId w:val="3"/>
  </w:num>
  <w:num w:numId="14" w16cid:durableId="601377995">
    <w:abstractNumId w:val="3"/>
  </w:num>
  <w:num w:numId="15" w16cid:durableId="1308165294">
    <w:abstractNumId w:val="2"/>
  </w:num>
  <w:num w:numId="16" w16cid:durableId="711540637">
    <w:abstractNumId w:val="2"/>
  </w:num>
  <w:num w:numId="17" w16cid:durableId="82536323">
    <w:abstractNumId w:val="1"/>
  </w:num>
  <w:num w:numId="18" w16cid:durableId="1564371480">
    <w:abstractNumId w:val="1"/>
  </w:num>
  <w:num w:numId="19" w16cid:durableId="1993824545">
    <w:abstractNumId w:val="0"/>
  </w:num>
  <w:num w:numId="20" w16cid:durableId="1068193286">
    <w:abstractNumId w:val="0"/>
  </w:num>
  <w:num w:numId="21" w16cid:durableId="647904760">
    <w:abstractNumId w:val="9"/>
  </w:num>
  <w:num w:numId="22" w16cid:durableId="1809199508">
    <w:abstractNumId w:val="7"/>
  </w:num>
  <w:num w:numId="23" w16cid:durableId="1538546683">
    <w:abstractNumId w:val="6"/>
  </w:num>
  <w:num w:numId="24" w16cid:durableId="1829907704">
    <w:abstractNumId w:val="5"/>
  </w:num>
  <w:num w:numId="25" w16cid:durableId="149248352">
    <w:abstractNumId w:val="4"/>
  </w:num>
  <w:num w:numId="26" w16cid:durableId="1175993274">
    <w:abstractNumId w:val="8"/>
  </w:num>
  <w:num w:numId="27" w16cid:durableId="1728256553">
    <w:abstractNumId w:val="3"/>
  </w:num>
  <w:num w:numId="28" w16cid:durableId="826019052">
    <w:abstractNumId w:val="2"/>
  </w:num>
  <w:num w:numId="29" w16cid:durableId="284973145">
    <w:abstractNumId w:val="1"/>
  </w:num>
  <w:num w:numId="30" w16cid:durableId="1571192575">
    <w:abstractNumId w:val="0"/>
  </w:num>
  <w:num w:numId="31" w16cid:durableId="1005092242">
    <w:abstractNumId w:val="9"/>
  </w:num>
  <w:num w:numId="32" w16cid:durableId="117069296">
    <w:abstractNumId w:val="7"/>
  </w:num>
  <w:num w:numId="33" w16cid:durableId="1732388492">
    <w:abstractNumId w:val="6"/>
  </w:num>
  <w:num w:numId="34" w16cid:durableId="1220437742">
    <w:abstractNumId w:val="5"/>
  </w:num>
  <w:num w:numId="35" w16cid:durableId="1723670876">
    <w:abstractNumId w:val="4"/>
  </w:num>
  <w:num w:numId="36" w16cid:durableId="1933658983">
    <w:abstractNumId w:val="8"/>
  </w:num>
  <w:num w:numId="37" w16cid:durableId="1700859633">
    <w:abstractNumId w:val="3"/>
  </w:num>
  <w:num w:numId="38" w16cid:durableId="643580722">
    <w:abstractNumId w:val="2"/>
  </w:num>
  <w:num w:numId="39" w16cid:durableId="1306206186">
    <w:abstractNumId w:val="1"/>
  </w:num>
  <w:num w:numId="40" w16cid:durableId="1953053633">
    <w:abstractNumId w:val="0"/>
  </w:num>
  <w:num w:numId="41" w16cid:durableId="2133353317">
    <w:abstractNumId w:val="10"/>
  </w:num>
  <w:num w:numId="42" w16cid:durableId="1833182639">
    <w:abstractNumId w:val="10"/>
  </w:num>
  <w:num w:numId="43" w16cid:durableId="426081821">
    <w:abstractNumId w:val="10"/>
  </w:num>
  <w:num w:numId="44" w16cid:durableId="17109580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6/2025"/>
    <w:docVar w:name="dvlangue" w:val="FR"/>
    <w:docVar w:name="dvnumam" w:val="0"/>
    <w:docVar w:name="dvpe" w:val="781.113"/>
    <w:docVar w:name="dvrapporteur" w:val="Rapporteur: "/>
    <w:docVar w:name="dvstar" w:val="***II"/>
    <w:docVar w:name="dvtitre" w:val="Résolution législative du Parlement européen du ... 2025 sur la position du Conseil en première lecture en vue de l’adoption du règlement du Parlement européen et du Conseil relatif à l’octroi de licences obligatoires pour la gestion de crise et modifiant le règlement (CE) nº 816/2006(10498/2/2025 – C10-0281/2025 – 2023/0129(COD))"/>
  </w:docVars>
  <w:rsids>
    <w:rsidRoot w:val="008A648B"/>
    <w:rsid w:val="00002272"/>
    <w:rsid w:val="00064002"/>
    <w:rsid w:val="000677B9"/>
    <w:rsid w:val="000831BA"/>
    <w:rsid w:val="000A42CC"/>
    <w:rsid w:val="000A5F6F"/>
    <w:rsid w:val="000E7DD9"/>
    <w:rsid w:val="0010095E"/>
    <w:rsid w:val="00125B37"/>
    <w:rsid w:val="00187494"/>
    <w:rsid w:val="001F32AE"/>
    <w:rsid w:val="002767FF"/>
    <w:rsid w:val="002B18FE"/>
    <w:rsid w:val="002B5493"/>
    <w:rsid w:val="002C37EF"/>
    <w:rsid w:val="00323D78"/>
    <w:rsid w:val="0032735A"/>
    <w:rsid w:val="00343214"/>
    <w:rsid w:val="00361C00"/>
    <w:rsid w:val="00395FA1"/>
    <w:rsid w:val="003B5DF2"/>
    <w:rsid w:val="003E15D4"/>
    <w:rsid w:val="00411CCE"/>
    <w:rsid w:val="0041666E"/>
    <w:rsid w:val="00421060"/>
    <w:rsid w:val="00464F8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5B44"/>
    <w:rsid w:val="00731ADD"/>
    <w:rsid w:val="00734777"/>
    <w:rsid w:val="00747932"/>
    <w:rsid w:val="00750986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648B"/>
    <w:rsid w:val="008C2AC6"/>
    <w:rsid w:val="00930C23"/>
    <w:rsid w:val="0093193B"/>
    <w:rsid w:val="009509D8"/>
    <w:rsid w:val="00950B64"/>
    <w:rsid w:val="00981893"/>
    <w:rsid w:val="00A1687D"/>
    <w:rsid w:val="00A30ED1"/>
    <w:rsid w:val="00A43E52"/>
    <w:rsid w:val="00A4678D"/>
    <w:rsid w:val="00A778C7"/>
    <w:rsid w:val="00AB441E"/>
    <w:rsid w:val="00AB6293"/>
    <w:rsid w:val="00AC18F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656"/>
    <w:rsid w:val="00D834A0"/>
    <w:rsid w:val="00D872DF"/>
    <w:rsid w:val="00D91E21"/>
    <w:rsid w:val="00DA7FCD"/>
    <w:rsid w:val="00E365E1"/>
    <w:rsid w:val="00E820A4"/>
    <w:rsid w:val="00EA084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338A25"/>
  <w15:chartTrackingRefBased/>
  <w15:docId w15:val="{D1F32962-79CE-4C11-B355-CD03F5AE8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64F8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64F88"/>
    <w:pPr>
      <w:spacing w:before="480" w:after="240"/>
    </w:pPr>
  </w:style>
  <w:style w:type="paragraph" w:customStyle="1" w:styleId="PageHeading">
    <w:name w:val="PageHeading"/>
    <w:basedOn w:val="Normal"/>
    <w:rsid w:val="00464F8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64F88"/>
    <w:rPr>
      <w:b/>
    </w:rPr>
  </w:style>
  <w:style w:type="paragraph" w:customStyle="1" w:styleId="NormalHanging12a">
    <w:name w:val="NormalHanging12a"/>
    <w:basedOn w:val="Normal"/>
    <w:rsid w:val="00464F8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64F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64F88"/>
    <w:rPr>
      <w:sz w:val="24"/>
      <w:lang w:val="fr-FR"/>
    </w:rPr>
  </w:style>
  <w:style w:type="paragraph" w:customStyle="1" w:styleId="EPFooter">
    <w:name w:val="EPFooter"/>
    <w:basedOn w:val="Normal"/>
    <w:rsid w:val="00464F8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464F8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23D78"/>
    <w:rPr>
      <w:sz w:val="24"/>
      <w:lang w:val="fr-FR"/>
    </w:rPr>
  </w:style>
  <w:style w:type="character" w:styleId="FollowedHyperlink">
    <w:name w:val="FollowedHyperlink"/>
    <w:basedOn w:val="DefaultParagraphFont"/>
    <w:rsid w:val="00323D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1/oj" TargetMode="External"/><Relationship Id="rId1" Type="http://schemas.openxmlformats.org/officeDocument/2006/relationships/hyperlink" Target="http://data.europa.eu/eli/C/2023/8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2300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GIRGINOV Kiril</cp:lastModifiedBy>
  <cp:revision>2</cp:revision>
  <cp:lastPrinted>2004-11-19T15:42:00Z</cp:lastPrinted>
  <dcterms:created xsi:type="dcterms:W3CDTF">2026-03-23T14:30:00Z</dcterms:created>
  <dcterms:modified xsi:type="dcterms:W3CDTF">2026-03-23T14:30:00Z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A10-0246/2025</vt:lpwstr>
  </property>
  <property fmtid="{D5CDD505-2E9C-101B-9397-08002B2CF9AE}" pid="4" name="&lt;Type&gt;">
    <vt:lpwstr>RR</vt:lpwstr>
  </property>
</Properties>
</file>