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71E0" w14:paraId="5A531EE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F2D65D" w14:textId="77777777" w:rsidR="00751A4A" w:rsidRPr="00AD71E0" w:rsidRDefault="00530153" w:rsidP="0010095E">
            <w:pPr>
              <w:pStyle w:val="EPName"/>
            </w:pPr>
            <w:r w:rsidRPr="00AD71E0">
              <w:t>Evropský parlament</w:t>
            </w:r>
          </w:p>
          <w:p w14:paraId="5E16ABAA" w14:textId="77777777" w:rsidR="00751A4A" w:rsidRPr="00AD71E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71E0">
              <w:t>2024</w:t>
            </w:r>
            <w:r w:rsidR="00817416" w:rsidRPr="00AD71E0">
              <w:t>-202</w:t>
            </w:r>
            <w:r w:rsidRPr="00AD71E0">
              <w:t>9</w:t>
            </w:r>
          </w:p>
        </w:tc>
        <w:tc>
          <w:tcPr>
            <w:tcW w:w="2268" w:type="dxa"/>
            <w:shd w:val="clear" w:color="auto" w:fill="auto"/>
          </w:tcPr>
          <w:p w14:paraId="26C47898" w14:textId="77777777" w:rsidR="00751A4A" w:rsidRPr="00AD71E0" w:rsidRDefault="00187494" w:rsidP="0010095E">
            <w:pPr>
              <w:pStyle w:val="EPLogo"/>
            </w:pPr>
            <w:r w:rsidRPr="00AD71E0">
              <w:rPr>
                <w:noProof/>
                <w:lang w:eastAsia="ja-JP"/>
              </w:rPr>
              <w:drawing>
                <wp:inline distT="0" distB="0" distL="0" distR="0" wp14:anchorId="01275F34" wp14:editId="5E7C068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D59342" w14:textId="77777777" w:rsidR="00D058B8" w:rsidRPr="00AD71E0" w:rsidRDefault="00D058B8" w:rsidP="004C5D52">
      <w:pPr>
        <w:pStyle w:val="LineTop"/>
      </w:pPr>
    </w:p>
    <w:p w14:paraId="397F10CF" w14:textId="77777777" w:rsidR="00680577" w:rsidRPr="00AD71E0" w:rsidRDefault="00530153" w:rsidP="00680577">
      <w:pPr>
        <w:pStyle w:val="EPBodyTA1"/>
      </w:pPr>
      <w:r w:rsidRPr="00AD71E0">
        <w:t>PŘIJATÉ TEXTY</w:t>
      </w:r>
    </w:p>
    <w:p w14:paraId="5AB4BA20" w14:textId="77777777" w:rsidR="00D058B8" w:rsidRPr="00AD71E0" w:rsidRDefault="00D058B8" w:rsidP="00D058B8">
      <w:pPr>
        <w:pStyle w:val="LineBottom"/>
      </w:pPr>
    </w:p>
    <w:p w14:paraId="6255512A" w14:textId="604E3795" w:rsidR="00530153" w:rsidRPr="00AD71E0" w:rsidRDefault="00530153" w:rsidP="00530153">
      <w:pPr>
        <w:pStyle w:val="ATHeading1"/>
      </w:pPr>
      <w:bookmarkStart w:id="0" w:name="TANumber"/>
      <w:r w:rsidRPr="00AD71E0">
        <w:t>P10_</w:t>
      </w:r>
      <w:proofErr w:type="gramStart"/>
      <w:r w:rsidRPr="00AD71E0">
        <w:t>TA(</w:t>
      </w:r>
      <w:proofErr w:type="gramEnd"/>
      <w:r w:rsidRPr="00AD71E0">
        <w:t>2025)0</w:t>
      </w:r>
      <w:r w:rsidR="00C4727D">
        <w:t>320</w:t>
      </w:r>
      <w:bookmarkEnd w:id="0"/>
    </w:p>
    <w:p w14:paraId="7E17958A" w14:textId="4528685E" w:rsidR="00530153" w:rsidRPr="00AD71E0" w:rsidRDefault="00344710" w:rsidP="00530153">
      <w:pPr>
        <w:pStyle w:val="ATHeading2"/>
      </w:pPr>
      <w:r w:rsidRPr="007C4C6E">
        <w:t xml:space="preserve">Pobídky k investicím souvisejícím s obranou v rámci rozpočtu EU za účelem provádění plánu </w:t>
      </w:r>
      <w:proofErr w:type="spellStart"/>
      <w:r w:rsidRPr="007C4C6E">
        <w:t>ReArm</w:t>
      </w:r>
      <w:proofErr w:type="spellEnd"/>
      <w:r w:rsidRPr="007C4C6E">
        <w:t xml:space="preserve"> </w:t>
      </w:r>
      <w:proofErr w:type="spellStart"/>
      <w:r w:rsidRPr="007C4C6E">
        <w:t>Europe</w:t>
      </w:r>
      <w:proofErr w:type="spellEnd"/>
    </w:p>
    <w:p w14:paraId="69D0D4CD" w14:textId="77777777" w:rsidR="00530153" w:rsidRPr="00AD71E0" w:rsidRDefault="00530153" w:rsidP="00530153">
      <w:pPr>
        <w:rPr>
          <w:i/>
          <w:vanish/>
        </w:rPr>
      </w:pPr>
      <w:r w:rsidRPr="00AD71E0">
        <w:rPr>
          <w:i/>
        </w:rPr>
        <w:fldChar w:fldCharType="begin"/>
      </w:r>
      <w:r w:rsidRPr="00AD71E0">
        <w:rPr>
          <w:i/>
        </w:rPr>
        <w:instrText xml:space="preserve"> TC"(</w:instrText>
      </w:r>
      <w:bookmarkStart w:id="1" w:name="DocNumber"/>
      <w:r w:rsidRPr="00AD71E0">
        <w:rPr>
          <w:i/>
        </w:rPr>
        <w:instrText>A10-0172/2025</w:instrText>
      </w:r>
      <w:bookmarkEnd w:id="1"/>
      <w:r w:rsidRPr="00AD71E0">
        <w:rPr>
          <w:i/>
        </w:rPr>
        <w:instrText xml:space="preserve"> - Zpravodaj: Rihards Kols)"\l3 \n&gt; \* MERGEFORMAT </w:instrText>
      </w:r>
      <w:r w:rsidRPr="00AD71E0">
        <w:rPr>
          <w:i/>
        </w:rPr>
        <w:fldChar w:fldCharType="end"/>
      </w:r>
    </w:p>
    <w:p w14:paraId="0B80BE7A" w14:textId="77777777" w:rsidR="00530153" w:rsidRPr="00AD71E0" w:rsidRDefault="00530153" w:rsidP="00530153">
      <w:pPr>
        <w:rPr>
          <w:vanish/>
        </w:rPr>
      </w:pPr>
      <w:bookmarkStart w:id="2" w:name="Commission"/>
      <w:r w:rsidRPr="00AD71E0">
        <w:rPr>
          <w:vanish/>
        </w:rPr>
        <w:t>Výbor pro průmysl, výzkum a energetiku</w:t>
      </w:r>
      <w:bookmarkEnd w:id="2"/>
    </w:p>
    <w:p w14:paraId="6518076A" w14:textId="77777777" w:rsidR="00530153" w:rsidRPr="00AD71E0" w:rsidRDefault="00530153" w:rsidP="00530153">
      <w:pPr>
        <w:rPr>
          <w:vanish/>
        </w:rPr>
      </w:pPr>
      <w:bookmarkStart w:id="3" w:name="PE"/>
      <w:r w:rsidRPr="00AD71E0">
        <w:rPr>
          <w:vanish/>
        </w:rPr>
        <w:t>PE774.253</w:t>
      </w:r>
      <w:bookmarkEnd w:id="3"/>
    </w:p>
    <w:p w14:paraId="65E15714" w14:textId="3A38B404" w:rsidR="00530153" w:rsidRPr="00AD71E0" w:rsidRDefault="00530153" w:rsidP="00530153">
      <w:pPr>
        <w:pStyle w:val="ATHeading3"/>
      </w:pPr>
      <w:bookmarkStart w:id="4" w:name="Sujet"/>
      <w:r w:rsidRPr="00AD71E0">
        <w:t>Legislativní usnesení Evropského parlamentu ze dne</w:t>
      </w:r>
      <w:r w:rsidR="00344710">
        <w:t xml:space="preserve"> </w:t>
      </w:r>
      <w:r w:rsidR="001D4F21">
        <w:t>16</w:t>
      </w:r>
      <w:r w:rsidR="00344710">
        <w:t>. prosince</w:t>
      </w:r>
      <w:r w:rsidRPr="00AD71E0">
        <w:t xml:space="preserve"> 2025 o návrhu nařízení Evropského parlamentu a Rady, kterým se mění nařízení (EU) 2021/694, (EU) 2021/695, (EU) 2021/697, (EU) 2021/1153, (EU) 2023/1525 a </w:t>
      </w:r>
      <w:r w:rsidR="00726E2E">
        <w:t xml:space="preserve">(EU) </w:t>
      </w:r>
      <w:r w:rsidRPr="00AD71E0">
        <w:t xml:space="preserve">2024/795, pokud jde o pobídky k investicím souvisejícím s obranou v rámci rozpočtu EU za účelem provádění plánu </w:t>
      </w:r>
      <w:proofErr w:type="spellStart"/>
      <w:r w:rsidRPr="00AD71E0">
        <w:t>ReArm</w:t>
      </w:r>
      <w:proofErr w:type="spellEnd"/>
      <w:r w:rsidRPr="00AD71E0">
        <w:t xml:space="preserve"> </w:t>
      </w:r>
      <w:proofErr w:type="spellStart"/>
      <w:r w:rsidRPr="00AD71E0">
        <w:t>Europe</w:t>
      </w:r>
      <w:bookmarkEnd w:id="4"/>
      <w:proofErr w:type="spellEnd"/>
      <w:r w:rsidRPr="00AD71E0">
        <w:t xml:space="preserve"> </w:t>
      </w:r>
      <w:bookmarkStart w:id="5" w:name="References"/>
      <w:r w:rsidRPr="00AD71E0">
        <w:t>(</w:t>
      </w:r>
      <w:proofErr w:type="gramStart"/>
      <w:r w:rsidRPr="00AD71E0">
        <w:t>COM(</w:t>
      </w:r>
      <w:proofErr w:type="gramEnd"/>
      <w:r w:rsidRPr="00AD71E0">
        <w:t>2025)0188 – C10-0070/2025 – 2025/0103(COD))</w:t>
      </w:r>
      <w:bookmarkEnd w:id="5"/>
    </w:p>
    <w:p w14:paraId="4BDFFE2C" w14:textId="77777777" w:rsidR="00E44FCB" w:rsidRPr="00AD71E0" w:rsidRDefault="00E44FCB" w:rsidP="00E44FCB">
      <w:pPr>
        <w:pStyle w:val="NormalBold"/>
      </w:pPr>
      <w:r w:rsidRPr="00AD71E0">
        <w:t>(Řádný legislativní postup: první čtení)</w:t>
      </w:r>
    </w:p>
    <w:p w14:paraId="6B26B9B2" w14:textId="77777777" w:rsidR="00E44FCB" w:rsidRPr="00AD71E0" w:rsidRDefault="00E44FCB" w:rsidP="00E44FCB">
      <w:pPr>
        <w:pStyle w:val="EPComma"/>
      </w:pPr>
      <w:r w:rsidRPr="00AD71E0">
        <w:rPr>
          <w:i/>
        </w:rPr>
        <w:t>Evropský parlament</w:t>
      </w:r>
      <w:r w:rsidRPr="00AD71E0">
        <w:t>,</w:t>
      </w:r>
    </w:p>
    <w:p w14:paraId="47AEC817" w14:textId="77777777" w:rsidR="00E44FCB" w:rsidRPr="00AD71E0" w:rsidRDefault="00E44FCB" w:rsidP="00E44FCB">
      <w:pPr>
        <w:pStyle w:val="NormalHanging12a"/>
      </w:pPr>
      <w:r w:rsidRPr="00AD71E0">
        <w:t>–</w:t>
      </w:r>
      <w:r w:rsidRPr="00AD71E0">
        <w:tab/>
        <w:t>s ohledem na návrh Komise předložený Evropskému parlamentu a Radě (</w:t>
      </w:r>
      <w:proofErr w:type="gramStart"/>
      <w:r w:rsidRPr="00AD71E0">
        <w:t>COM(</w:t>
      </w:r>
      <w:proofErr w:type="gramEnd"/>
      <w:r w:rsidRPr="00AD71E0">
        <w:t>2025)0188),</w:t>
      </w:r>
    </w:p>
    <w:p w14:paraId="173EFFE3" w14:textId="46D918BB" w:rsidR="00E44FCB" w:rsidRDefault="00E44FCB" w:rsidP="00E44FCB">
      <w:pPr>
        <w:pStyle w:val="NormalHanging12a"/>
      </w:pPr>
      <w:r w:rsidRPr="00AD71E0">
        <w:t>–</w:t>
      </w:r>
      <w:r w:rsidRPr="00AD71E0">
        <w:tab/>
        <w:t>s ohledem na čl. 294 odst. 2 a články 114, 164, 172</w:t>
      </w:r>
      <w:r w:rsidR="002D3100">
        <w:t xml:space="preserve"> a</w:t>
      </w:r>
      <w:r w:rsidRPr="00AD71E0">
        <w:t xml:space="preserve"> 173, čl. 175 třetí pododstavec, články 176, 177</w:t>
      </w:r>
      <w:r w:rsidR="00311B5B">
        <w:t xml:space="preserve">, </w:t>
      </w:r>
      <w:r w:rsidRPr="00AD71E0">
        <w:t>178, 182,</w:t>
      </w:r>
      <w:r w:rsidR="00311B5B">
        <w:t xml:space="preserve"> </w:t>
      </w:r>
      <w:r w:rsidRPr="00AD71E0">
        <w:t>18</w:t>
      </w:r>
      <w:r w:rsidR="00311B5B">
        <w:t>3</w:t>
      </w:r>
      <w:r w:rsidR="002D3100">
        <w:t xml:space="preserve"> a</w:t>
      </w:r>
      <w:r w:rsidR="00311B5B">
        <w:t xml:space="preserve"> </w:t>
      </w:r>
      <w:r w:rsidRPr="00AD71E0">
        <w:t>188</w:t>
      </w:r>
      <w:r w:rsidR="00351858">
        <w:t xml:space="preserve"> </w:t>
      </w:r>
      <w:r w:rsidR="00726E2E">
        <w:t>a</w:t>
      </w:r>
      <w:r w:rsidRPr="00AD71E0">
        <w:t xml:space="preserve"> čl. 192 odst. 1 Smlouvy o fungování Evropské unie, v </w:t>
      </w:r>
      <w:proofErr w:type="gramStart"/>
      <w:r w:rsidRPr="00AD71E0">
        <w:t>souladu</w:t>
      </w:r>
      <w:proofErr w:type="gramEnd"/>
      <w:r w:rsidRPr="00AD71E0">
        <w:t xml:space="preserve"> </w:t>
      </w:r>
      <w:r w:rsidR="00344710">
        <w:t>se kterými</w:t>
      </w:r>
      <w:r w:rsidRPr="00AD71E0">
        <w:t xml:space="preserve"> Komise předložila svůj návrh Parlamentu (C10-0070/2025),</w:t>
      </w:r>
    </w:p>
    <w:p w14:paraId="1FCD190C" w14:textId="2EC178BC" w:rsidR="00351858" w:rsidRPr="00AD71E0" w:rsidRDefault="00351858" w:rsidP="00E44FCB">
      <w:pPr>
        <w:pStyle w:val="NormalHanging12a"/>
      </w:pPr>
      <w:r w:rsidRPr="00351858">
        <w:t xml:space="preserve">– </w:t>
      </w:r>
      <w:r>
        <w:tab/>
      </w:r>
      <w:r w:rsidRPr="00351858">
        <w:t>s ohledem na stanovisko Výboru pro právní záležitosti k navrženému právnímu základu,</w:t>
      </w:r>
    </w:p>
    <w:p w14:paraId="66EB5FA9" w14:textId="0FB2C1AA" w:rsidR="00E44FCB" w:rsidRPr="00AD71E0" w:rsidRDefault="00E44FCB" w:rsidP="00E44FCB">
      <w:pPr>
        <w:pStyle w:val="NormalHanging12a"/>
      </w:pPr>
      <w:r w:rsidRPr="00AD71E0">
        <w:t>–</w:t>
      </w:r>
      <w:r w:rsidRPr="00AD71E0">
        <w:tab/>
        <w:t>s ohledem na čl. 294 odst. 3</w:t>
      </w:r>
      <w:r w:rsidR="00311B5B">
        <w:t xml:space="preserve"> </w:t>
      </w:r>
      <w:r w:rsidR="002D3100">
        <w:t xml:space="preserve">a </w:t>
      </w:r>
      <w:r w:rsidR="00311B5B">
        <w:t>články</w:t>
      </w:r>
      <w:r w:rsidR="00311B5B" w:rsidRPr="00311B5B">
        <w:t xml:space="preserve"> 164 a 172, </w:t>
      </w:r>
      <w:r w:rsidR="00311B5B">
        <w:t>čl.</w:t>
      </w:r>
      <w:r w:rsidR="00311B5B" w:rsidRPr="00311B5B">
        <w:t xml:space="preserve"> 173</w:t>
      </w:r>
      <w:r w:rsidR="00311B5B">
        <w:t xml:space="preserve"> odst. </w:t>
      </w:r>
      <w:r w:rsidR="00311B5B" w:rsidRPr="00311B5B">
        <w:t xml:space="preserve">3, čl. 175 třetí </w:t>
      </w:r>
      <w:r w:rsidR="00311B5B" w:rsidRPr="009A4F09">
        <w:t>pod</w:t>
      </w:r>
      <w:r w:rsidR="00311B5B" w:rsidRPr="00311B5B">
        <w:t>odstavec, články 177 a 178, čl. 182 odst. 1 a 4, článek 183, čl</w:t>
      </w:r>
      <w:r w:rsidR="00474D6F">
        <w:t xml:space="preserve">. </w:t>
      </w:r>
      <w:r w:rsidR="00311B5B" w:rsidRPr="00311B5B">
        <w:t xml:space="preserve">188 druhý </w:t>
      </w:r>
      <w:r w:rsidR="00311B5B" w:rsidRPr="009A4F09">
        <w:t>pod</w:t>
      </w:r>
      <w:r w:rsidR="00311B5B" w:rsidRPr="00311B5B">
        <w:t xml:space="preserve">odstavec a čl. 192 odst. 1 </w:t>
      </w:r>
      <w:r w:rsidRPr="00311B5B">
        <w:t>Smlouvy o fungování Evropské unie,</w:t>
      </w:r>
    </w:p>
    <w:p w14:paraId="6EC1B913" w14:textId="77777777" w:rsidR="00E44FCB" w:rsidRPr="00AD71E0" w:rsidRDefault="00E44FCB" w:rsidP="00E44FCB">
      <w:pPr>
        <w:pStyle w:val="NormalHanging12a"/>
      </w:pPr>
      <w:r w:rsidRPr="00AD71E0">
        <w:t>–</w:t>
      </w:r>
      <w:r w:rsidRPr="00AD71E0">
        <w:tab/>
        <w:t>s ohledem na rozpočtové posouzení poskytnuté Rozpočtovým výborem,</w:t>
      </w:r>
    </w:p>
    <w:p w14:paraId="18E5F036" w14:textId="77777777" w:rsidR="00E44FCB" w:rsidRPr="00AD71E0" w:rsidRDefault="00E44FCB" w:rsidP="00E44FCB">
      <w:pPr>
        <w:pStyle w:val="NormalHanging12a"/>
      </w:pPr>
      <w:r w:rsidRPr="00AD71E0">
        <w:t>–</w:t>
      </w:r>
      <w:r w:rsidRPr="00AD71E0">
        <w:tab/>
        <w:t>s ohledem na stanovisko Evropského hospodářského a sociálního výboru ze dne 18. září 2025</w:t>
      </w:r>
      <w:r w:rsidRPr="00AD71E0">
        <w:rPr>
          <w:rStyle w:val="FootnoteReference"/>
        </w:rPr>
        <w:footnoteReference w:id="1"/>
      </w:r>
      <w:r w:rsidRPr="00AD71E0">
        <w:t>,</w:t>
      </w:r>
    </w:p>
    <w:p w14:paraId="483D0715" w14:textId="2E6C4BCF" w:rsidR="00E44FCB" w:rsidRDefault="00E44FCB" w:rsidP="00E44FCB">
      <w:pPr>
        <w:pStyle w:val="NormalHanging12a"/>
      </w:pPr>
      <w:r w:rsidRPr="00AD71E0">
        <w:t>–</w:t>
      </w:r>
      <w:r w:rsidRPr="00AD71E0">
        <w:tab/>
      </w:r>
      <w:bookmarkStart w:id="6" w:name="_Hlk211350498"/>
      <w:r w:rsidR="001D4F21">
        <w:t>s ohledem na stanovisko</w:t>
      </w:r>
      <w:r w:rsidRPr="00AD71E0">
        <w:t> Výbor</w:t>
      </w:r>
      <w:r w:rsidR="001D4F21">
        <w:t>u</w:t>
      </w:r>
      <w:r w:rsidRPr="00AD71E0">
        <w:t xml:space="preserve"> regionů</w:t>
      </w:r>
      <w:r w:rsidR="001D4F21">
        <w:t xml:space="preserve"> ze dne 15. října 2025</w:t>
      </w:r>
      <w:r w:rsidR="001D4F21">
        <w:rPr>
          <w:rStyle w:val="FootnoteReference"/>
        </w:rPr>
        <w:footnoteReference w:id="2"/>
      </w:r>
      <w:r w:rsidRPr="00AD71E0">
        <w:t>,</w:t>
      </w:r>
      <w:bookmarkEnd w:id="6"/>
    </w:p>
    <w:p w14:paraId="0CAABF90" w14:textId="023F0083" w:rsidR="00351858" w:rsidRPr="00AD71E0" w:rsidRDefault="00EE1255" w:rsidP="00E44FCB">
      <w:pPr>
        <w:pStyle w:val="NormalHanging12a"/>
      </w:pPr>
      <w:r w:rsidRPr="00AD71E0">
        <w:t>–</w:t>
      </w:r>
      <w:r w:rsidRPr="00AD71E0">
        <w:tab/>
      </w:r>
      <w:r w:rsidRPr="00EE1255">
        <w:t>s ohledem na předběžnou dohodu přijatou příslušným výborem podle čl. 75 odst. 4 jednacího řádu a s ohledem na to, že se zástupce Rady dopisem ze dne 1</w:t>
      </w:r>
      <w:r>
        <w:t>0</w:t>
      </w:r>
      <w:r w:rsidRPr="00EE1255">
        <w:t xml:space="preserve">. </w:t>
      </w:r>
      <w:r>
        <w:t>listopadu</w:t>
      </w:r>
      <w:r w:rsidRPr="00EE1255">
        <w:t xml:space="preserve"> 202</w:t>
      </w:r>
      <w:r>
        <w:t>5</w:t>
      </w:r>
      <w:r w:rsidRPr="00EE1255">
        <w:t xml:space="preserve"> zavázal schválit postoj Parlamentu v souladu s čl. 294 odst. 4 Smlouvy o fungování Evropské unie,</w:t>
      </w:r>
    </w:p>
    <w:p w14:paraId="684584B2" w14:textId="4CD53EDF" w:rsidR="00E44FCB" w:rsidRPr="00AD71E0" w:rsidRDefault="00E44FCB" w:rsidP="00E44FCB">
      <w:pPr>
        <w:pStyle w:val="NormalHanging12a"/>
      </w:pPr>
      <w:r w:rsidRPr="00AD71E0">
        <w:lastRenderedPageBreak/>
        <w:t>–</w:t>
      </w:r>
      <w:r w:rsidRPr="00AD71E0">
        <w:tab/>
        <w:t>s ohledem na článk</w:t>
      </w:r>
      <w:r w:rsidR="00726E2E">
        <w:t>y</w:t>
      </w:r>
      <w:r w:rsidRPr="00AD71E0">
        <w:t xml:space="preserve"> 60</w:t>
      </w:r>
      <w:r w:rsidR="00EE1255">
        <w:t>, 41</w:t>
      </w:r>
      <w:r w:rsidR="00726E2E">
        <w:t xml:space="preserve"> a 58</w:t>
      </w:r>
      <w:r w:rsidRPr="00AD71E0">
        <w:t xml:space="preserve"> jednacího řádu,</w:t>
      </w:r>
    </w:p>
    <w:p w14:paraId="4E009939" w14:textId="77777777" w:rsidR="00E44FCB" w:rsidRPr="00AD71E0" w:rsidRDefault="00E44FCB" w:rsidP="00E44FCB">
      <w:pPr>
        <w:pStyle w:val="NormalHanging12a"/>
      </w:pPr>
      <w:r w:rsidRPr="00AD71E0">
        <w:t>–</w:t>
      </w:r>
      <w:r w:rsidRPr="00AD71E0">
        <w:tab/>
        <w:t>s ohledem na stanoviska Výboru pro bezpečnost a obranu a Výboru pro dopravu a cestovní ruch,</w:t>
      </w:r>
    </w:p>
    <w:p w14:paraId="08030384" w14:textId="77777777" w:rsidR="00E44FCB" w:rsidRPr="00AD71E0" w:rsidRDefault="00E44FCB" w:rsidP="00E44FCB">
      <w:pPr>
        <w:pStyle w:val="NormalHanging12a"/>
      </w:pPr>
      <w:r w:rsidRPr="00AD71E0">
        <w:t>–</w:t>
      </w:r>
      <w:r w:rsidRPr="00AD71E0">
        <w:tab/>
        <w:t>s ohledem na zprávu Výboru pro průmysl, výzkum a energetiku (A10</w:t>
      </w:r>
      <w:r w:rsidRPr="00AD71E0">
        <w:noBreakHyphen/>
        <w:t>0172/2025),</w:t>
      </w:r>
    </w:p>
    <w:p w14:paraId="76AA9054" w14:textId="77777777" w:rsidR="00E44FCB" w:rsidRPr="00AD71E0" w:rsidRDefault="00E44FCB" w:rsidP="00E44FCB">
      <w:pPr>
        <w:pStyle w:val="NormalHanging12a"/>
      </w:pPr>
      <w:r w:rsidRPr="00AD71E0">
        <w:t>1.</w:t>
      </w:r>
      <w:r w:rsidRPr="00AD71E0">
        <w:tab/>
        <w:t>přijímá níže uvedený postoj v prvním čtení;</w:t>
      </w:r>
    </w:p>
    <w:p w14:paraId="086FDB42" w14:textId="77777777" w:rsidR="00E44FCB" w:rsidRPr="00AD71E0" w:rsidRDefault="00E44FCB" w:rsidP="00E44FCB">
      <w:pPr>
        <w:pStyle w:val="NormalHanging12a"/>
      </w:pPr>
      <w:r w:rsidRPr="00AD71E0">
        <w:t>2.</w:t>
      </w:r>
      <w:r w:rsidRPr="00AD71E0">
        <w:tab/>
        <w:t>vyzývá Komisi, aby věc znovu postoupila Parlamentu, jestliže svůj návrh nahradí jiným textem, podstatně jej změní nebo má v úmyslu jej podstatně změnit;</w:t>
      </w:r>
    </w:p>
    <w:p w14:paraId="463B2674" w14:textId="2682FAAD" w:rsidR="00E44FCB" w:rsidRPr="00AD71E0" w:rsidRDefault="00E44FCB" w:rsidP="00E44FCB">
      <w:pPr>
        <w:pStyle w:val="NormalHanging12a"/>
      </w:pPr>
      <w:r w:rsidRPr="00AD71E0">
        <w:t>3.</w:t>
      </w:r>
      <w:r w:rsidRPr="00AD71E0">
        <w:tab/>
        <w:t>pověřuje svou předsedkyni, aby předala postoj Parlamentu Radě</w:t>
      </w:r>
      <w:r w:rsidR="00344710">
        <w:t xml:space="preserve"> a</w:t>
      </w:r>
      <w:r w:rsidR="00344710" w:rsidRPr="00AD71E0">
        <w:t xml:space="preserve"> </w:t>
      </w:r>
      <w:r w:rsidRPr="00AD71E0">
        <w:t>Komisi, jakož i vnitrostátním parlamentům.</w:t>
      </w:r>
    </w:p>
    <w:p w14:paraId="3DDAD81C" w14:textId="77777777" w:rsidR="00723C5D" w:rsidRDefault="00723C5D">
      <w:pPr>
        <w:widowControl/>
        <w:sectPr w:rsidR="00723C5D" w:rsidSect="00AD71E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9049B93" w14:textId="77777777" w:rsidR="00EE1255" w:rsidRDefault="00EE1255" w:rsidP="00EE1255">
      <w:pPr>
        <w:spacing w:before="120" w:after="120" w:line="360" w:lineRule="auto"/>
        <w:rPr>
          <w:b/>
          <w:color w:val="000000"/>
        </w:rPr>
      </w:pPr>
      <w:r w:rsidRPr="00EE1255">
        <w:rPr>
          <w:b/>
          <w:color w:val="000000"/>
        </w:rPr>
        <w:lastRenderedPageBreak/>
        <w:t>P10_TC1-</w:t>
      </w:r>
      <w:proofErr w:type="gramStart"/>
      <w:r w:rsidRPr="00EE1255">
        <w:rPr>
          <w:b/>
          <w:color w:val="000000"/>
        </w:rPr>
        <w:t>COD(</w:t>
      </w:r>
      <w:proofErr w:type="gramEnd"/>
      <w:r w:rsidRPr="00EE1255">
        <w:rPr>
          <w:b/>
          <w:color w:val="000000"/>
        </w:rPr>
        <w:t>2025)0103</w:t>
      </w:r>
    </w:p>
    <w:p w14:paraId="6E058ED4" w14:textId="3F5D512E" w:rsidR="00351858" w:rsidRDefault="00EE1255" w:rsidP="00EE1255">
      <w:pPr>
        <w:spacing w:before="120" w:after="120"/>
        <w:rPr>
          <w:b/>
        </w:rPr>
      </w:pPr>
      <w:r>
        <w:rPr>
          <w:b/>
          <w:color w:val="000000"/>
        </w:rPr>
        <w:t>Postoj Evropského parlamentu přijatý v prvním čtení dne 16. prosince 2025 k přijetí nařízení Ev</w:t>
      </w:r>
      <w:r w:rsidR="00474D6F">
        <w:rPr>
          <w:b/>
          <w:color w:val="000000"/>
        </w:rPr>
        <w:t>ro</w:t>
      </w:r>
      <w:r>
        <w:rPr>
          <w:b/>
          <w:color w:val="000000"/>
        </w:rPr>
        <w:t xml:space="preserve">pského parlamentu a Rady (EU) 2025/..., </w:t>
      </w:r>
      <w:r w:rsidR="00351858" w:rsidRPr="00860EE0">
        <w:rPr>
          <w:b/>
        </w:rPr>
        <w:t>kterým se mění nařízení (EU) 2021/694, (EU) 2021/695, (EU) 2021/697, (EU) 2021/1153 a</w:t>
      </w:r>
      <w:r w:rsidR="00351858">
        <w:rPr>
          <w:b/>
        </w:rPr>
        <w:t> </w:t>
      </w:r>
      <w:r w:rsidR="00351858" w:rsidRPr="00860EE0">
        <w:rPr>
          <w:b/>
        </w:rPr>
        <w:t>(EU) 2024/795, pokud jde o</w:t>
      </w:r>
      <w:r w:rsidR="00351858">
        <w:rPr>
          <w:b/>
        </w:rPr>
        <w:t> </w:t>
      </w:r>
      <w:r w:rsidR="00351858" w:rsidRPr="00860EE0">
        <w:rPr>
          <w:b/>
        </w:rPr>
        <w:t>pobídky k</w:t>
      </w:r>
      <w:r w:rsidR="00351858">
        <w:rPr>
          <w:b/>
        </w:rPr>
        <w:t> </w:t>
      </w:r>
      <w:r w:rsidR="00351858" w:rsidRPr="00860EE0">
        <w:rPr>
          <w:b/>
        </w:rPr>
        <w:t>investicím souvisejícím s</w:t>
      </w:r>
      <w:r w:rsidR="00351858">
        <w:rPr>
          <w:b/>
        </w:rPr>
        <w:t> </w:t>
      </w:r>
      <w:r w:rsidR="00351858" w:rsidRPr="00860EE0">
        <w:rPr>
          <w:b/>
        </w:rPr>
        <w:t>obranou v</w:t>
      </w:r>
      <w:r w:rsidR="00351858">
        <w:rPr>
          <w:b/>
        </w:rPr>
        <w:t> </w:t>
      </w:r>
      <w:r w:rsidR="00351858" w:rsidRPr="00860EE0">
        <w:rPr>
          <w:b/>
        </w:rPr>
        <w:t xml:space="preserve">rozpočtu EU za účelem provádění plánu </w:t>
      </w:r>
      <w:proofErr w:type="spellStart"/>
      <w:r w:rsidR="00351858" w:rsidRPr="00860EE0">
        <w:rPr>
          <w:b/>
        </w:rPr>
        <w:t>ReArm</w:t>
      </w:r>
      <w:proofErr w:type="spellEnd"/>
      <w:r w:rsidR="00351858" w:rsidRPr="00860EE0">
        <w:rPr>
          <w:b/>
        </w:rPr>
        <w:t xml:space="preserve"> </w:t>
      </w:r>
      <w:proofErr w:type="spellStart"/>
      <w:r w:rsidR="00351858" w:rsidRPr="00860EE0">
        <w:rPr>
          <w:b/>
        </w:rPr>
        <w:t>Europe</w:t>
      </w:r>
      <w:proofErr w:type="spellEnd"/>
    </w:p>
    <w:p w14:paraId="374BF54B" w14:textId="446B8A4B" w:rsidR="00A63AE9" w:rsidRPr="00A63AE9" w:rsidRDefault="00A63AE9" w:rsidP="00A63AE9">
      <w:pPr>
        <w:spacing w:before="480" w:after="120"/>
        <w:rPr>
          <w:rFonts w:eastAsia="Calibri"/>
          <w:bCs/>
          <w:i/>
          <w:iCs/>
        </w:rPr>
      </w:pPr>
      <w:r w:rsidRPr="00A63AE9">
        <w:rPr>
          <w:rFonts w:eastAsia="Calibri"/>
          <w:bCs/>
          <w:i/>
          <w:iCs/>
        </w:rPr>
        <w:t>(Vzhledem k tomu, že bylo dosaženo dohody mezi Parlamentem a Radou, postoj Parlamentu odpovídá konečnému znění legislativního aktu, nařízení (EU) 2025/</w:t>
      </w:r>
      <w:r>
        <w:rPr>
          <w:rFonts w:eastAsia="Calibri"/>
          <w:bCs/>
          <w:i/>
          <w:iCs/>
        </w:rPr>
        <w:t>2653</w:t>
      </w:r>
      <w:r w:rsidRPr="00A63AE9">
        <w:rPr>
          <w:rFonts w:eastAsia="Calibri"/>
          <w:bCs/>
          <w:i/>
          <w:iCs/>
        </w:rPr>
        <w:t>.)</w:t>
      </w:r>
    </w:p>
    <w:sectPr w:rsidR="00A63AE9" w:rsidRPr="00A63AE9" w:rsidSect="00AD71E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CEC68" w14:textId="77777777" w:rsidR="00530153" w:rsidRPr="00AD71E0" w:rsidRDefault="00530153">
      <w:r w:rsidRPr="00AD71E0">
        <w:separator/>
      </w:r>
    </w:p>
  </w:endnote>
  <w:endnote w:type="continuationSeparator" w:id="0">
    <w:p w14:paraId="7A9A086C" w14:textId="77777777" w:rsidR="00530153" w:rsidRPr="00AD71E0" w:rsidRDefault="00530153">
      <w:r w:rsidRPr="00AD71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8D264" w14:textId="77777777" w:rsidR="00064002" w:rsidRPr="00AD71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5B6A3" w14:textId="77777777" w:rsidR="00064002" w:rsidRPr="00AD71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98EF5" w14:textId="77777777" w:rsidR="00064002" w:rsidRPr="00AD71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09B9A" w14:textId="77777777" w:rsidR="00530153" w:rsidRPr="00AD71E0" w:rsidRDefault="00530153">
      <w:r w:rsidRPr="00AD71E0">
        <w:separator/>
      </w:r>
    </w:p>
  </w:footnote>
  <w:footnote w:type="continuationSeparator" w:id="0">
    <w:p w14:paraId="044D942D" w14:textId="77777777" w:rsidR="00530153" w:rsidRPr="00AD71E0" w:rsidRDefault="00530153">
      <w:r w:rsidRPr="00AD71E0">
        <w:continuationSeparator/>
      </w:r>
    </w:p>
  </w:footnote>
  <w:footnote w:id="1">
    <w:p w14:paraId="75918664" w14:textId="555DF7FA" w:rsidR="00E44FCB" w:rsidRPr="00EE1255" w:rsidRDefault="00E44FCB" w:rsidP="009A4F09">
      <w:pPr>
        <w:pStyle w:val="FootnoteText"/>
        <w:ind w:left="851" w:hanging="851"/>
        <w:rPr>
          <w:sz w:val="24"/>
          <w:szCs w:val="24"/>
          <w:lang w:val="cs-CZ"/>
        </w:rPr>
      </w:pPr>
      <w:r w:rsidRPr="00EE1255">
        <w:rPr>
          <w:rStyle w:val="FootnoteReference"/>
          <w:sz w:val="24"/>
          <w:szCs w:val="24"/>
          <w:lang w:val="cs-CZ"/>
        </w:rPr>
        <w:footnoteRef/>
      </w:r>
      <w:r w:rsidR="00AD71E0" w:rsidRPr="00EE1255">
        <w:rPr>
          <w:color w:val="1E1E1F"/>
          <w:sz w:val="24"/>
          <w:szCs w:val="24"/>
          <w:shd w:val="clear" w:color="auto" w:fill="FFFFFF"/>
          <w:lang w:val="cs-CZ"/>
        </w:rPr>
        <w:t xml:space="preserve"> </w:t>
      </w:r>
      <w:r w:rsidR="00AD71E0" w:rsidRPr="00EE1255">
        <w:rPr>
          <w:color w:val="1E1E1F"/>
          <w:sz w:val="24"/>
          <w:szCs w:val="24"/>
          <w:shd w:val="clear" w:color="auto" w:fill="FFFFFF"/>
          <w:lang w:val="cs-CZ"/>
        </w:rPr>
        <w:tab/>
      </w:r>
      <w:r w:rsidRPr="00EE1255">
        <w:rPr>
          <w:color w:val="1E1E1F"/>
          <w:sz w:val="24"/>
          <w:szCs w:val="24"/>
          <w:shd w:val="clear" w:color="auto" w:fill="FFFFFF"/>
          <w:lang w:val="cs-CZ"/>
        </w:rPr>
        <w:t>Dosud nezveřejněné v Úředním věstníku.</w:t>
      </w:r>
    </w:p>
  </w:footnote>
  <w:footnote w:id="2">
    <w:p w14:paraId="3E582829" w14:textId="057BE5ED" w:rsidR="001D4F21" w:rsidRPr="00EE1255" w:rsidRDefault="001D4F21" w:rsidP="009A4F09">
      <w:pPr>
        <w:pStyle w:val="FootnoteText"/>
        <w:ind w:left="851" w:hanging="851"/>
        <w:rPr>
          <w:sz w:val="24"/>
          <w:szCs w:val="24"/>
          <w:lang w:val="cs-CZ"/>
        </w:rPr>
      </w:pPr>
      <w:r w:rsidRPr="00EE1255">
        <w:rPr>
          <w:rStyle w:val="FootnoteReference"/>
          <w:sz w:val="24"/>
          <w:szCs w:val="24"/>
        </w:rPr>
        <w:footnoteRef/>
      </w:r>
      <w:r w:rsidRPr="00EE1255">
        <w:rPr>
          <w:sz w:val="24"/>
          <w:szCs w:val="24"/>
          <w:lang w:val="cs-CZ"/>
        </w:rPr>
        <w:t xml:space="preserve"> </w:t>
      </w:r>
      <w:r w:rsidRPr="00EE1255">
        <w:rPr>
          <w:sz w:val="24"/>
          <w:szCs w:val="24"/>
          <w:lang w:val="cs-CZ"/>
        </w:rPr>
        <w:tab/>
      </w:r>
      <w:proofErr w:type="spellStart"/>
      <w:r w:rsidRPr="00EE1255">
        <w:rPr>
          <w:sz w:val="24"/>
          <w:szCs w:val="24"/>
          <w:lang w:val="cs-CZ"/>
        </w:rPr>
        <w:t>Úř</w:t>
      </w:r>
      <w:proofErr w:type="spellEnd"/>
      <w:r w:rsidRPr="00EE1255">
        <w:rPr>
          <w:sz w:val="24"/>
          <w:szCs w:val="24"/>
          <w:lang w:val="cs-CZ"/>
        </w:rPr>
        <w:t xml:space="preserve">. </w:t>
      </w:r>
      <w:proofErr w:type="spellStart"/>
      <w:r w:rsidRPr="00EE1255">
        <w:rPr>
          <w:sz w:val="24"/>
          <w:szCs w:val="24"/>
          <w:lang w:val="cs-CZ"/>
        </w:rPr>
        <w:t>věst</w:t>
      </w:r>
      <w:proofErr w:type="spellEnd"/>
      <w:r w:rsidRPr="00EE1255">
        <w:rPr>
          <w:sz w:val="24"/>
          <w:szCs w:val="24"/>
          <w:lang w:val="cs-CZ"/>
        </w:rPr>
        <w:t xml:space="preserve">. C, C/2025/6325, 3.12.2025, ELI: </w:t>
      </w:r>
      <w:r w:rsidR="00A63AE9">
        <w:fldChar w:fldCharType="begin"/>
      </w:r>
      <w:r w:rsidR="00A63AE9" w:rsidRPr="00A63AE9">
        <w:rPr>
          <w:lang w:val="fi-FI"/>
        </w:rPr>
        <w:instrText>HYPERLINK "http://data.europa.eu/eli/C/2025/6325/oj"</w:instrText>
      </w:r>
      <w:r w:rsidR="00A63AE9">
        <w:fldChar w:fldCharType="separate"/>
      </w:r>
      <w:r w:rsidRPr="00EE1255">
        <w:rPr>
          <w:rStyle w:val="Hyperlink"/>
          <w:sz w:val="24"/>
          <w:szCs w:val="24"/>
          <w:lang w:val="cs-CZ"/>
        </w:rPr>
        <w:t>http://data.europa.eu/eli/C/2025/6325/oj</w:t>
      </w:r>
      <w:r w:rsidR="00A63AE9">
        <w:rPr>
          <w:rStyle w:val="Hyperlink"/>
          <w:sz w:val="24"/>
          <w:szCs w:val="24"/>
          <w:lang w:val="cs-CZ"/>
        </w:rPr>
        <w:fldChar w:fldCharType="end"/>
      </w:r>
      <w:r w:rsidRPr="00EE1255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EABDD" w14:textId="77777777" w:rsidR="00064002" w:rsidRPr="00AD71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CE0AF" w14:textId="77777777" w:rsidR="00064002" w:rsidRPr="00AD71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413F1" w14:textId="77777777" w:rsidR="00064002" w:rsidRPr="00AD71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CFD4B9C"/>
    <w:multiLevelType w:val="hybridMultilevel"/>
    <w:tmpl w:val="F1C22BA4"/>
    <w:lvl w:ilvl="0" w:tplc="5388EBB4">
      <w:start w:val="6"/>
      <w:numFmt w:val="bullet"/>
      <w:lvlText w:val=""/>
      <w:lvlJc w:val="left"/>
      <w:pPr>
        <w:ind w:left="1211" w:hanging="360"/>
      </w:pPr>
      <w:rPr>
        <w:rFonts w:ascii="Symbol" w:eastAsia="Calibri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F16792B"/>
    <w:multiLevelType w:val="hybridMultilevel"/>
    <w:tmpl w:val="FAAC566C"/>
    <w:lvl w:ilvl="0" w:tplc="5204CB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2E8F5A" w:tentative="1">
      <w:start w:val="1"/>
      <w:numFmt w:val="lowerLetter"/>
      <w:lvlText w:val="%2."/>
      <w:lvlJc w:val="left"/>
      <w:pPr>
        <w:ind w:left="1440" w:hanging="360"/>
      </w:pPr>
    </w:lvl>
    <w:lvl w:ilvl="2" w:tplc="03CE43FA" w:tentative="1">
      <w:start w:val="1"/>
      <w:numFmt w:val="lowerRoman"/>
      <w:lvlText w:val="%3."/>
      <w:lvlJc w:val="right"/>
      <w:pPr>
        <w:ind w:left="2160" w:hanging="180"/>
      </w:pPr>
    </w:lvl>
    <w:lvl w:ilvl="3" w:tplc="375AE2FA" w:tentative="1">
      <w:start w:val="1"/>
      <w:numFmt w:val="decimal"/>
      <w:lvlText w:val="%4."/>
      <w:lvlJc w:val="left"/>
      <w:pPr>
        <w:ind w:left="2880" w:hanging="360"/>
      </w:pPr>
    </w:lvl>
    <w:lvl w:ilvl="4" w:tplc="3C3C2FBE" w:tentative="1">
      <w:start w:val="1"/>
      <w:numFmt w:val="lowerLetter"/>
      <w:lvlText w:val="%5."/>
      <w:lvlJc w:val="left"/>
      <w:pPr>
        <w:ind w:left="3600" w:hanging="360"/>
      </w:pPr>
    </w:lvl>
    <w:lvl w:ilvl="5" w:tplc="17C67206" w:tentative="1">
      <w:start w:val="1"/>
      <w:numFmt w:val="lowerRoman"/>
      <w:lvlText w:val="%6."/>
      <w:lvlJc w:val="right"/>
      <w:pPr>
        <w:ind w:left="4320" w:hanging="180"/>
      </w:pPr>
    </w:lvl>
    <w:lvl w:ilvl="6" w:tplc="CFDA769C" w:tentative="1">
      <w:start w:val="1"/>
      <w:numFmt w:val="decimal"/>
      <w:lvlText w:val="%7."/>
      <w:lvlJc w:val="left"/>
      <w:pPr>
        <w:ind w:left="5040" w:hanging="360"/>
      </w:pPr>
    </w:lvl>
    <w:lvl w:ilvl="7" w:tplc="C77EC8AA" w:tentative="1">
      <w:start w:val="1"/>
      <w:numFmt w:val="lowerLetter"/>
      <w:lvlText w:val="%8."/>
      <w:lvlJc w:val="left"/>
      <w:pPr>
        <w:ind w:left="5760" w:hanging="360"/>
      </w:pPr>
    </w:lvl>
    <w:lvl w:ilvl="8" w:tplc="D3561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D3338B"/>
    <w:multiLevelType w:val="hybridMultilevel"/>
    <w:tmpl w:val="27DA246A"/>
    <w:lvl w:ilvl="0" w:tplc="25348F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582FD0" w:tentative="1">
      <w:start w:val="1"/>
      <w:numFmt w:val="lowerLetter"/>
      <w:lvlText w:val="%2."/>
      <w:lvlJc w:val="left"/>
      <w:pPr>
        <w:ind w:left="1440" w:hanging="360"/>
      </w:pPr>
    </w:lvl>
    <w:lvl w:ilvl="2" w:tplc="8CC61F8E" w:tentative="1">
      <w:start w:val="1"/>
      <w:numFmt w:val="lowerRoman"/>
      <w:lvlText w:val="%3."/>
      <w:lvlJc w:val="right"/>
      <w:pPr>
        <w:ind w:left="2160" w:hanging="180"/>
      </w:pPr>
    </w:lvl>
    <w:lvl w:ilvl="3" w:tplc="039E2172" w:tentative="1">
      <w:start w:val="1"/>
      <w:numFmt w:val="decimal"/>
      <w:lvlText w:val="%4."/>
      <w:lvlJc w:val="left"/>
      <w:pPr>
        <w:ind w:left="2880" w:hanging="360"/>
      </w:pPr>
    </w:lvl>
    <w:lvl w:ilvl="4" w:tplc="82CE98F6" w:tentative="1">
      <w:start w:val="1"/>
      <w:numFmt w:val="lowerLetter"/>
      <w:lvlText w:val="%5."/>
      <w:lvlJc w:val="left"/>
      <w:pPr>
        <w:ind w:left="3600" w:hanging="360"/>
      </w:pPr>
    </w:lvl>
    <w:lvl w:ilvl="5" w:tplc="85E2949E" w:tentative="1">
      <w:start w:val="1"/>
      <w:numFmt w:val="lowerRoman"/>
      <w:lvlText w:val="%6."/>
      <w:lvlJc w:val="right"/>
      <w:pPr>
        <w:ind w:left="4320" w:hanging="180"/>
      </w:pPr>
    </w:lvl>
    <w:lvl w:ilvl="6" w:tplc="1CD0C9BE" w:tentative="1">
      <w:start w:val="1"/>
      <w:numFmt w:val="decimal"/>
      <w:lvlText w:val="%7."/>
      <w:lvlJc w:val="left"/>
      <w:pPr>
        <w:ind w:left="5040" w:hanging="360"/>
      </w:pPr>
    </w:lvl>
    <w:lvl w:ilvl="7" w:tplc="37BEC6BE" w:tentative="1">
      <w:start w:val="1"/>
      <w:numFmt w:val="lowerLetter"/>
      <w:lvlText w:val="%8."/>
      <w:lvlJc w:val="left"/>
      <w:pPr>
        <w:ind w:left="5760" w:hanging="360"/>
      </w:pPr>
    </w:lvl>
    <w:lvl w:ilvl="8" w:tplc="E052388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588559">
    <w:abstractNumId w:val="9"/>
  </w:num>
  <w:num w:numId="2" w16cid:durableId="1567567261">
    <w:abstractNumId w:val="9"/>
  </w:num>
  <w:num w:numId="3" w16cid:durableId="1622883410">
    <w:abstractNumId w:val="7"/>
  </w:num>
  <w:num w:numId="4" w16cid:durableId="1819496065">
    <w:abstractNumId w:val="7"/>
  </w:num>
  <w:num w:numId="5" w16cid:durableId="1774741712">
    <w:abstractNumId w:val="6"/>
  </w:num>
  <w:num w:numId="6" w16cid:durableId="459614940">
    <w:abstractNumId w:val="6"/>
  </w:num>
  <w:num w:numId="7" w16cid:durableId="264965679">
    <w:abstractNumId w:val="5"/>
  </w:num>
  <w:num w:numId="8" w16cid:durableId="773326989">
    <w:abstractNumId w:val="5"/>
  </w:num>
  <w:num w:numId="9" w16cid:durableId="9912375">
    <w:abstractNumId w:val="4"/>
  </w:num>
  <w:num w:numId="10" w16cid:durableId="1879194783">
    <w:abstractNumId w:val="4"/>
  </w:num>
  <w:num w:numId="11" w16cid:durableId="1831560739">
    <w:abstractNumId w:val="8"/>
  </w:num>
  <w:num w:numId="12" w16cid:durableId="1116562410">
    <w:abstractNumId w:val="8"/>
  </w:num>
  <w:num w:numId="13" w16cid:durableId="172033647">
    <w:abstractNumId w:val="3"/>
  </w:num>
  <w:num w:numId="14" w16cid:durableId="282853376">
    <w:abstractNumId w:val="3"/>
  </w:num>
  <w:num w:numId="15" w16cid:durableId="355691083">
    <w:abstractNumId w:val="2"/>
  </w:num>
  <w:num w:numId="16" w16cid:durableId="1414618568">
    <w:abstractNumId w:val="2"/>
  </w:num>
  <w:num w:numId="17" w16cid:durableId="206072170">
    <w:abstractNumId w:val="1"/>
  </w:num>
  <w:num w:numId="18" w16cid:durableId="2128740496">
    <w:abstractNumId w:val="1"/>
  </w:num>
  <w:num w:numId="19" w16cid:durableId="1539968012">
    <w:abstractNumId w:val="0"/>
  </w:num>
  <w:num w:numId="20" w16cid:durableId="1625653216">
    <w:abstractNumId w:val="0"/>
  </w:num>
  <w:num w:numId="21" w16cid:durableId="1886915534">
    <w:abstractNumId w:val="9"/>
  </w:num>
  <w:num w:numId="22" w16cid:durableId="1278760790">
    <w:abstractNumId w:val="7"/>
  </w:num>
  <w:num w:numId="23" w16cid:durableId="1907446773">
    <w:abstractNumId w:val="6"/>
  </w:num>
  <w:num w:numId="24" w16cid:durableId="367224433">
    <w:abstractNumId w:val="5"/>
  </w:num>
  <w:num w:numId="25" w16cid:durableId="746729628">
    <w:abstractNumId w:val="4"/>
  </w:num>
  <w:num w:numId="26" w16cid:durableId="822425459">
    <w:abstractNumId w:val="8"/>
  </w:num>
  <w:num w:numId="27" w16cid:durableId="1927496087">
    <w:abstractNumId w:val="3"/>
  </w:num>
  <w:num w:numId="28" w16cid:durableId="1511993376">
    <w:abstractNumId w:val="2"/>
  </w:num>
  <w:num w:numId="29" w16cid:durableId="1337263728">
    <w:abstractNumId w:val="1"/>
  </w:num>
  <w:num w:numId="30" w16cid:durableId="34473134">
    <w:abstractNumId w:val="0"/>
  </w:num>
  <w:num w:numId="31" w16cid:durableId="953827985">
    <w:abstractNumId w:val="9"/>
  </w:num>
  <w:num w:numId="32" w16cid:durableId="1100418442">
    <w:abstractNumId w:val="7"/>
  </w:num>
  <w:num w:numId="33" w16cid:durableId="719401917">
    <w:abstractNumId w:val="6"/>
  </w:num>
  <w:num w:numId="34" w16cid:durableId="483281580">
    <w:abstractNumId w:val="5"/>
  </w:num>
  <w:num w:numId="35" w16cid:durableId="1547335687">
    <w:abstractNumId w:val="4"/>
  </w:num>
  <w:num w:numId="36" w16cid:durableId="103350558">
    <w:abstractNumId w:val="8"/>
  </w:num>
  <w:num w:numId="37" w16cid:durableId="251354781">
    <w:abstractNumId w:val="3"/>
  </w:num>
  <w:num w:numId="38" w16cid:durableId="631205406">
    <w:abstractNumId w:val="2"/>
  </w:num>
  <w:num w:numId="39" w16cid:durableId="1083531234">
    <w:abstractNumId w:val="1"/>
  </w:num>
  <w:num w:numId="40" w16cid:durableId="707949627">
    <w:abstractNumId w:val="0"/>
  </w:num>
  <w:num w:numId="41" w16cid:durableId="1864395200">
    <w:abstractNumId w:val="10"/>
  </w:num>
  <w:num w:numId="42" w16cid:durableId="991639575">
    <w:abstractNumId w:val="10"/>
  </w:num>
  <w:num w:numId="43" w16cid:durableId="1728718917">
    <w:abstractNumId w:val="10"/>
  </w:num>
  <w:num w:numId="44" w16cid:durableId="1718167693">
    <w:abstractNumId w:val="12"/>
  </w:num>
  <w:num w:numId="45" w16cid:durableId="853422049">
    <w:abstractNumId w:val="13"/>
  </w:num>
  <w:num w:numId="46" w16cid:durableId="302931114">
    <w:abstractNumId w:val="14"/>
  </w:num>
  <w:num w:numId="47" w16cid:durableId="16340962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CS"/>
    <w:docVar w:name="dvnumam" w:val="63"/>
    <w:docVar w:name="dvpe" w:val="774.253"/>
    <w:docVar w:name="dvrapporteur" w:val="Zpravodaj: "/>
    <w:docVar w:name="dvstar" w:val="***I"/>
    <w:docVar w:name="dvtitre" w:val="Legislativní usnesení Evropského parlamentu ze dne.... 2025 o návrhu nařízení Evropského parlamentu a Rady, kterým se mění nařízení (EU) 2021/694, (EU) 2021/695, (EU) 2021/697, (EU) 2021/1153, (EU) 2023/1525 a 2024/795, pokud jde o pobídky k investicím souvisejícím s obranou v rámci rozpočtu EU za účelem provádění plánu ReArm Europe(COM(2025)0188 – C10-0070/2025 – 2025/0103(COD))"/>
  </w:docVars>
  <w:rsids>
    <w:rsidRoot w:val="0053015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9D8"/>
    <w:rsid w:val="001D4F21"/>
    <w:rsid w:val="001F32AE"/>
    <w:rsid w:val="00276169"/>
    <w:rsid w:val="002767FF"/>
    <w:rsid w:val="002B18FE"/>
    <w:rsid w:val="002B5493"/>
    <w:rsid w:val="002D3100"/>
    <w:rsid w:val="00311B5B"/>
    <w:rsid w:val="00343214"/>
    <w:rsid w:val="00344710"/>
    <w:rsid w:val="00351858"/>
    <w:rsid w:val="00361C00"/>
    <w:rsid w:val="00395FA1"/>
    <w:rsid w:val="003E15D4"/>
    <w:rsid w:val="00411CCE"/>
    <w:rsid w:val="0041666E"/>
    <w:rsid w:val="004204FE"/>
    <w:rsid w:val="00421060"/>
    <w:rsid w:val="004466AE"/>
    <w:rsid w:val="00471C19"/>
    <w:rsid w:val="00474D6F"/>
    <w:rsid w:val="004867E3"/>
    <w:rsid w:val="00494A28"/>
    <w:rsid w:val="004C0004"/>
    <w:rsid w:val="004C5D52"/>
    <w:rsid w:val="0050519A"/>
    <w:rsid w:val="005072A1"/>
    <w:rsid w:val="00514517"/>
    <w:rsid w:val="00530153"/>
    <w:rsid w:val="00545827"/>
    <w:rsid w:val="00556CA3"/>
    <w:rsid w:val="00560270"/>
    <w:rsid w:val="005720E7"/>
    <w:rsid w:val="005C2568"/>
    <w:rsid w:val="005F1B17"/>
    <w:rsid w:val="006037C0"/>
    <w:rsid w:val="006631B6"/>
    <w:rsid w:val="00680577"/>
    <w:rsid w:val="00695A5E"/>
    <w:rsid w:val="006F064D"/>
    <w:rsid w:val="006F74FA"/>
    <w:rsid w:val="00723C5D"/>
    <w:rsid w:val="00726E2E"/>
    <w:rsid w:val="00731ADD"/>
    <w:rsid w:val="00734777"/>
    <w:rsid w:val="00747932"/>
    <w:rsid w:val="00751A4A"/>
    <w:rsid w:val="00756632"/>
    <w:rsid w:val="00762C74"/>
    <w:rsid w:val="00786EC0"/>
    <w:rsid w:val="007C4C6E"/>
    <w:rsid w:val="007D1690"/>
    <w:rsid w:val="007E22AD"/>
    <w:rsid w:val="007E622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F09"/>
    <w:rsid w:val="00A1687D"/>
    <w:rsid w:val="00A43E52"/>
    <w:rsid w:val="00A4678D"/>
    <w:rsid w:val="00A63AE9"/>
    <w:rsid w:val="00A778C7"/>
    <w:rsid w:val="00AB441E"/>
    <w:rsid w:val="00AB6293"/>
    <w:rsid w:val="00AD71E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27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FCB"/>
    <w:rsid w:val="00E820A4"/>
    <w:rsid w:val="00E85825"/>
    <w:rsid w:val="00E95518"/>
    <w:rsid w:val="00EB006A"/>
    <w:rsid w:val="00EB4772"/>
    <w:rsid w:val="00ED169E"/>
    <w:rsid w:val="00ED4235"/>
    <w:rsid w:val="00EE125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EBE55"/>
  <w15:chartTrackingRefBased/>
  <w15:docId w15:val="{28229649-0427-4950-BD91-BBCC9CB1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44FC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FC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FC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FC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FC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FCB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FCB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FCB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FCB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E44FC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44FC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44FC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44FCB"/>
    <w:pPr>
      <w:spacing w:after="120"/>
    </w:pPr>
  </w:style>
  <w:style w:type="paragraph" w:customStyle="1" w:styleId="PageHeading">
    <w:name w:val="PageHeading"/>
    <w:basedOn w:val="Normal"/>
    <w:rsid w:val="00E44FC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44FCB"/>
    <w:rPr>
      <w:b/>
    </w:rPr>
  </w:style>
  <w:style w:type="paragraph" w:customStyle="1" w:styleId="NormalBold12a">
    <w:name w:val="NormalBold12a"/>
    <w:basedOn w:val="Normal"/>
    <w:rsid w:val="00E44FCB"/>
    <w:pPr>
      <w:spacing w:after="240"/>
    </w:pPr>
    <w:rPr>
      <w:b/>
    </w:rPr>
  </w:style>
  <w:style w:type="paragraph" w:customStyle="1" w:styleId="AmJustText">
    <w:name w:val="AmJustText"/>
    <w:basedOn w:val="Normal"/>
    <w:rsid w:val="00E44FCB"/>
    <w:pPr>
      <w:spacing w:after="240"/>
    </w:pPr>
    <w:rPr>
      <w:i/>
    </w:rPr>
  </w:style>
  <w:style w:type="paragraph" w:customStyle="1" w:styleId="NormalHanging12a">
    <w:name w:val="NormalHanging12a"/>
    <w:basedOn w:val="Normal"/>
    <w:uiPriority w:val="99"/>
    <w:rsid w:val="00E44FC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44FCB"/>
    <w:pPr>
      <w:spacing w:after="480"/>
      <w:ind w:left="1417"/>
    </w:pPr>
  </w:style>
  <w:style w:type="paragraph" w:customStyle="1" w:styleId="CoverNormal">
    <w:name w:val="CoverNormal"/>
    <w:basedOn w:val="Normal"/>
    <w:rsid w:val="00E44FCB"/>
    <w:pPr>
      <w:ind w:left="1418"/>
    </w:pPr>
  </w:style>
  <w:style w:type="paragraph" w:customStyle="1" w:styleId="AmCrossRef">
    <w:name w:val="AmCrossRef"/>
    <w:basedOn w:val="Normal"/>
    <w:rsid w:val="00E44FC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44FC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44FC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44FC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44FC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44FC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44F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4FCB"/>
    <w:rPr>
      <w:sz w:val="24"/>
      <w:lang w:val="cs-CZ"/>
    </w:rPr>
  </w:style>
  <w:style w:type="paragraph" w:customStyle="1" w:styleId="AmOrLang">
    <w:name w:val="AmOrLang"/>
    <w:basedOn w:val="Normal"/>
    <w:rsid w:val="00E44FC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44FC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44F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44FCB"/>
    <w:pPr>
      <w:spacing w:before="240"/>
    </w:pPr>
    <w:rPr>
      <w:b/>
    </w:rPr>
  </w:style>
  <w:style w:type="paragraph" w:customStyle="1" w:styleId="EPBody">
    <w:name w:val="EPBody"/>
    <w:basedOn w:val="Normal"/>
    <w:rsid w:val="00E44FC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44FC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44FCB"/>
    <w:pPr>
      <w:spacing w:before="480" w:after="240"/>
    </w:pPr>
  </w:style>
  <w:style w:type="paragraph" w:customStyle="1" w:styleId="Lgendesigne">
    <w:name w:val="Légende signe"/>
    <w:basedOn w:val="Normal"/>
    <w:rsid w:val="00E44FC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44FC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44FCB"/>
    <w:rPr>
      <w:sz w:val="18"/>
    </w:rPr>
  </w:style>
  <w:style w:type="paragraph" w:customStyle="1" w:styleId="AmHeadingPA">
    <w:name w:val="AmHeadingPA"/>
    <w:basedOn w:val="Normal"/>
    <w:next w:val="Normal"/>
    <w:rsid w:val="00E44FC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E44FC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E44F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4FCB"/>
    <w:rPr>
      <w:rFonts w:ascii="Segoe UI" w:hAnsi="Segoe UI" w:cs="Segoe UI"/>
      <w:sz w:val="18"/>
      <w:szCs w:val="18"/>
      <w:lang w:val="cs-CZ"/>
    </w:rPr>
  </w:style>
  <w:style w:type="paragraph" w:styleId="Revision">
    <w:name w:val="Revision"/>
    <w:hidden/>
    <w:uiPriority w:val="99"/>
    <w:semiHidden/>
    <w:rsid w:val="00E44FCB"/>
    <w:rPr>
      <w:sz w:val="24"/>
      <w:lang w:val="cs-CZ"/>
    </w:rPr>
  </w:style>
  <w:style w:type="paragraph" w:styleId="NormalWeb">
    <w:name w:val="Normal (Web)"/>
    <w:basedOn w:val="Normal"/>
    <w:uiPriority w:val="99"/>
    <w:unhideWhenUsed/>
    <w:rsid w:val="00E44FCB"/>
    <w:pPr>
      <w:widowControl/>
      <w:spacing w:before="100" w:beforeAutospacing="1" w:after="100" w:afterAutospacing="1"/>
    </w:pPr>
    <w:rPr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E44FCB"/>
    <w:rPr>
      <w:b/>
      <w:bCs/>
    </w:rPr>
  </w:style>
  <w:style w:type="character" w:customStyle="1" w:styleId="Normal6Char">
    <w:name w:val="Normal6 Char"/>
    <w:basedOn w:val="DefaultParagraphFont"/>
    <w:link w:val="Normal6"/>
    <w:locked/>
    <w:rsid w:val="00E44FCB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E44FC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44FCB"/>
    <w:rPr>
      <w:b/>
      <w:sz w:val="24"/>
      <w:lang w:val="cs-CZ"/>
    </w:rPr>
  </w:style>
  <w:style w:type="paragraph" w:customStyle="1" w:styleId="Normal12Italic">
    <w:name w:val="Normal12Italic"/>
    <w:basedOn w:val="Normal"/>
    <w:rsid w:val="00E44FCB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E44FCB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E44FC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44F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44FCB"/>
    <w:pPr>
      <w:spacing w:before="240"/>
      <w:jc w:val="center"/>
    </w:pPr>
    <w:rPr>
      <w:i/>
    </w:rPr>
  </w:style>
  <w:style w:type="paragraph" w:customStyle="1" w:styleId="Olang">
    <w:name w:val="Olang"/>
    <w:rsid w:val="00E44FCB"/>
    <w:pPr>
      <w:jc w:val="right"/>
    </w:pPr>
    <w:rPr>
      <w:lang w:val="cs-CZ"/>
    </w:rPr>
  </w:style>
  <w:style w:type="character" w:styleId="CommentReference">
    <w:name w:val="annotation reference"/>
    <w:basedOn w:val="DefaultParagraphFont"/>
    <w:uiPriority w:val="99"/>
    <w:rsid w:val="00E44F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44FC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4FC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44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44FCB"/>
    <w:rPr>
      <w:b/>
      <w:bCs/>
      <w:lang w:val="cs-CZ"/>
    </w:rPr>
  </w:style>
  <w:style w:type="character" w:styleId="FollowedHyperlink">
    <w:name w:val="FollowedHyperlink"/>
    <w:basedOn w:val="DefaultParagraphFont"/>
    <w:uiPriority w:val="99"/>
    <w:rsid w:val="00E44FCB"/>
    <w:rPr>
      <w:color w:val="954F72" w:themeColor="followedHyperlink"/>
      <w:u w:val="single"/>
    </w:rPr>
  </w:style>
  <w:style w:type="paragraph" w:customStyle="1" w:styleId="NormalCenter12a">
    <w:name w:val="NormalCenter12a"/>
    <w:basedOn w:val="Normal"/>
    <w:rsid w:val="00E44FCB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E44FCB"/>
    <w:pPr>
      <w:spacing w:before="720" w:after="240"/>
      <w:jc w:val="center"/>
    </w:pPr>
    <w:rPr>
      <w:lang w:val="en-GB"/>
    </w:rPr>
  </w:style>
  <w:style w:type="paragraph" w:customStyle="1" w:styleId="Text1">
    <w:name w:val="Text 1"/>
    <w:basedOn w:val="Normal"/>
    <w:rsid w:val="00E44FCB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E44FCB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E44FCB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E44FCB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Applicationdirecte">
    <w:name w:val="Application directe"/>
    <w:basedOn w:val="Normal"/>
    <w:next w:val="Normal"/>
    <w:rsid w:val="00E44FCB"/>
    <w:pPr>
      <w:widowControl/>
      <w:spacing w:before="480" w:after="12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E44FCB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E44FCB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E44FCB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E44FCB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E44FCB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E44FCB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">
    <w:name w:val="Intérêt EEE"/>
    <w:basedOn w:val="Normal"/>
    <w:next w:val="Normal"/>
    <w:rsid w:val="00E44FCB"/>
    <w:pPr>
      <w:widowControl/>
      <w:spacing w:before="360" w:after="240"/>
      <w:jc w:val="center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E44FCB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Normal24a">
    <w:name w:val="Normal24a"/>
    <w:basedOn w:val="Normal"/>
    <w:rsid w:val="00E44FCB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E44FCB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E44FCB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E44FCB"/>
    <w:rPr>
      <w:szCs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4FCB"/>
    <w:rPr>
      <w:color w:val="605E5C"/>
      <w:shd w:val="clear" w:color="auto" w:fill="E1DFDD"/>
    </w:rPr>
  </w:style>
  <w:style w:type="paragraph" w:customStyle="1" w:styleId="Normal12a">
    <w:name w:val="Normal12a"/>
    <w:basedOn w:val="Normal"/>
    <w:rsid w:val="00E44FCB"/>
    <w:pPr>
      <w:spacing w:after="240"/>
    </w:pPr>
  </w:style>
  <w:style w:type="paragraph" w:customStyle="1" w:styleId="PageHeadingNotTOC">
    <w:name w:val="PageHeadingNotTOC"/>
    <w:basedOn w:val="Normal"/>
    <w:rsid w:val="00E44FCB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textrun">
    <w:name w:val="normaltextrun"/>
    <w:basedOn w:val="DefaultParagraphFont"/>
    <w:rsid w:val="00E44FCB"/>
  </w:style>
  <w:style w:type="paragraph" w:customStyle="1" w:styleId="RollCallSymbols14pt">
    <w:name w:val="RollCallSymbols14pt"/>
    <w:basedOn w:val="Normal"/>
    <w:rsid w:val="00E44FC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44FC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44FC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44FCB"/>
    <w:pPr>
      <w:spacing w:before="120" w:after="120"/>
    </w:pPr>
    <w:rPr>
      <w:snapToGrid w:val="0"/>
      <w:sz w:val="16"/>
      <w:lang w:eastAsia="en-US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E44FCB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E44F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FCB"/>
    <w:rPr>
      <w:sz w:val="24"/>
      <w:lang w:val="cs-CZ"/>
    </w:rPr>
  </w:style>
  <w:style w:type="paragraph" w:styleId="ListParagraph">
    <w:name w:val="List Paragraph"/>
    <w:basedOn w:val="Normal"/>
    <w:uiPriority w:val="34"/>
    <w:qFormat/>
    <w:rsid w:val="00E44FCB"/>
    <w:pPr>
      <w:widowControl/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44FC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D4F21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351858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1858"/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858"/>
    <w:pPr>
      <w:widowControl/>
      <w:numPr>
        <w:ilvl w:val="1"/>
      </w:numPr>
      <w:spacing w:after="160" w:line="360" w:lineRule="auto"/>
      <w:ind w:left="720" w:hanging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1858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351858"/>
    <w:pPr>
      <w:widowControl/>
      <w:spacing w:before="160" w:after="160" w:line="360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1858"/>
    <w:rPr>
      <w:rFonts w:eastAsiaTheme="minorHAnsi" w:cstheme="minorBidi"/>
      <w:i/>
      <w:iCs/>
      <w:color w:val="404040" w:themeColor="text1" w:themeTint="BF"/>
      <w:kern w:val="2"/>
      <w:sz w:val="24"/>
      <w:szCs w:val="22"/>
      <w:lang w:val="cs-CZ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185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858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360" w:lineRule="auto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858"/>
    <w:rPr>
      <w:rFonts w:eastAsiaTheme="minorHAnsi" w:cstheme="minorBidi"/>
      <w:i/>
      <w:iCs/>
      <w:color w:val="2E74B5" w:themeColor="accent1" w:themeShade="BF"/>
      <w:kern w:val="2"/>
      <w:sz w:val="24"/>
      <w:szCs w:val="22"/>
      <w:lang w:val="cs-CZ"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351858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351858"/>
    <w:rPr>
      <w:rFonts w:eastAsiaTheme="minorHAnsi" w:cstheme="minorBidi"/>
      <w:kern w:val="2"/>
      <w:sz w:val="24"/>
      <w:szCs w:val="22"/>
      <w:lang w:val="cs-CZ" w:eastAsia="en-US"/>
      <w14:ligatures w14:val="standardContextual"/>
    </w:rPr>
  </w:style>
  <w:style w:type="paragraph" w:customStyle="1" w:styleId="Text3">
    <w:name w:val="Text 3"/>
    <w:basedOn w:val="Normal"/>
    <w:rsid w:val="00351858"/>
    <w:pPr>
      <w:widowControl/>
      <w:spacing w:before="120" w:after="120" w:line="360" w:lineRule="auto"/>
      <w:ind w:left="1701" w:hanging="720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439</Words>
  <Characters>2523</Characters>
  <Application>Microsoft Office Word</Application>
  <DocSecurity>0</DocSecurity>
  <Lines>109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2026-03-04T14:44:00Z</dcterms:created>
  <dcterms:modified xsi:type="dcterms:W3CDTF">2026-03-04T14:44:00Z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