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A08" w14:paraId="75BC5E99" w14:textId="77777777" w:rsidTr="0010095E">
        <w:trPr>
          <w:trHeight w:hRule="exact" w:val="1418"/>
        </w:trPr>
        <w:tc>
          <w:tcPr>
            <w:tcW w:w="6804" w:type="dxa"/>
            <w:shd w:val="clear" w:color="auto" w:fill="auto"/>
            <w:vAlign w:val="center"/>
          </w:tcPr>
          <w:p w14:paraId="02C253AA" w14:textId="77777777" w:rsidR="00751A4A" w:rsidRPr="00ED1A08" w:rsidRDefault="00D87B3D" w:rsidP="0010095E">
            <w:pPr>
              <w:pStyle w:val="EPName"/>
            </w:pPr>
            <w:r w:rsidRPr="00ED1A08">
              <w:t>Parlamento Europeo</w:t>
            </w:r>
          </w:p>
          <w:p w14:paraId="74105B59" w14:textId="77777777" w:rsidR="00751A4A" w:rsidRPr="00ED1A08" w:rsidRDefault="005F1B17" w:rsidP="005F1B17">
            <w:pPr>
              <w:pStyle w:val="EPTerm"/>
              <w:rPr>
                <w:rStyle w:val="HideTWBExt"/>
                <w:noProof w:val="0"/>
                <w:vanish w:val="0"/>
                <w:color w:val="auto"/>
              </w:rPr>
            </w:pPr>
            <w:r w:rsidRPr="00ED1A08">
              <w:t>2024</w:t>
            </w:r>
            <w:r w:rsidR="00817416" w:rsidRPr="00ED1A08">
              <w:t>-202</w:t>
            </w:r>
            <w:r w:rsidRPr="00ED1A08">
              <w:t>9</w:t>
            </w:r>
          </w:p>
        </w:tc>
        <w:tc>
          <w:tcPr>
            <w:tcW w:w="2268" w:type="dxa"/>
            <w:shd w:val="clear" w:color="auto" w:fill="auto"/>
          </w:tcPr>
          <w:p w14:paraId="328D6730" w14:textId="77777777" w:rsidR="00751A4A" w:rsidRPr="00ED1A08" w:rsidRDefault="00187494" w:rsidP="0010095E">
            <w:pPr>
              <w:pStyle w:val="EPLogo"/>
            </w:pPr>
            <w:r w:rsidRPr="00ED1A08">
              <w:rPr>
                <w:noProof/>
                <w:lang w:eastAsia="ja-JP"/>
              </w:rPr>
              <w:drawing>
                <wp:inline distT="0" distB="0" distL="0" distR="0" wp14:anchorId="0100AC4E" wp14:editId="11DEE6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85FC55" w14:textId="77777777" w:rsidR="00D058B8" w:rsidRPr="00ED1A08" w:rsidRDefault="00D058B8" w:rsidP="004C5D52">
      <w:pPr>
        <w:pStyle w:val="LineTop"/>
      </w:pPr>
    </w:p>
    <w:p w14:paraId="6D2E2051" w14:textId="77777777" w:rsidR="00680577" w:rsidRPr="00ED1A08" w:rsidRDefault="00D87B3D" w:rsidP="00680577">
      <w:pPr>
        <w:pStyle w:val="EPBodyTA1"/>
      </w:pPr>
      <w:r w:rsidRPr="00ED1A08">
        <w:t>TEXTOS APROBADOS</w:t>
      </w:r>
    </w:p>
    <w:p w14:paraId="1D9AC2A8" w14:textId="77777777" w:rsidR="00D058B8" w:rsidRPr="00ED1A08" w:rsidRDefault="00D058B8" w:rsidP="00D058B8">
      <w:pPr>
        <w:pStyle w:val="LineBottom"/>
      </w:pPr>
    </w:p>
    <w:p w14:paraId="552A6AFE" w14:textId="71605879" w:rsidR="00D87B3D" w:rsidRPr="00F4600C" w:rsidRDefault="00D87B3D" w:rsidP="00D87B3D">
      <w:pPr>
        <w:pStyle w:val="ATHeading1"/>
      </w:pPr>
      <w:bookmarkStart w:id="0" w:name="TANumber"/>
      <w:r w:rsidRPr="00F4600C">
        <w:t>P10_</w:t>
      </w:r>
      <w:proofErr w:type="gramStart"/>
      <w:r w:rsidRPr="00F4600C">
        <w:t>TA(</w:t>
      </w:r>
      <w:proofErr w:type="gramEnd"/>
      <w:r w:rsidRPr="00F4600C">
        <w:t>2025)0</w:t>
      </w:r>
      <w:r w:rsidR="00223D51" w:rsidRPr="00F4600C">
        <w:t>320</w:t>
      </w:r>
      <w:bookmarkEnd w:id="0"/>
    </w:p>
    <w:p w14:paraId="57576272" w14:textId="77777777" w:rsidR="00D87B3D" w:rsidRPr="00F4600C" w:rsidRDefault="00D87B3D" w:rsidP="00D87B3D">
      <w:pPr>
        <w:pStyle w:val="ATHeading2"/>
      </w:pPr>
      <w:bookmarkStart w:id="1" w:name="title"/>
      <w:r w:rsidRPr="00F4600C">
        <w:t xml:space="preserve">Incentivación de las inversiones relacionadas con la defensa en el presupuesto de la UE para la ejecución del Plan </w:t>
      </w:r>
      <w:proofErr w:type="spellStart"/>
      <w:r w:rsidRPr="00F4600C">
        <w:t>ReArmar</w:t>
      </w:r>
      <w:proofErr w:type="spellEnd"/>
      <w:r w:rsidRPr="00F4600C">
        <w:t xml:space="preserve"> Europa</w:t>
      </w:r>
      <w:bookmarkEnd w:id="1"/>
    </w:p>
    <w:p w14:paraId="4E6896E4" w14:textId="77777777" w:rsidR="00D87B3D" w:rsidRPr="00ED1A08" w:rsidRDefault="00D87B3D" w:rsidP="00D87B3D">
      <w:pPr>
        <w:rPr>
          <w:i/>
          <w:vanish/>
        </w:rPr>
      </w:pPr>
      <w:r w:rsidRPr="00ED1A08">
        <w:rPr>
          <w:i/>
        </w:rPr>
        <w:fldChar w:fldCharType="begin"/>
      </w:r>
      <w:r w:rsidRPr="00ED1A08">
        <w:rPr>
          <w:i/>
        </w:rPr>
        <w:instrText xml:space="preserve"> TC"(</w:instrText>
      </w:r>
      <w:bookmarkStart w:id="2" w:name="DocNumber"/>
      <w:r w:rsidRPr="00ED1A08">
        <w:rPr>
          <w:i/>
        </w:rPr>
        <w:instrText>A10-0172/2025</w:instrText>
      </w:r>
      <w:bookmarkEnd w:id="2"/>
      <w:r w:rsidRPr="00ED1A08">
        <w:rPr>
          <w:i/>
        </w:rPr>
        <w:instrText xml:space="preserve"> - Ponente: Rihards Kols)"\l3 \n&gt; \* MERGEFORMAT </w:instrText>
      </w:r>
      <w:r w:rsidRPr="00ED1A08">
        <w:rPr>
          <w:i/>
        </w:rPr>
        <w:fldChar w:fldCharType="end"/>
      </w:r>
    </w:p>
    <w:p w14:paraId="1D717CC0" w14:textId="77777777" w:rsidR="00D87B3D" w:rsidRPr="00ED1A08" w:rsidRDefault="00D87B3D" w:rsidP="00D87B3D">
      <w:pPr>
        <w:rPr>
          <w:vanish/>
        </w:rPr>
      </w:pPr>
      <w:bookmarkStart w:id="3" w:name="Commission"/>
      <w:r w:rsidRPr="00ED1A08">
        <w:rPr>
          <w:vanish/>
        </w:rPr>
        <w:t>Comisión de Industria, Investigación y Energía</w:t>
      </w:r>
      <w:bookmarkEnd w:id="3"/>
    </w:p>
    <w:p w14:paraId="25CB9603" w14:textId="77777777" w:rsidR="00D87B3D" w:rsidRPr="00ED1A08" w:rsidRDefault="00D87B3D" w:rsidP="00D87B3D">
      <w:pPr>
        <w:rPr>
          <w:vanish/>
        </w:rPr>
      </w:pPr>
      <w:bookmarkStart w:id="4" w:name="PE"/>
      <w:r w:rsidRPr="00ED1A08">
        <w:rPr>
          <w:vanish/>
        </w:rPr>
        <w:t>PE774.253</w:t>
      </w:r>
      <w:bookmarkEnd w:id="4"/>
    </w:p>
    <w:p w14:paraId="0E46B6C7" w14:textId="77777777" w:rsidR="00D87B3D" w:rsidRPr="00F4600C" w:rsidRDefault="00D87B3D" w:rsidP="00D87B3D">
      <w:pPr>
        <w:pStyle w:val="ATHeading3"/>
      </w:pPr>
      <w:bookmarkStart w:id="5" w:name="Sujet"/>
      <w:r w:rsidRPr="00F4600C">
        <w:t xml:space="preserve">Resolución legislativa del Parlamento Europeo, de 16 de diciembre de 2025, sobre la propuesta de Reglamento del Parlamento Europeo y del Consejo por el que se modifican los Reglamentos (UE) 2021/694, (UE) 2021/695, (UE) 2021/697, (UE) 2021/1153, (UE) 2023/1525 y (UE) 2024/795, en lo que respecta a la incentivación de las inversiones relacionadas con la defensa en el presupuesto de la UE para la ejecución del Plan </w:t>
      </w:r>
      <w:proofErr w:type="spellStart"/>
      <w:r w:rsidRPr="00F4600C">
        <w:t>ReArmar</w:t>
      </w:r>
      <w:proofErr w:type="spellEnd"/>
      <w:r w:rsidRPr="00F4600C">
        <w:t xml:space="preserve"> Europa</w:t>
      </w:r>
      <w:bookmarkEnd w:id="5"/>
      <w:r w:rsidRPr="00F4600C">
        <w:t xml:space="preserve"> </w:t>
      </w:r>
      <w:bookmarkStart w:id="6" w:name="References"/>
      <w:r w:rsidRPr="00F4600C">
        <w:t>(</w:t>
      </w:r>
      <w:proofErr w:type="gramStart"/>
      <w:r w:rsidRPr="00F4600C">
        <w:t>COM(</w:t>
      </w:r>
      <w:proofErr w:type="gramEnd"/>
      <w:r w:rsidRPr="00F4600C">
        <w:t>2025)0188 – C10-0070/2025 – 2025/0103(COD))</w:t>
      </w:r>
      <w:bookmarkEnd w:id="6"/>
    </w:p>
    <w:p w14:paraId="2EACE9B7" w14:textId="77777777" w:rsidR="003D1E96" w:rsidRPr="00ED1A08" w:rsidRDefault="003D1E96" w:rsidP="00281C03">
      <w:pPr>
        <w:pStyle w:val="NormalBold"/>
        <w:spacing w:after="360"/>
      </w:pPr>
      <w:r w:rsidRPr="00ED1A08">
        <w:t>(Procedimiento legislativo ordinario: primera lectura)</w:t>
      </w:r>
    </w:p>
    <w:p w14:paraId="3A8EEE2B" w14:textId="77777777" w:rsidR="003D1E96" w:rsidRPr="00ED1A08" w:rsidRDefault="003D1E96" w:rsidP="00281C03">
      <w:pPr>
        <w:pStyle w:val="EPComma"/>
        <w:spacing w:before="0"/>
      </w:pPr>
      <w:r w:rsidRPr="00ED1A08">
        <w:rPr>
          <w:i/>
        </w:rPr>
        <w:t>El Parlamento Europeo</w:t>
      </w:r>
      <w:r w:rsidRPr="00ED1A08">
        <w:t>,</w:t>
      </w:r>
    </w:p>
    <w:p w14:paraId="1853B58D" w14:textId="77777777" w:rsidR="003D1E96" w:rsidRPr="00ED1A08" w:rsidRDefault="003D1E96" w:rsidP="00281C03">
      <w:pPr>
        <w:pStyle w:val="NormalHanging12a"/>
      </w:pPr>
      <w:r w:rsidRPr="00ED1A08">
        <w:t>–</w:t>
      </w:r>
      <w:r w:rsidRPr="00ED1A08">
        <w:tab/>
        <w:t>Vista la propuesta de la Comisión al Parlamento Europeo y al Consejo (</w:t>
      </w:r>
      <w:proofErr w:type="gramStart"/>
      <w:r w:rsidRPr="00ED1A08">
        <w:t>COM(</w:t>
      </w:r>
      <w:proofErr w:type="gramEnd"/>
      <w:r w:rsidRPr="00ED1A08">
        <w:t>2025)0188),</w:t>
      </w:r>
    </w:p>
    <w:p w14:paraId="5E68921A" w14:textId="6D79B995" w:rsidR="003D1E96" w:rsidRPr="00ED1A08" w:rsidRDefault="003D1E96" w:rsidP="00281C03">
      <w:pPr>
        <w:pStyle w:val="NormalHanging12a"/>
      </w:pPr>
      <w:r w:rsidRPr="00ED1A08">
        <w:t>–</w:t>
      </w:r>
      <w:r w:rsidRPr="00ED1A08">
        <w:tab/>
        <w:t>Vistos el artículo 294, apartado 2, los artículos 114, 164</w:t>
      </w:r>
      <w:r w:rsidR="007350C2" w:rsidRPr="00ED1A08">
        <w:t xml:space="preserve">, </w:t>
      </w:r>
      <w:r w:rsidRPr="00ED1A08">
        <w:t>172</w:t>
      </w:r>
      <w:r w:rsidR="0064146A" w:rsidRPr="00ED1A08">
        <w:t xml:space="preserve"> y</w:t>
      </w:r>
      <w:r w:rsidRPr="00ED1A08">
        <w:t xml:space="preserve"> 173, el artículo 175, párrafo tercero, los artículos </w:t>
      </w:r>
      <w:r w:rsidR="007350C2" w:rsidRPr="00ED1A08">
        <w:t xml:space="preserve">176, </w:t>
      </w:r>
      <w:r w:rsidRPr="00ED1A08">
        <w:t>177</w:t>
      </w:r>
      <w:r w:rsidR="007350C2" w:rsidRPr="00ED1A08">
        <w:t xml:space="preserve">, </w:t>
      </w:r>
      <w:r w:rsidRPr="00ED1A08">
        <w:t>178, 182, 183</w:t>
      </w:r>
      <w:r w:rsidR="0064146A" w:rsidRPr="00ED1A08">
        <w:t xml:space="preserve"> y</w:t>
      </w:r>
      <w:r w:rsidRPr="00ED1A08">
        <w:t xml:space="preserve"> 188 y el artículo 192, apartado 1, del Tratado de Funcionamiento de la Unión Europea, conforme a los cuales la Comisión le ha presentado su propuesta (C10</w:t>
      </w:r>
      <w:r w:rsidRPr="00ED1A08">
        <w:noBreakHyphen/>
        <w:t>0070/2025),</w:t>
      </w:r>
    </w:p>
    <w:p w14:paraId="0EFED70D" w14:textId="6C2FB87F" w:rsidR="00A504D1" w:rsidRPr="00ED1A08" w:rsidRDefault="003D1E96" w:rsidP="00281C03">
      <w:pPr>
        <w:pStyle w:val="NormalHanging12a"/>
      </w:pPr>
      <w:r w:rsidRPr="00ED1A08">
        <w:t>–</w:t>
      </w:r>
      <w:r w:rsidRPr="00ED1A08">
        <w:tab/>
      </w:r>
      <w:r w:rsidR="00A504D1" w:rsidRPr="00ED1A08">
        <w:t>Vista la opinión de la Comisión de Asuntos Jurídicos sobre la base jurídica propuesta,</w:t>
      </w:r>
    </w:p>
    <w:p w14:paraId="6CB9CBE8" w14:textId="543352A2" w:rsidR="003D1E96" w:rsidRPr="00ED1A08" w:rsidRDefault="00A504D1" w:rsidP="00281C03">
      <w:pPr>
        <w:pStyle w:val="NormalHanging12a"/>
      </w:pPr>
      <w:r w:rsidRPr="00ED1A08">
        <w:t>–</w:t>
      </w:r>
      <w:r w:rsidRPr="00ED1A08">
        <w:tab/>
      </w:r>
      <w:r w:rsidR="003D1E96" w:rsidRPr="00ED1A08">
        <w:t>Visto el artículo 294, apartado 3</w:t>
      </w:r>
      <w:r w:rsidR="00A91042" w:rsidRPr="00ED1A08">
        <w:t>,</w:t>
      </w:r>
      <w:r w:rsidR="0064146A" w:rsidRPr="00ED1A08">
        <w:t xml:space="preserve"> y</w:t>
      </w:r>
      <w:r w:rsidR="003D1E96" w:rsidRPr="00ED1A08">
        <w:t xml:space="preserve"> </w:t>
      </w:r>
      <w:r w:rsidR="007350C2" w:rsidRPr="00ED1A08">
        <w:t xml:space="preserve">los artículos 164 y 172, el artículo 173, apartado 3, el artículo 175, párrafo tercero, los artículos 177 y 178, </w:t>
      </w:r>
      <w:r w:rsidR="00865073" w:rsidRPr="00ED1A08">
        <w:t>e</w:t>
      </w:r>
      <w:r w:rsidR="007350C2" w:rsidRPr="00ED1A08">
        <w:t xml:space="preserve">l artículo 182, apartados 1 y 4, el artículo183, el artículo 188, párrafo segundo, y el artículo 192, apartado </w:t>
      </w:r>
      <w:r w:rsidR="006C7DFE" w:rsidRPr="00ED1A08">
        <w:t>1, del</w:t>
      </w:r>
      <w:r w:rsidR="003D1E96" w:rsidRPr="00ED1A08">
        <w:t xml:space="preserve"> Tratado de Funcionamiento de la Unión Europea,</w:t>
      </w:r>
    </w:p>
    <w:p w14:paraId="2ED062AB" w14:textId="77777777" w:rsidR="003D1E96" w:rsidRPr="00ED1A08" w:rsidRDefault="003D1E96" w:rsidP="00281C03">
      <w:pPr>
        <w:pStyle w:val="NormalHanging12a"/>
      </w:pPr>
      <w:r w:rsidRPr="00ED1A08">
        <w:t>–</w:t>
      </w:r>
      <w:r w:rsidRPr="00ED1A08">
        <w:tab/>
        <w:t>Vista la evaluación presupuestaria emitida por la Comisión de Presupuestos,</w:t>
      </w:r>
    </w:p>
    <w:p w14:paraId="0B65F671" w14:textId="4FF5F362" w:rsidR="003D1E96" w:rsidRPr="00ED1A08" w:rsidRDefault="003D1E96" w:rsidP="00281C03">
      <w:pPr>
        <w:pStyle w:val="NormalHanging12a"/>
      </w:pPr>
      <w:r w:rsidRPr="00ED1A08">
        <w:t>–</w:t>
      </w:r>
      <w:r w:rsidRPr="00ED1A08">
        <w:tab/>
        <w:t>Visto el dictamen del Comité Económico y Social Europeo de 18 de septiembre de 2025</w:t>
      </w:r>
      <w:r w:rsidRPr="00ED1A08">
        <w:rPr>
          <w:rStyle w:val="FootnoteReference"/>
        </w:rPr>
        <w:footnoteReference w:id="1"/>
      </w:r>
      <w:r w:rsidRPr="00ED1A08">
        <w:t>,</w:t>
      </w:r>
    </w:p>
    <w:p w14:paraId="61AC08FE" w14:textId="66F06985" w:rsidR="003D1E96" w:rsidRPr="00ED1A08" w:rsidRDefault="003D1E96" w:rsidP="00281C03">
      <w:pPr>
        <w:pStyle w:val="NormalHanging12a"/>
      </w:pPr>
      <w:r w:rsidRPr="00ED1A08">
        <w:t>–</w:t>
      </w:r>
      <w:r w:rsidRPr="00ED1A08">
        <w:tab/>
      </w:r>
      <w:r w:rsidR="00DF498A" w:rsidRPr="00ED1A08">
        <w:t>Visto el dictamen del</w:t>
      </w:r>
      <w:r w:rsidRPr="00ED1A08">
        <w:t xml:space="preserve"> Comité de las Regiones</w:t>
      </w:r>
      <w:r w:rsidR="00DF498A" w:rsidRPr="00ED1A08">
        <w:t xml:space="preserve"> de 15 de octubre de 2025</w:t>
      </w:r>
      <w:r w:rsidR="00DF498A" w:rsidRPr="00ED1A08">
        <w:rPr>
          <w:rStyle w:val="FootnoteReference"/>
        </w:rPr>
        <w:footnoteReference w:id="2"/>
      </w:r>
      <w:r w:rsidR="00DF498A" w:rsidRPr="00ED1A08">
        <w:t>,</w:t>
      </w:r>
    </w:p>
    <w:p w14:paraId="4DE08169" w14:textId="300D0462" w:rsidR="00A504D1" w:rsidRPr="00ED1A08" w:rsidRDefault="003D1E96" w:rsidP="00281C03">
      <w:pPr>
        <w:pStyle w:val="NormalHanging12a"/>
      </w:pPr>
      <w:r w:rsidRPr="00ED1A08">
        <w:t>–</w:t>
      </w:r>
      <w:r w:rsidRPr="00ED1A08">
        <w:tab/>
      </w:r>
      <w:r w:rsidR="000F00D3" w:rsidRPr="00ED1A08">
        <w:t xml:space="preserve">Vistos el acuerdo provisional aprobado por la comisión competente con arreglo al artículo 75, apartado 4, de su Reglamento interno, y el compromiso asumido por el </w:t>
      </w:r>
      <w:r w:rsidR="000F00D3" w:rsidRPr="00ED1A08">
        <w:lastRenderedPageBreak/>
        <w:t>representante del Consejo, mediante carta de 10 de noviembre de 2025, de aprobar la Posición del Parlamento, de conformidad con el artículo 294, apartado 4, del Tratado de Funcionamiento de la Unión Europea,</w:t>
      </w:r>
    </w:p>
    <w:p w14:paraId="1FE1DE1A" w14:textId="60366E4F" w:rsidR="003D1E96" w:rsidRPr="00ED1A08" w:rsidRDefault="00A504D1" w:rsidP="00281C03">
      <w:pPr>
        <w:pStyle w:val="NormalHanging12a"/>
      </w:pPr>
      <w:r w:rsidRPr="00ED1A08">
        <w:t>–</w:t>
      </w:r>
      <w:r w:rsidRPr="00ED1A08">
        <w:tab/>
      </w:r>
      <w:r w:rsidR="003D1E96" w:rsidRPr="00ED1A08">
        <w:t>Vistos los artículos 60</w:t>
      </w:r>
      <w:r w:rsidR="00292427" w:rsidRPr="00ED1A08">
        <w:t>, 41</w:t>
      </w:r>
      <w:r w:rsidR="003D1E96" w:rsidRPr="00ED1A08">
        <w:t xml:space="preserve"> y 58 de su Reglamento interno,</w:t>
      </w:r>
    </w:p>
    <w:p w14:paraId="37125F84" w14:textId="77777777" w:rsidR="003D1E96" w:rsidRPr="00ED1A08" w:rsidRDefault="003D1E96" w:rsidP="00281C03">
      <w:pPr>
        <w:pStyle w:val="NormalHanging12a"/>
      </w:pPr>
      <w:r w:rsidRPr="00ED1A08">
        <w:t>–</w:t>
      </w:r>
      <w:r w:rsidRPr="00ED1A08">
        <w:tab/>
        <w:t>Vistas las opiniones de la Comisión de Seguridad y Defensa y de la Comisión de Transportes y Turismo,</w:t>
      </w:r>
    </w:p>
    <w:p w14:paraId="56E71D26" w14:textId="77777777" w:rsidR="003D1E96" w:rsidRPr="00ED1A08" w:rsidRDefault="003D1E96" w:rsidP="00281C03">
      <w:pPr>
        <w:pStyle w:val="NormalHanging12a"/>
      </w:pPr>
      <w:r w:rsidRPr="00ED1A08">
        <w:t>–</w:t>
      </w:r>
      <w:r w:rsidRPr="00ED1A08">
        <w:tab/>
        <w:t>Visto el informe de la Comisión de Industria, Investigación y Energía (A10</w:t>
      </w:r>
      <w:r w:rsidRPr="00ED1A08">
        <w:noBreakHyphen/>
        <w:t>0172/2025),</w:t>
      </w:r>
    </w:p>
    <w:p w14:paraId="7B561E9B" w14:textId="77777777" w:rsidR="003D1E96" w:rsidRPr="00ED1A08" w:rsidRDefault="003D1E96" w:rsidP="00281C03">
      <w:pPr>
        <w:pStyle w:val="NormalHanging12a"/>
      </w:pPr>
      <w:r w:rsidRPr="00ED1A08">
        <w:t>1.</w:t>
      </w:r>
      <w:r w:rsidRPr="00ED1A08">
        <w:tab/>
        <w:t>Aprueba la Posición en primera lectura que figura a continuación;</w:t>
      </w:r>
    </w:p>
    <w:p w14:paraId="31E11E6A" w14:textId="77777777" w:rsidR="003D1E96" w:rsidRPr="00ED1A08" w:rsidRDefault="003D1E96" w:rsidP="00281C03">
      <w:pPr>
        <w:pStyle w:val="NormalHanging12a"/>
      </w:pPr>
      <w:r w:rsidRPr="00ED1A08">
        <w:t>2.</w:t>
      </w:r>
      <w:r w:rsidRPr="00ED1A08">
        <w:tab/>
        <w:t>Pide a la Comisión que le consulte de nuevo si sustituye su propuesta, la modifica sustancialmente o se propone modificarla sustancialmente;</w:t>
      </w:r>
    </w:p>
    <w:p w14:paraId="245896F6" w14:textId="0FA713E0" w:rsidR="00D4476F" w:rsidRPr="00ED1A08" w:rsidRDefault="003D1E96" w:rsidP="00281C03">
      <w:pPr>
        <w:pStyle w:val="NormalHanging12a"/>
      </w:pPr>
      <w:r w:rsidRPr="00ED1A08">
        <w:t>3.</w:t>
      </w:r>
      <w:r w:rsidRPr="00ED1A08">
        <w:tab/>
        <w:t>Encarga a su presidenta que transmita la Posición del Parlamento al Consejo y a la Comisión, así como a los Parlamentos nacionales.</w:t>
      </w:r>
    </w:p>
    <w:p w14:paraId="528463BC" w14:textId="77777777" w:rsidR="002413E2" w:rsidRPr="00ED1A08" w:rsidRDefault="002413E2" w:rsidP="00D4476F">
      <w:pPr>
        <w:autoSpaceDE w:val="0"/>
        <w:autoSpaceDN w:val="0"/>
        <w:adjustRightInd w:val="0"/>
        <w:spacing w:after="240"/>
        <w:sectPr w:rsidR="002413E2" w:rsidRPr="00ED1A08" w:rsidSect="00BD10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4125CF" w14:textId="0C9E2A51" w:rsidR="00D4476F" w:rsidRPr="00ED1A08" w:rsidRDefault="00D4476F" w:rsidP="00D4476F">
      <w:pPr>
        <w:autoSpaceDE w:val="0"/>
        <w:autoSpaceDN w:val="0"/>
        <w:adjustRightInd w:val="0"/>
        <w:spacing w:after="240"/>
        <w:rPr>
          <w:b/>
          <w:bCs/>
          <w:color w:val="000000"/>
        </w:rPr>
      </w:pPr>
      <w:r w:rsidRPr="00ED1A08">
        <w:rPr>
          <w:b/>
          <w:bCs/>
          <w:color w:val="000000"/>
        </w:rPr>
        <w:lastRenderedPageBreak/>
        <w:t>P10_TC1-</w:t>
      </w:r>
      <w:proofErr w:type="gramStart"/>
      <w:r w:rsidRPr="00ED1A08">
        <w:rPr>
          <w:b/>
          <w:bCs/>
          <w:color w:val="000000"/>
        </w:rPr>
        <w:t>COD(</w:t>
      </w:r>
      <w:proofErr w:type="gramEnd"/>
      <w:r w:rsidRPr="00ED1A08">
        <w:rPr>
          <w:b/>
          <w:bCs/>
          <w:color w:val="000000"/>
        </w:rPr>
        <w:t>2025)0103</w:t>
      </w:r>
    </w:p>
    <w:p w14:paraId="5239B950" w14:textId="503C6CC2" w:rsidR="00F035A8" w:rsidRPr="00ED1A08" w:rsidRDefault="00D4476F" w:rsidP="00F035A8">
      <w:pPr>
        <w:tabs>
          <w:tab w:val="left" w:pos="567"/>
          <w:tab w:val="left" w:pos="1134"/>
          <w:tab w:val="left" w:pos="1701"/>
          <w:tab w:val="left" w:pos="2268"/>
          <w:tab w:val="left" w:pos="2835"/>
        </w:tabs>
        <w:spacing w:after="240"/>
        <w:rPr>
          <w:b/>
          <w:bCs/>
        </w:rPr>
      </w:pPr>
      <w:r w:rsidRPr="00ED1A08">
        <w:rPr>
          <w:b/>
          <w:szCs w:val="24"/>
        </w:rPr>
        <w:t>Posición del Parlamento Europeo aprobada en primera lectura el 16 de diciembre de 2025 con vistas a la adopción del Reglamento (UE) 2025/… del Parlamento Europeo y del Consejo</w:t>
      </w:r>
      <w:r w:rsidRPr="00ED1A08">
        <w:rPr>
          <w:b/>
          <w:bCs/>
          <w:szCs w:val="24"/>
        </w:rPr>
        <w:t xml:space="preserve"> </w:t>
      </w:r>
      <w:r w:rsidR="00F035A8" w:rsidRPr="00ED1A08">
        <w:rPr>
          <w:b/>
          <w:bCs/>
        </w:rPr>
        <w:t xml:space="preserve">por el que se modifican los Reglamentos (UE) 2021/694, (UE) 2021/695, (UE) 2021/697, (UE) 2021/1153 y (UE) 2024/795, en lo que respecta a la incentivación de la inversión relacionada con la defensa con el presupuesto de la Unión para la ejecución del Plan </w:t>
      </w:r>
      <w:proofErr w:type="spellStart"/>
      <w:r w:rsidR="00F035A8" w:rsidRPr="00ED1A08">
        <w:rPr>
          <w:b/>
          <w:bCs/>
        </w:rPr>
        <w:t>ReArmar</w:t>
      </w:r>
      <w:proofErr w:type="spellEnd"/>
      <w:r w:rsidR="00F035A8" w:rsidRPr="00ED1A08">
        <w:rPr>
          <w:b/>
          <w:bCs/>
        </w:rPr>
        <w:t xml:space="preserve"> Europa</w:t>
      </w:r>
    </w:p>
    <w:p w14:paraId="50E4DC31" w14:textId="3C4F8561" w:rsidR="002E4F0D" w:rsidRPr="00242CFA" w:rsidRDefault="002E4F0D" w:rsidP="002E4F0D">
      <w:pPr>
        <w:pStyle w:val="normal12hanging"/>
        <w:spacing w:before="240" w:beforeAutospacing="0" w:after="240" w:afterAutospacing="0"/>
        <w:ind w:firstLine="6"/>
        <w:rPr>
          <w:lang w:val="es-ES"/>
        </w:rPr>
      </w:pPr>
      <w:r>
        <w:rPr>
          <w:i/>
          <w:lang w:val="es-ES_tradnl"/>
        </w:rPr>
        <w:t xml:space="preserve">(Dado que el Parlamento Europeo y el Consejo llegaron a un acuerdo, la posición del </w:t>
      </w:r>
      <w:r w:rsidRPr="002E4F0D">
        <w:rPr>
          <w:i/>
          <w:lang w:val="es-ES_tradnl"/>
        </w:rPr>
        <w:t>Parlamento coincide con el texto del acto legislativo definitivo, el Reglamento (UE) 202</w:t>
      </w:r>
      <w:r w:rsidRPr="002E4F0D">
        <w:rPr>
          <w:i/>
          <w:lang w:val="es-ES_tradnl"/>
        </w:rPr>
        <w:t>5</w:t>
      </w:r>
      <w:r w:rsidRPr="002E4F0D">
        <w:rPr>
          <w:i/>
          <w:lang w:val="es-ES_tradnl"/>
        </w:rPr>
        <w:t>/</w:t>
      </w:r>
      <w:r w:rsidRPr="002E4F0D">
        <w:rPr>
          <w:i/>
          <w:lang w:val="es-ES_tradnl"/>
        </w:rPr>
        <w:t>2653</w:t>
      </w:r>
      <w:r w:rsidRPr="002E4F0D">
        <w:rPr>
          <w:i/>
          <w:lang w:val="es-ES_tradnl"/>
        </w:rPr>
        <w:t>.)</w:t>
      </w:r>
    </w:p>
    <w:sectPr w:rsidR="002E4F0D" w:rsidRPr="00242CFA" w:rsidSect="00BD10B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796521" w14:textId="77777777" w:rsidR="00D87B3D" w:rsidRPr="00BD10B6" w:rsidRDefault="00D87B3D">
      <w:r w:rsidRPr="00BD10B6">
        <w:separator/>
      </w:r>
    </w:p>
  </w:endnote>
  <w:endnote w:type="continuationSeparator" w:id="0">
    <w:p w14:paraId="1C67910C" w14:textId="77777777" w:rsidR="00D87B3D" w:rsidRPr="00BD10B6" w:rsidRDefault="00D87B3D">
      <w:r w:rsidRPr="00BD1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3BC47" w14:textId="77777777" w:rsidR="00064002" w:rsidRPr="00BD10B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F3984" w14:textId="77777777" w:rsidR="00064002" w:rsidRPr="00BD10B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9B216" w14:textId="77777777" w:rsidR="00064002" w:rsidRPr="00BD10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D35A86" w14:textId="77777777" w:rsidR="00D87B3D" w:rsidRPr="00BD10B6" w:rsidRDefault="00D87B3D">
      <w:r w:rsidRPr="00BD10B6">
        <w:separator/>
      </w:r>
    </w:p>
  </w:footnote>
  <w:footnote w:type="continuationSeparator" w:id="0">
    <w:p w14:paraId="4CFC730B" w14:textId="77777777" w:rsidR="00D87B3D" w:rsidRPr="00BD10B6" w:rsidRDefault="00D87B3D">
      <w:r w:rsidRPr="00BD10B6">
        <w:continuationSeparator/>
      </w:r>
    </w:p>
  </w:footnote>
  <w:footnote w:id="1">
    <w:p w14:paraId="134B75D0" w14:textId="23930BE3" w:rsidR="003D1E96" w:rsidRPr="00F077AA" w:rsidRDefault="003D1E96" w:rsidP="00BD10B6">
      <w:pPr>
        <w:pStyle w:val="FootnoteText"/>
        <w:ind w:left="567" w:hanging="567"/>
        <w:rPr>
          <w:sz w:val="24"/>
          <w:szCs w:val="24"/>
          <w:lang w:val="es-ES_tradnl"/>
        </w:rPr>
      </w:pPr>
      <w:r w:rsidRPr="00F077AA">
        <w:rPr>
          <w:rStyle w:val="FootnoteReference"/>
          <w:sz w:val="24"/>
          <w:szCs w:val="24"/>
          <w:lang w:val="es-ES_tradnl"/>
        </w:rPr>
        <w:footnoteRef/>
      </w:r>
      <w:r w:rsidR="00BD10B6" w:rsidRPr="00F077AA">
        <w:rPr>
          <w:color w:val="1E1E1F"/>
          <w:sz w:val="24"/>
          <w:szCs w:val="24"/>
          <w:shd w:val="clear" w:color="auto" w:fill="FFFFFF"/>
          <w:lang w:val="es-ES_tradnl"/>
        </w:rPr>
        <w:t xml:space="preserve"> </w:t>
      </w:r>
      <w:r w:rsidR="00BD10B6" w:rsidRPr="00F077AA">
        <w:rPr>
          <w:color w:val="1E1E1F"/>
          <w:sz w:val="24"/>
          <w:szCs w:val="24"/>
          <w:shd w:val="clear" w:color="auto" w:fill="FFFFFF"/>
          <w:lang w:val="es-ES_tradnl"/>
        </w:rPr>
        <w:tab/>
      </w:r>
      <w:r w:rsidRPr="00F077AA">
        <w:rPr>
          <w:color w:val="1E1E1F"/>
          <w:sz w:val="24"/>
          <w:szCs w:val="24"/>
          <w:shd w:val="clear" w:color="auto" w:fill="FFFFFF"/>
          <w:lang w:val="es-ES_tradnl"/>
        </w:rPr>
        <w:t>Pendiente de publicación en el Diario Oficial.</w:t>
      </w:r>
    </w:p>
  </w:footnote>
  <w:footnote w:id="2">
    <w:p w14:paraId="1BA8923F" w14:textId="705B4B8B" w:rsidR="00DF498A" w:rsidRPr="00F077AA" w:rsidRDefault="00DF498A" w:rsidP="000E0986">
      <w:pPr>
        <w:pStyle w:val="FootnoteText"/>
        <w:ind w:left="567" w:hanging="567"/>
        <w:rPr>
          <w:sz w:val="24"/>
          <w:szCs w:val="24"/>
          <w:lang w:val="ca-ES"/>
        </w:rPr>
      </w:pPr>
      <w:r w:rsidRPr="00F077AA">
        <w:rPr>
          <w:rStyle w:val="FootnoteReference"/>
          <w:sz w:val="24"/>
          <w:szCs w:val="24"/>
        </w:rPr>
        <w:footnoteRef/>
      </w:r>
      <w:r w:rsidRPr="00F077AA">
        <w:rPr>
          <w:sz w:val="24"/>
          <w:szCs w:val="24"/>
          <w:lang w:val="pt-PT"/>
        </w:rPr>
        <w:t xml:space="preserve"> </w:t>
      </w:r>
      <w:r w:rsidRPr="00F077AA">
        <w:rPr>
          <w:sz w:val="24"/>
          <w:szCs w:val="24"/>
          <w:lang w:val="ca-ES"/>
        </w:rPr>
        <w:tab/>
      </w:r>
      <w:r w:rsidRPr="00F077AA">
        <w:rPr>
          <w:sz w:val="24"/>
          <w:szCs w:val="24"/>
          <w:lang w:val="ca-ES"/>
        </w:rPr>
        <w:t>D</w:t>
      </w:r>
      <w:r w:rsidRPr="00F077AA">
        <w:rPr>
          <w:sz w:val="24"/>
          <w:szCs w:val="24"/>
          <w:lang w:val="pt-PT"/>
        </w:rPr>
        <w:t xml:space="preserve">O C, C/2025/6325, 3.12.2025, ELI: </w:t>
      </w:r>
      <w:hyperlink r:id="rId1" w:history="1">
        <w:r w:rsidRPr="00F077AA">
          <w:rPr>
            <w:rStyle w:val="Hyperlink"/>
            <w:sz w:val="24"/>
            <w:szCs w:val="24"/>
            <w:lang w:val="pt-PT"/>
          </w:rPr>
          <w:t>http://data.europa.eu/eli/C/2025/6325/oj</w:t>
        </w:r>
      </w:hyperlink>
      <w:r w:rsidRPr="00F077AA">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7853D" w14:textId="77777777" w:rsidR="00064002" w:rsidRPr="00BD10B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132A7" w14:textId="77777777" w:rsidR="00064002" w:rsidRPr="00BD10B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D720E" w14:textId="77777777" w:rsidR="00064002" w:rsidRPr="00BD10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7154526">
    <w:abstractNumId w:val="9"/>
  </w:num>
  <w:num w:numId="2" w16cid:durableId="1696492754">
    <w:abstractNumId w:val="9"/>
  </w:num>
  <w:num w:numId="3" w16cid:durableId="1978609490">
    <w:abstractNumId w:val="7"/>
  </w:num>
  <w:num w:numId="4" w16cid:durableId="2082360571">
    <w:abstractNumId w:val="7"/>
  </w:num>
  <w:num w:numId="5" w16cid:durableId="1167162449">
    <w:abstractNumId w:val="6"/>
  </w:num>
  <w:num w:numId="6" w16cid:durableId="1471630116">
    <w:abstractNumId w:val="6"/>
  </w:num>
  <w:num w:numId="7" w16cid:durableId="538009352">
    <w:abstractNumId w:val="5"/>
  </w:num>
  <w:num w:numId="8" w16cid:durableId="283394212">
    <w:abstractNumId w:val="5"/>
  </w:num>
  <w:num w:numId="9" w16cid:durableId="243034046">
    <w:abstractNumId w:val="4"/>
  </w:num>
  <w:num w:numId="10" w16cid:durableId="409356581">
    <w:abstractNumId w:val="4"/>
  </w:num>
  <w:num w:numId="11" w16cid:durableId="427193384">
    <w:abstractNumId w:val="8"/>
  </w:num>
  <w:num w:numId="12" w16cid:durableId="474185550">
    <w:abstractNumId w:val="8"/>
  </w:num>
  <w:num w:numId="13" w16cid:durableId="60640928">
    <w:abstractNumId w:val="3"/>
  </w:num>
  <w:num w:numId="14" w16cid:durableId="1935893523">
    <w:abstractNumId w:val="3"/>
  </w:num>
  <w:num w:numId="15" w16cid:durableId="1508404206">
    <w:abstractNumId w:val="2"/>
  </w:num>
  <w:num w:numId="16" w16cid:durableId="45885465">
    <w:abstractNumId w:val="2"/>
  </w:num>
  <w:num w:numId="17" w16cid:durableId="1640381511">
    <w:abstractNumId w:val="1"/>
  </w:num>
  <w:num w:numId="18" w16cid:durableId="26375474">
    <w:abstractNumId w:val="1"/>
  </w:num>
  <w:num w:numId="19" w16cid:durableId="1849831338">
    <w:abstractNumId w:val="0"/>
  </w:num>
  <w:num w:numId="20" w16cid:durableId="379279929">
    <w:abstractNumId w:val="0"/>
  </w:num>
  <w:num w:numId="21" w16cid:durableId="1546944395">
    <w:abstractNumId w:val="9"/>
  </w:num>
  <w:num w:numId="22" w16cid:durableId="1287195194">
    <w:abstractNumId w:val="7"/>
  </w:num>
  <w:num w:numId="23" w16cid:durableId="1139686267">
    <w:abstractNumId w:val="6"/>
  </w:num>
  <w:num w:numId="24" w16cid:durableId="401756333">
    <w:abstractNumId w:val="5"/>
  </w:num>
  <w:num w:numId="25" w16cid:durableId="1155104587">
    <w:abstractNumId w:val="4"/>
  </w:num>
  <w:num w:numId="26" w16cid:durableId="150946356">
    <w:abstractNumId w:val="8"/>
  </w:num>
  <w:num w:numId="27" w16cid:durableId="1338537723">
    <w:abstractNumId w:val="3"/>
  </w:num>
  <w:num w:numId="28" w16cid:durableId="1196426974">
    <w:abstractNumId w:val="2"/>
  </w:num>
  <w:num w:numId="29" w16cid:durableId="643436776">
    <w:abstractNumId w:val="1"/>
  </w:num>
  <w:num w:numId="30" w16cid:durableId="1068071767">
    <w:abstractNumId w:val="0"/>
  </w:num>
  <w:num w:numId="31" w16cid:durableId="1411386713">
    <w:abstractNumId w:val="9"/>
  </w:num>
  <w:num w:numId="32" w16cid:durableId="411632259">
    <w:abstractNumId w:val="7"/>
  </w:num>
  <w:num w:numId="33" w16cid:durableId="930119121">
    <w:abstractNumId w:val="6"/>
  </w:num>
  <w:num w:numId="34" w16cid:durableId="59181962">
    <w:abstractNumId w:val="5"/>
  </w:num>
  <w:num w:numId="35" w16cid:durableId="874196865">
    <w:abstractNumId w:val="4"/>
  </w:num>
  <w:num w:numId="36" w16cid:durableId="492599128">
    <w:abstractNumId w:val="8"/>
  </w:num>
  <w:num w:numId="37" w16cid:durableId="11104975">
    <w:abstractNumId w:val="3"/>
  </w:num>
  <w:num w:numId="38" w16cid:durableId="1540316144">
    <w:abstractNumId w:val="2"/>
  </w:num>
  <w:num w:numId="39" w16cid:durableId="568269472">
    <w:abstractNumId w:val="1"/>
  </w:num>
  <w:num w:numId="40" w16cid:durableId="22488330">
    <w:abstractNumId w:val="0"/>
  </w:num>
  <w:num w:numId="41" w16cid:durableId="402416655">
    <w:abstractNumId w:val="10"/>
  </w:num>
  <w:num w:numId="42" w16cid:durableId="1923024278">
    <w:abstractNumId w:val="10"/>
  </w:num>
  <w:num w:numId="43" w16cid:durableId="386875436">
    <w:abstractNumId w:val="10"/>
  </w:num>
  <w:num w:numId="44" w16cid:durableId="17158059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2/2025"/>
    <w:docVar w:name="dvlangue" w:val="ES"/>
    <w:docVar w:name="dvnumam" w:val="63"/>
    <w:docVar w:name="dvpe" w:val="774.253"/>
    <w:docVar w:name="dvrapporteur" w:val="Ponente: "/>
    <w:docVar w:name="dvstar" w:val="***I"/>
    <w:docVar w:name="dvtitre" w:val="Resolución legislativa del Parlamento Europeo, de 16 de diciembre de 2025, sobre la propuesta de Reglamento del Parlamento Europeo y del Consejo por el que se modifican los Reglamentos (UE) 2021/694, (UE) 2021/695, (UE) 2021/697, (UE) 2021/1153, (UE) 2023/1525 y (UE) 2024/795, en lo que respecta a la incentivación de las inversiones relacionadas con la defensa en el presupuesto de la UE para la ejecución del Plan ReArmar Europa(COM(2025)0188 – C10-0070/2025 – 2025/0103(COD))"/>
  </w:docVars>
  <w:rsids>
    <w:rsidRoot w:val="00D87B3D"/>
    <w:rsid w:val="00002272"/>
    <w:rsid w:val="00017F9D"/>
    <w:rsid w:val="00064002"/>
    <w:rsid w:val="000677B9"/>
    <w:rsid w:val="00073BD8"/>
    <w:rsid w:val="000831BA"/>
    <w:rsid w:val="000A42CC"/>
    <w:rsid w:val="000E0986"/>
    <w:rsid w:val="000E7DD9"/>
    <w:rsid w:val="000F00D3"/>
    <w:rsid w:val="0010095E"/>
    <w:rsid w:val="00102E8F"/>
    <w:rsid w:val="00105DB1"/>
    <w:rsid w:val="00125B37"/>
    <w:rsid w:val="00187494"/>
    <w:rsid w:val="001F32AE"/>
    <w:rsid w:val="00223D51"/>
    <w:rsid w:val="002413E2"/>
    <w:rsid w:val="002767FF"/>
    <w:rsid w:val="00277B82"/>
    <w:rsid w:val="00281C03"/>
    <w:rsid w:val="00292427"/>
    <w:rsid w:val="002B18FE"/>
    <w:rsid w:val="002B5493"/>
    <w:rsid w:val="002E4F0D"/>
    <w:rsid w:val="00343214"/>
    <w:rsid w:val="00361C00"/>
    <w:rsid w:val="00395FA1"/>
    <w:rsid w:val="003D1E96"/>
    <w:rsid w:val="003E15D4"/>
    <w:rsid w:val="00411CCE"/>
    <w:rsid w:val="0041666E"/>
    <w:rsid w:val="00421060"/>
    <w:rsid w:val="00471C19"/>
    <w:rsid w:val="004867E3"/>
    <w:rsid w:val="00494A28"/>
    <w:rsid w:val="004A6D68"/>
    <w:rsid w:val="004C0004"/>
    <w:rsid w:val="004C5D52"/>
    <w:rsid w:val="0050519A"/>
    <w:rsid w:val="005072A1"/>
    <w:rsid w:val="00514517"/>
    <w:rsid w:val="00545827"/>
    <w:rsid w:val="00560270"/>
    <w:rsid w:val="005C2568"/>
    <w:rsid w:val="005F1B17"/>
    <w:rsid w:val="006037C0"/>
    <w:rsid w:val="0064146A"/>
    <w:rsid w:val="006631B6"/>
    <w:rsid w:val="00680577"/>
    <w:rsid w:val="006C7DFE"/>
    <w:rsid w:val="006D6513"/>
    <w:rsid w:val="006F74FA"/>
    <w:rsid w:val="00731ADD"/>
    <w:rsid w:val="00734777"/>
    <w:rsid w:val="007350C2"/>
    <w:rsid w:val="00747932"/>
    <w:rsid w:val="00751A4A"/>
    <w:rsid w:val="00756632"/>
    <w:rsid w:val="00762C74"/>
    <w:rsid w:val="00786EC0"/>
    <w:rsid w:val="007D1690"/>
    <w:rsid w:val="007E22AD"/>
    <w:rsid w:val="00817416"/>
    <w:rsid w:val="00842779"/>
    <w:rsid w:val="00865073"/>
    <w:rsid w:val="00865F67"/>
    <w:rsid w:val="00881A7B"/>
    <w:rsid w:val="008840E5"/>
    <w:rsid w:val="00887B3E"/>
    <w:rsid w:val="008C2AC6"/>
    <w:rsid w:val="008D3BF3"/>
    <w:rsid w:val="00930C23"/>
    <w:rsid w:val="0093193B"/>
    <w:rsid w:val="009509D8"/>
    <w:rsid w:val="00950B64"/>
    <w:rsid w:val="00981893"/>
    <w:rsid w:val="00A13F92"/>
    <w:rsid w:val="00A1687D"/>
    <w:rsid w:val="00A43E52"/>
    <w:rsid w:val="00A4678D"/>
    <w:rsid w:val="00A504D1"/>
    <w:rsid w:val="00A778C7"/>
    <w:rsid w:val="00A91042"/>
    <w:rsid w:val="00AB441E"/>
    <w:rsid w:val="00AB6293"/>
    <w:rsid w:val="00AC661C"/>
    <w:rsid w:val="00AE0928"/>
    <w:rsid w:val="00AF3B82"/>
    <w:rsid w:val="00B12E95"/>
    <w:rsid w:val="00B22876"/>
    <w:rsid w:val="00B558F0"/>
    <w:rsid w:val="00B90F48"/>
    <w:rsid w:val="00BC4771"/>
    <w:rsid w:val="00BD10B6"/>
    <w:rsid w:val="00BD48FE"/>
    <w:rsid w:val="00BD7BD8"/>
    <w:rsid w:val="00BE6ADC"/>
    <w:rsid w:val="00C05BFE"/>
    <w:rsid w:val="00C22347"/>
    <w:rsid w:val="00C23CD4"/>
    <w:rsid w:val="00C61C0C"/>
    <w:rsid w:val="00C941CB"/>
    <w:rsid w:val="00CC2357"/>
    <w:rsid w:val="00CE7B76"/>
    <w:rsid w:val="00CF071A"/>
    <w:rsid w:val="00D058B8"/>
    <w:rsid w:val="00D4476F"/>
    <w:rsid w:val="00D56C11"/>
    <w:rsid w:val="00D834A0"/>
    <w:rsid w:val="00D872DF"/>
    <w:rsid w:val="00D87B3D"/>
    <w:rsid w:val="00D91E21"/>
    <w:rsid w:val="00DA7FCD"/>
    <w:rsid w:val="00DF498A"/>
    <w:rsid w:val="00E365E1"/>
    <w:rsid w:val="00E820A4"/>
    <w:rsid w:val="00E85FFE"/>
    <w:rsid w:val="00EB006A"/>
    <w:rsid w:val="00EB4772"/>
    <w:rsid w:val="00ED169E"/>
    <w:rsid w:val="00ED1A08"/>
    <w:rsid w:val="00ED1E39"/>
    <w:rsid w:val="00ED4235"/>
    <w:rsid w:val="00F035A8"/>
    <w:rsid w:val="00F04346"/>
    <w:rsid w:val="00F075DC"/>
    <w:rsid w:val="00F077AA"/>
    <w:rsid w:val="00F149E9"/>
    <w:rsid w:val="00F36E08"/>
    <w:rsid w:val="00F4600C"/>
    <w:rsid w:val="00F5134D"/>
    <w:rsid w:val="00F7388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C8B8B"/>
  <w15:chartTrackingRefBased/>
  <w15:docId w15:val="{2FC40128-DEBC-4AD0-BE52-1F5B59C7A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D1E96"/>
    <w:pPr>
      <w:spacing w:before="480" w:after="240"/>
    </w:pPr>
  </w:style>
  <w:style w:type="paragraph" w:customStyle="1" w:styleId="NormalBold">
    <w:name w:val="NormalBold"/>
    <w:basedOn w:val="Normal"/>
    <w:link w:val="NormalBoldChar"/>
    <w:rsid w:val="003D1E96"/>
    <w:rPr>
      <w:b/>
    </w:rPr>
  </w:style>
  <w:style w:type="character" w:customStyle="1" w:styleId="NormalBoldChar">
    <w:name w:val="NormalBold Char"/>
    <w:basedOn w:val="DefaultParagraphFont"/>
    <w:link w:val="NormalBold"/>
    <w:locked/>
    <w:rsid w:val="003D1E96"/>
    <w:rPr>
      <w:b/>
      <w:sz w:val="24"/>
      <w:lang w:val="es-ES_tradnl"/>
    </w:rPr>
  </w:style>
  <w:style w:type="paragraph" w:customStyle="1" w:styleId="NormalHanging12a">
    <w:name w:val="NormalHanging12a"/>
    <w:basedOn w:val="Normal"/>
    <w:uiPriority w:val="99"/>
    <w:rsid w:val="003D1E96"/>
    <w:pPr>
      <w:spacing w:after="240"/>
      <w:ind w:left="567" w:hanging="567"/>
    </w:pPr>
  </w:style>
  <w:style w:type="paragraph" w:customStyle="1" w:styleId="NormalCenter12a">
    <w:name w:val="NormalCenter12a"/>
    <w:basedOn w:val="Normal"/>
    <w:rsid w:val="003D1E96"/>
    <w:pPr>
      <w:spacing w:after="240"/>
      <w:jc w:val="center"/>
    </w:pPr>
  </w:style>
  <w:style w:type="paragraph" w:customStyle="1" w:styleId="AmNumberTabs">
    <w:name w:val="AmNumberTabs"/>
    <w:basedOn w:val="Normal"/>
    <w:rsid w:val="003D1E9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D1E96"/>
    <w:pPr>
      <w:spacing w:before="720" w:after="240"/>
      <w:jc w:val="center"/>
    </w:pPr>
  </w:style>
  <w:style w:type="character" w:styleId="Hyperlink">
    <w:name w:val="Hyperlink"/>
    <w:uiPriority w:val="99"/>
    <w:unhideWhenUsed/>
    <w:rsid w:val="003D1E96"/>
    <w:rPr>
      <w:color w:val="0000FF"/>
      <w:u w:val="single"/>
    </w:rPr>
  </w:style>
  <w:style w:type="paragraph" w:customStyle="1" w:styleId="Text1">
    <w:name w:val="Text 1"/>
    <w:basedOn w:val="Normal"/>
    <w:rsid w:val="003D1E96"/>
    <w:pPr>
      <w:widowControl/>
      <w:spacing w:before="120" w:after="120"/>
      <w:ind w:left="850"/>
      <w:jc w:val="both"/>
    </w:pPr>
    <w:rPr>
      <w:rFonts w:eastAsiaTheme="minorHAnsi"/>
      <w:szCs w:val="22"/>
      <w:lang w:eastAsia="en-US"/>
    </w:rPr>
  </w:style>
  <w:style w:type="paragraph" w:customStyle="1" w:styleId="Point0">
    <w:name w:val="Point 0"/>
    <w:basedOn w:val="Normal"/>
    <w:rsid w:val="003D1E96"/>
    <w:pPr>
      <w:widowControl/>
      <w:spacing w:before="120" w:after="120"/>
      <w:ind w:left="850" w:hanging="850"/>
      <w:jc w:val="both"/>
    </w:pPr>
    <w:rPr>
      <w:rFonts w:eastAsiaTheme="minorHAnsi"/>
      <w:szCs w:val="22"/>
      <w:lang w:eastAsia="en-US"/>
    </w:rPr>
  </w:style>
  <w:style w:type="paragraph" w:customStyle="1" w:styleId="Point1">
    <w:name w:val="Point 1"/>
    <w:basedOn w:val="Normal"/>
    <w:rsid w:val="003D1E96"/>
    <w:pPr>
      <w:widowControl/>
      <w:spacing w:before="120" w:after="120"/>
      <w:ind w:left="1417" w:hanging="567"/>
      <w:jc w:val="both"/>
    </w:pPr>
    <w:rPr>
      <w:rFonts w:eastAsiaTheme="minorHAnsi"/>
      <w:szCs w:val="22"/>
      <w:lang w:eastAsia="en-US"/>
    </w:rPr>
  </w:style>
  <w:style w:type="paragraph" w:customStyle="1" w:styleId="ManualNumPar1">
    <w:name w:val="Manual NumPar 1"/>
    <w:basedOn w:val="Normal"/>
    <w:next w:val="Text1"/>
    <w:rsid w:val="003D1E96"/>
    <w:pPr>
      <w:widowControl/>
      <w:spacing w:before="120" w:after="120"/>
      <w:ind w:left="850" w:hanging="850"/>
      <w:jc w:val="both"/>
    </w:pPr>
    <w:rPr>
      <w:rFonts w:eastAsiaTheme="minorHAnsi"/>
      <w:szCs w:val="22"/>
      <w:lang w:eastAsia="en-US"/>
    </w:rPr>
  </w:style>
  <w:style w:type="paragraph" w:customStyle="1" w:styleId="Applicationdirecte">
    <w:name w:val="Application directe"/>
    <w:basedOn w:val="Normal"/>
    <w:next w:val="Normal"/>
    <w:rsid w:val="003D1E96"/>
    <w:pPr>
      <w:widowControl/>
      <w:spacing w:before="480" w:after="120"/>
      <w:jc w:val="both"/>
    </w:pPr>
    <w:rPr>
      <w:rFonts w:eastAsiaTheme="minorHAnsi"/>
      <w:szCs w:val="22"/>
      <w:lang w:eastAsia="en-US"/>
    </w:rPr>
  </w:style>
  <w:style w:type="paragraph" w:customStyle="1" w:styleId="Titrearticle">
    <w:name w:val="Titre article"/>
    <w:basedOn w:val="Normal"/>
    <w:next w:val="Normal"/>
    <w:rsid w:val="003D1E9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D1E9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D1E96"/>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D1E96"/>
    <w:pPr>
      <w:widowControl/>
      <w:spacing w:before="120" w:after="120"/>
      <w:ind w:left="709" w:hanging="709"/>
      <w:jc w:val="both"/>
    </w:pPr>
    <w:rPr>
      <w:rFonts w:eastAsiaTheme="minorHAnsi"/>
      <w:szCs w:val="22"/>
      <w:lang w:eastAsia="en-US"/>
    </w:rPr>
  </w:style>
  <w:style w:type="paragraph" w:customStyle="1" w:styleId="Typedudocument">
    <w:name w:val="Type du document"/>
    <w:basedOn w:val="Normal"/>
    <w:next w:val="Titreobjet"/>
    <w:rsid w:val="003D1E96"/>
    <w:pPr>
      <w:widowControl/>
      <w:spacing w:before="360"/>
      <w:jc w:val="center"/>
    </w:pPr>
    <w:rPr>
      <w:rFonts w:eastAsiaTheme="minorHAnsi"/>
      <w:b/>
      <w:szCs w:val="22"/>
      <w:lang w:eastAsia="en-US"/>
    </w:rPr>
  </w:style>
  <w:style w:type="paragraph" w:customStyle="1" w:styleId="Titreobjet">
    <w:name w:val="Titre objet"/>
    <w:basedOn w:val="Normal"/>
    <w:next w:val="IntrtEEE"/>
    <w:rsid w:val="003D1E96"/>
    <w:pPr>
      <w:widowControl/>
      <w:spacing w:before="360" w:after="360"/>
      <w:jc w:val="center"/>
    </w:pPr>
    <w:rPr>
      <w:rFonts w:eastAsiaTheme="minorHAnsi"/>
      <w:b/>
      <w:szCs w:val="22"/>
      <w:lang w:eastAsia="en-US"/>
    </w:rPr>
  </w:style>
  <w:style w:type="paragraph" w:customStyle="1" w:styleId="IntrtEEE">
    <w:name w:val="Intérêt EEE"/>
    <w:basedOn w:val="Normal"/>
    <w:next w:val="Normal"/>
    <w:rsid w:val="003D1E96"/>
    <w:pPr>
      <w:widowControl/>
      <w:spacing w:before="360" w:after="240"/>
      <w:jc w:val="center"/>
    </w:pPr>
    <w:rPr>
      <w:rFonts w:eastAsiaTheme="minorHAnsi"/>
      <w:szCs w:val="22"/>
      <w:lang w:eastAsia="en-US"/>
    </w:rPr>
  </w:style>
  <w:style w:type="paragraph" w:customStyle="1" w:styleId="Statut">
    <w:name w:val="Statut"/>
    <w:basedOn w:val="Normal"/>
    <w:next w:val="Typedudocument"/>
    <w:rsid w:val="003D1E96"/>
    <w:pPr>
      <w:widowControl/>
      <w:spacing w:before="360"/>
      <w:jc w:val="center"/>
    </w:pPr>
    <w:rPr>
      <w:rFonts w:eastAsiaTheme="minorHAnsi"/>
      <w:szCs w:val="22"/>
      <w:lang w:eastAsia="en-US"/>
    </w:rPr>
  </w:style>
  <w:style w:type="paragraph" w:styleId="CommentText">
    <w:name w:val="annotation text"/>
    <w:basedOn w:val="Normal"/>
    <w:link w:val="CommentTextChar"/>
    <w:rsid w:val="003D1E96"/>
    <w:rPr>
      <w:sz w:val="20"/>
    </w:rPr>
  </w:style>
  <w:style w:type="character" w:customStyle="1" w:styleId="CommentTextChar">
    <w:name w:val="Comment Text Char"/>
    <w:basedOn w:val="DefaultParagraphFont"/>
    <w:link w:val="CommentText"/>
    <w:rsid w:val="003D1E96"/>
    <w:rPr>
      <w:lang w:val="es-ES_tradnl"/>
    </w:rPr>
  </w:style>
  <w:style w:type="paragraph" w:styleId="Revision">
    <w:name w:val="Revision"/>
    <w:hidden/>
    <w:uiPriority w:val="99"/>
    <w:semiHidden/>
    <w:rsid w:val="00DF498A"/>
    <w:rPr>
      <w:sz w:val="24"/>
      <w:lang w:val="es-ES_tradnl"/>
    </w:rPr>
  </w:style>
  <w:style w:type="character" w:styleId="UnresolvedMention">
    <w:name w:val="Unresolved Mention"/>
    <w:basedOn w:val="DefaultParagraphFont"/>
    <w:uiPriority w:val="99"/>
    <w:semiHidden/>
    <w:unhideWhenUsed/>
    <w:rsid w:val="00DF498A"/>
    <w:rPr>
      <w:color w:val="605E5C"/>
      <w:shd w:val="clear" w:color="auto" w:fill="E1DFDD"/>
    </w:rPr>
  </w:style>
  <w:style w:type="character" w:customStyle="1" w:styleId="Hyperlink1">
    <w:name w:val="Hyperlink1"/>
    <w:basedOn w:val="DefaultParagraphFont"/>
    <w:uiPriority w:val="99"/>
    <w:unhideWhenUsed/>
    <w:rsid w:val="00D4476F"/>
    <w:rPr>
      <w:color w:val="0000FF"/>
      <w:u w:val="single"/>
    </w:rPr>
  </w:style>
  <w:style w:type="character" w:styleId="CommentReference">
    <w:name w:val="annotation reference"/>
    <w:basedOn w:val="DefaultParagraphFont"/>
    <w:rsid w:val="000F00D3"/>
    <w:rPr>
      <w:sz w:val="16"/>
      <w:szCs w:val="16"/>
    </w:rPr>
  </w:style>
  <w:style w:type="paragraph" w:styleId="CommentSubject">
    <w:name w:val="annotation subject"/>
    <w:basedOn w:val="CommentText"/>
    <w:next w:val="CommentText"/>
    <w:link w:val="CommentSubjectChar"/>
    <w:rsid w:val="000F00D3"/>
    <w:rPr>
      <w:b/>
      <w:bCs/>
    </w:rPr>
  </w:style>
  <w:style w:type="character" w:customStyle="1" w:styleId="CommentSubjectChar">
    <w:name w:val="Comment Subject Char"/>
    <w:basedOn w:val="CommentTextChar"/>
    <w:link w:val="CommentSubject"/>
    <w:rsid w:val="000F00D3"/>
    <w:rPr>
      <w:b/>
      <w:bCs/>
      <w:lang w:val="es-ES_tradnl"/>
    </w:rPr>
  </w:style>
  <w:style w:type="paragraph" w:customStyle="1" w:styleId="normal12hanging">
    <w:name w:val="normal12hanging"/>
    <w:basedOn w:val="Normal"/>
    <w:rsid w:val="002E4F0D"/>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63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542</Words>
  <Characters>3017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Manel_LEX STO</dc:creator>
  <cp:keywords/>
  <cp:lastModifiedBy>CASTELLO MORENO Cesar Augusto</cp:lastModifiedBy>
  <cp:revision>2</cp:revision>
  <cp:lastPrinted>2004-11-19T15:42:00Z</cp:lastPrinted>
  <dcterms:created xsi:type="dcterms:W3CDTF">2026-03-04T09:59:00Z</dcterms:created>
  <dcterms:modified xsi:type="dcterms:W3CDTF">2026-03-04T09:59:00Z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P10_TA(2025)0320_</vt:lpwstr>
  </property>
  <property fmtid="{D5CDD505-2E9C-101B-9397-08002B2CF9AE}" pid="4" name="&lt;Type&gt;">
    <vt:lpwstr>RR</vt:lpwstr>
  </property>
</Properties>
</file>