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43CC" w14:paraId="5C0D9F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8672B1" w14:textId="77777777" w:rsidR="00751A4A" w:rsidRPr="001F43CC" w:rsidRDefault="00DC605E" w:rsidP="0010095E">
            <w:pPr>
              <w:pStyle w:val="EPName"/>
            </w:pPr>
            <w:r w:rsidRPr="001F43CC">
              <w:t>Euroopan parlamentti</w:t>
            </w:r>
          </w:p>
          <w:p w14:paraId="3FEAAE91" w14:textId="77777777" w:rsidR="00751A4A" w:rsidRPr="001F43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43CC">
              <w:t>2024</w:t>
            </w:r>
            <w:r w:rsidR="00817416" w:rsidRPr="001F43CC">
              <w:t>-202</w:t>
            </w:r>
            <w:r w:rsidRPr="001F43CC">
              <w:t>9</w:t>
            </w:r>
          </w:p>
        </w:tc>
        <w:tc>
          <w:tcPr>
            <w:tcW w:w="2268" w:type="dxa"/>
            <w:shd w:val="clear" w:color="auto" w:fill="auto"/>
          </w:tcPr>
          <w:p w14:paraId="2937C858" w14:textId="77777777" w:rsidR="00751A4A" w:rsidRPr="001F43CC" w:rsidRDefault="00187494" w:rsidP="0010095E">
            <w:pPr>
              <w:pStyle w:val="EPLogo"/>
            </w:pPr>
            <w:r w:rsidRPr="001F43CC">
              <w:rPr>
                <w:noProof/>
                <w:lang w:eastAsia="ja-JP"/>
              </w:rPr>
              <w:drawing>
                <wp:inline distT="0" distB="0" distL="0" distR="0" wp14:anchorId="728EBA19" wp14:editId="688634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A803B0" w14:textId="77777777" w:rsidR="00D058B8" w:rsidRPr="001F43CC" w:rsidRDefault="00D058B8" w:rsidP="004C5D52">
      <w:pPr>
        <w:pStyle w:val="LineTop"/>
      </w:pPr>
    </w:p>
    <w:p w14:paraId="75A23A4C" w14:textId="77777777" w:rsidR="00680577" w:rsidRPr="001F43CC" w:rsidRDefault="00DC605E" w:rsidP="00680577">
      <w:pPr>
        <w:pStyle w:val="EPBodyTA1"/>
      </w:pPr>
      <w:r w:rsidRPr="001F43CC">
        <w:t>HYVÄKSYTYT TEKSTIT</w:t>
      </w:r>
    </w:p>
    <w:p w14:paraId="6BA35AC3" w14:textId="77777777" w:rsidR="00D058B8" w:rsidRPr="001F43CC" w:rsidRDefault="00D058B8" w:rsidP="00D058B8">
      <w:pPr>
        <w:pStyle w:val="LineBottom"/>
      </w:pPr>
    </w:p>
    <w:p w14:paraId="74DDCD11" w14:textId="12FDAF90" w:rsidR="00DC605E" w:rsidRPr="001F43CC" w:rsidRDefault="00DC605E" w:rsidP="00DC605E">
      <w:pPr>
        <w:pStyle w:val="ATHeading1"/>
      </w:pPr>
      <w:bookmarkStart w:id="0" w:name="TANumber"/>
      <w:r w:rsidRPr="001F43CC">
        <w:t>P10_TA(2025)0</w:t>
      </w:r>
      <w:r w:rsidR="00EC6761" w:rsidRPr="001F43CC">
        <w:t>32</w:t>
      </w:r>
      <w:r w:rsidRPr="001F43CC">
        <w:t>0</w:t>
      </w:r>
      <w:bookmarkEnd w:id="0"/>
    </w:p>
    <w:p w14:paraId="7C110A78" w14:textId="1F45EF55" w:rsidR="00DC605E" w:rsidRPr="001F43CC" w:rsidRDefault="00D56A91" w:rsidP="00DC605E">
      <w:pPr>
        <w:pStyle w:val="ATHeading2"/>
      </w:pPr>
      <w:bookmarkStart w:id="1" w:name="title"/>
      <w:r w:rsidRPr="001F43CC">
        <w:t>P</w:t>
      </w:r>
      <w:r w:rsidR="00DC605E" w:rsidRPr="001F43CC">
        <w:t>uolustukseen liittyvien investointien edistämi</w:t>
      </w:r>
      <w:r w:rsidRPr="001F43CC">
        <w:t>nen</w:t>
      </w:r>
      <w:r w:rsidR="00DC605E" w:rsidRPr="001F43CC">
        <w:t xml:space="preserve"> EU:n talousarviossa </w:t>
      </w:r>
      <w:proofErr w:type="spellStart"/>
      <w:r w:rsidR="00DC605E" w:rsidRPr="001F43CC">
        <w:t>ReARM</w:t>
      </w:r>
      <w:proofErr w:type="spellEnd"/>
      <w:r w:rsidR="00DC605E" w:rsidRPr="001F43CC">
        <w:t xml:space="preserve"> Europe -suunnitelman toteuttamiseksi</w:t>
      </w:r>
      <w:bookmarkEnd w:id="1"/>
    </w:p>
    <w:p w14:paraId="34CBA331" w14:textId="77777777" w:rsidR="00DC605E" w:rsidRPr="001F43CC" w:rsidRDefault="00DC605E" w:rsidP="00DC605E">
      <w:pPr>
        <w:rPr>
          <w:i/>
          <w:vanish/>
        </w:rPr>
      </w:pPr>
      <w:r w:rsidRPr="001F43CC">
        <w:rPr>
          <w:i/>
        </w:rPr>
        <w:fldChar w:fldCharType="begin"/>
      </w:r>
      <w:r w:rsidRPr="001F43CC">
        <w:rPr>
          <w:i/>
        </w:rPr>
        <w:instrText xml:space="preserve"> TC"(</w:instrText>
      </w:r>
      <w:bookmarkStart w:id="2" w:name="DocNumber"/>
      <w:r w:rsidRPr="001F43CC">
        <w:rPr>
          <w:i/>
        </w:rPr>
        <w:instrText>A10-0172/2025</w:instrText>
      </w:r>
      <w:bookmarkEnd w:id="2"/>
      <w:r w:rsidRPr="001F43CC">
        <w:rPr>
          <w:i/>
        </w:rPr>
        <w:instrText xml:space="preserve"> - Esittelijä: Rihards Kols)"\l3 \n&gt; \* MERGEFORMAT </w:instrText>
      </w:r>
      <w:r w:rsidRPr="001F43CC">
        <w:rPr>
          <w:i/>
        </w:rPr>
        <w:fldChar w:fldCharType="end"/>
      </w:r>
    </w:p>
    <w:p w14:paraId="0340638C" w14:textId="77777777" w:rsidR="00DC605E" w:rsidRPr="001F43CC" w:rsidRDefault="00DC605E" w:rsidP="00DC605E">
      <w:pPr>
        <w:rPr>
          <w:vanish/>
        </w:rPr>
      </w:pPr>
      <w:bookmarkStart w:id="3" w:name="Commission"/>
      <w:r w:rsidRPr="001F43CC">
        <w:rPr>
          <w:vanish/>
        </w:rPr>
        <w:t>Teollisuus-, tutkimus- ja energiavaliokunta</w:t>
      </w:r>
      <w:bookmarkEnd w:id="3"/>
    </w:p>
    <w:p w14:paraId="5837B60B" w14:textId="77777777" w:rsidR="00DC605E" w:rsidRPr="001F43CC" w:rsidRDefault="00DC605E" w:rsidP="00DC605E">
      <w:pPr>
        <w:rPr>
          <w:vanish/>
        </w:rPr>
      </w:pPr>
      <w:bookmarkStart w:id="4" w:name="PE"/>
      <w:r w:rsidRPr="001F43CC">
        <w:rPr>
          <w:vanish/>
        </w:rPr>
        <w:t>PE774.253</w:t>
      </w:r>
      <w:bookmarkEnd w:id="4"/>
    </w:p>
    <w:p w14:paraId="6C4FA913" w14:textId="5BCBB370" w:rsidR="00DC605E" w:rsidRPr="001F43CC" w:rsidRDefault="00DC605E" w:rsidP="00DC605E">
      <w:pPr>
        <w:pStyle w:val="ATHeading3"/>
      </w:pPr>
      <w:bookmarkStart w:id="5" w:name="Sujet"/>
      <w:r w:rsidRPr="001F43CC">
        <w:t xml:space="preserve">Euroopan parlamentin lainsäädäntöpäätöslauselma </w:t>
      </w:r>
      <w:r w:rsidR="00A732E7" w:rsidRPr="001F43CC">
        <w:t>16</w:t>
      </w:r>
      <w:r w:rsidRPr="001F43CC">
        <w:t xml:space="preserve">. joulukuuta 2025 ehdotuksesta Euroopan parlamentin ja neuvoston asetukseksi asetusten (EU) 2021/694, (EU) 2021/695, (EU) 2021/697, (EU) 2021/1153, (EU) 2023/1525 ja (EU) 2024/795 muuttamisesta siltä osin kuin on kyse puolustukseen liittyvien investointien edistämisestä EU:n talousarviossa </w:t>
      </w:r>
      <w:proofErr w:type="spellStart"/>
      <w:r w:rsidRPr="001F43CC">
        <w:t>ReARM</w:t>
      </w:r>
      <w:proofErr w:type="spellEnd"/>
      <w:r w:rsidRPr="001F43CC">
        <w:t xml:space="preserve"> Europe -suunnitelman toteuttamiseksi</w:t>
      </w:r>
      <w:bookmarkEnd w:id="5"/>
      <w:r w:rsidRPr="001F43CC">
        <w:t xml:space="preserve"> </w:t>
      </w:r>
      <w:bookmarkStart w:id="6" w:name="References"/>
      <w:r w:rsidRPr="001F43CC">
        <w:t>(COM(2025)0188 – C10-0070/2025 – 2025/0103(COD))</w:t>
      </w:r>
      <w:bookmarkEnd w:id="6"/>
    </w:p>
    <w:p w14:paraId="06AFC3BF" w14:textId="77777777" w:rsidR="004E5AC2" w:rsidRPr="001F43CC" w:rsidRDefault="004E5AC2" w:rsidP="004E5AC2">
      <w:pPr>
        <w:pStyle w:val="NormalBold"/>
        <w:widowControl/>
      </w:pPr>
      <w:r w:rsidRPr="001F43CC">
        <w:t>(Tavallinen lainsäätämisjärjestys: ensimmäinen käsittely)</w:t>
      </w:r>
    </w:p>
    <w:p w14:paraId="1FF52B4A" w14:textId="77777777" w:rsidR="004E5AC2" w:rsidRPr="001F43CC" w:rsidRDefault="004E5AC2" w:rsidP="004E5AC2">
      <w:pPr>
        <w:pStyle w:val="EPComma"/>
        <w:widowControl/>
      </w:pPr>
      <w:r w:rsidRPr="001F43CC">
        <w:rPr>
          <w:i/>
        </w:rPr>
        <w:t>Euroopan parlamentti</w:t>
      </w:r>
      <w:r w:rsidRPr="001F43CC">
        <w:t>, joka</w:t>
      </w:r>
    </w:p>
    <w:p w14:paraId="1B8A7281" w14:textId="77777777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komission ehdotuksen Euroopan parlamentille ja neuvostolle (COM(2025)0188),</w:t>
      </w:r>
    </w:p>
    <w:p w14:paraId="29577051" w14:textId="760FBF66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Euroopan unionin toiminnasta tehdyn sopimuksen 294 artiklan 2 kohdan</w:t>
      </w:r>
      <w:r w:rsidR="009B08E2" w:rsidRPr="001F43CC">
        <w:t xml:space="preserve"> sekä</w:t>
      </w:r>
      <w:r w:rsidRPr="001F43CC">
        <w:t xml:space="preserve"> 114, 164, 172 ja 173 artiklan, 175 artiklan kolmannen kohdan, 176, 177, 178, 182, 183 ja 188 artiklan sekä 192 artiklan 1 kohdan, joiden mukaisesti komissio on antanut ehdotuksen Euroopan parlamentille (C10-0070/2025),</w:t>
      </w:r>
    </w:p>
    <w:p w14:paraId="1767F5A8" w14:textId="1CEB9D57" w:rsidR="00736BC5" w:rsidRPr="001F43CC" w:rsidRDefault="00736BC5" w:rsidP="00736BC5">
      <w:pPr>
        <w:pStyle w:val="NormalHanging12a"/>
        <w:widowControl/>
      </w:pPr>
      <w:r w:rsidRPr="001F43CC">
        <w:t>–</w:t>
      </w:r>
      <w:r w:rsidRPr="001F43CC">
        <w:tab/>
      </w:r>
      <w:r w:rsidRPr="001F43CC">
        <w:rPr>
          <w:szCs w:val="24"/>
        </w:rPr>
        <w:t>ottaa huomioon oikeudellisten asioiden valiokunnan lausunnon ehdotetusta oikeusperustasta,</w:t>
      </w:r>
    </w:p>
    <w:p w14:paraId="1A7CA8C6" w14:textId="312A59DD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Euroopan unionin toiminnasta tehdyn sopimuksen 294 artiklan 3 kohdan</w:t>
      </w:r>
      <w:r w:rsidR="000F404E" w:rsidRPr="001F43CC">
        <w:t xml:space="preserve"> sekä</w:t>
      </w:r>
      <w:r w:rsidR="00352DDE" w:rsidRPr="001F43CC">
        <w:t xml:space="preserve"> 164 ja 172 artiklan, 173 artiklan 3 kohdan, 175 artiklan kolmannen kohdan, 177 ja 178 artiklan, 182 artiklan 1 ja 4 kohdan, 183 artiklan, 188 artiklan toisen kohdan ja 192 artiklan 1 kohdan</w:t>
      </w:r>
      <w:r w:rsidRPr="001F43CC">
        <w:t>,</w:t>
      </w:r>
    </w:p>
    <w:p w14:paraId="3B636323" w14:textId="77777777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budjettivaliokunnan talousarvionäkökohtia koskevan arvion,</w:t>
      </w:r>
    </w:p>
    <w:p w14:paraId="6EDEF9D2" w14:textId="77777777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Euroopan talous- ja sosiaalikomitean 18. syyskuuta 2025 antaman lausunnon</w:t>
      </w:r>
      <w:r w:rsidRPr="001F43CC">
        <w:rPr>
          <w:rStyle w:val="FootnoteReference"/>
        </w:rPr>
        <w:footnoteReference w:id="1"/>
      </w:r>
      <w:r w:rsidRPr="001F43CC">
        <w:t>,</w:t>
      </w:r>
    </w:p>
    <w:p w14:paraId="7B22F1C2" w14:textId="062F741C" w:rsidR="004E5AC2" w:rsidRPr="001F43CC" w:rsidRDefault="004E5AC2" w:rsidP="004E5AC2">
      <w:pPr>
        <w:pStyle w:val="NormalHanging12a"/>
        <w:widowControl/>
      </w:pPr>
      <w:r w:rsidRPr="001F43CC">
        <w:lastRenderedPageBreak/>
        <w:t>–</w:t>
      </w:r>
      <w:r w:rsidRPr="001F43CC">
        <w:tab/>
      </w:r>
      <w:r w:rsidR="00A732E7" w:rsidRPr="001F43CC">
        <w:t xml:space="preserve">ottaa huomioon </w:t>
      </w:r>
      <w:r w:rsidRPr="001F43CC">
        <w:t>alueiden komitea</w:t>
      </w:r>
      <w:r w:rsidR="00A732E7" w:rsidRPr="001F43CC">
        <w:t>n 15. lokakuuta 2025 antaman lausunnon</w:t>
      </w:r>
      <w:r w:rsidR="00A732E7" w:rsidRPr="001F43CC">
        <w:rPr>
          <w:rStyle w:val="FootnoteReference"/>
        </w:rPr>
        <w:footnoteReference w:id="2"/>
      </w:r>
      <w:r w:rsidRPr="001F43CC">
        <w:t>,</w:t>
      </w:r>
    </w:p>
    <w:p w14:paraId="46A51BC4" w14:textId="247C97FE" w:rsidR="00736BC5" w:rsidRPr="001F43CC" w:rsidRDefault="00736BC5" w:rsidP="003F79B5">
      <w:pPr>
        <w:pStyle w:val="NormalHanging12a"/>
      </w:pPr>
      <w:r w:rsidRPr="001F43CC">
        <w:t>–</w:t>
      </w:r>
      <w:r w:rsidRPr="001F43CC">
        <w:tab/>
        <w:t>ottaa huomioon asiasta vastaavan valiokunnan työjärjestyksen 75 artiklan 4 kohdan mukaisesti hyväksymän alustavan sopimuksen sekä neuvoston edustajan 10. marraskuuta 2025 päivätyllä kirjeellä antaman sitoumuksen hyväksyä Euroopan parlamentin kanta Euroopan unionin toiminnasta tehdyn sopimuksen 294 artiklan 4 kohdan mukaisesti,</w:t>
      </w:r>
    </w:p>
    <w:p w14:paraId="06A1A514" w14:textId="49579679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työjärjestyksen 60</w:t>
      </w:r>
      <w:r w:rsidR="00736BC5" w:rsidRPr="001F43CC">
        <w:t>, 41</w:t>
      </w:r>
      <w:r w:rsidRPr="001F43CC">
        <w:t xml:space="preserve"> ja 58 artiklan,</w:t>
      </w:r>
    </w:p>
    <w:p w14:paraId="02469EA6" w14:textId="77777777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turvallisuus- ja puolustuspolitiikan valiokunnan ja liikenne- ja matkailuvaliokunnan lausunnot,</w:t>
      </w:r>
    </w:p>
    <w:p w14:paraId="6A410A7D" w14:textId="77777777" w:rsidR="004E5AC2" w:rsidRPr="001F43CC" w:rsidRDefault="004E5AC2" w:rsidP="004E5AC2">
      <w:pPr>
        <w:pStyle w:val="NormalHanging12a"/>
        <w:widowControl/>
      </w:pPr>
      <w:r w:rsidRPr="001F43CC">
        <w:t>–</w:t>
      </w:r>
      <w:r w:rsidRPr="001F43CC">
        <w:tab/>
        <w:t>ottaa huomioon teollisuus-, tutkimus- ja energiavaliokunnan mietinnön (A10</w:t>
      </w:r>
      <w:r w:rsidRPr="001F43CC">
        <w:noBreakHyphen/>
        <w:t>0172/2025),</w:t>
      </w:r>
    </w:p>
    <w:p w14:paraId="5C3C427D" w14:textId="77777777" w:rsidR="004E5AC2" w:rsidRPr="001F43CC" w:rsidRDefault="004E5AC2" w:rsidP="004E5AC2">
      <w:pPr>
        <w:pStyle w:val="NormalHanging12a"/>
        <w:widowControl/>
      </w:pPr>
      <w:r w:rsidRPr="001F43CC">
        <w:t>1.</w:t>
      </w:r>
      <w:r w:rsidRPr="001F43CC">
        <w:tab/>
        <w:t>vahvistaa jäljempänä esitetyn ensimmäisen käsittelyn kannan;</w:t>
      </w:r>
    </w:p>
    <w:p w14:paraId="0ECFA787" w14:textId="77777777" w:rsidR="004E5AC2" w:rsidRPr="001F43CC" w:rsidRDefault="004E5AC2" w:rsidP="004E5AC2">
      <w:pPr>
        <w:pStyle w:val="NormalHanging12a"/>
        <w:widowControl/>
      </w:pPr>
      <w:r w:rsidRPr="001F43CC">
        <w:t>2.</w:t>
      </w:r>
      <w:r w:rsidRPr="001F43CC">
        <w:tab/>
        <w:t>pyytää komissiota antamaan asian uudelleen Euroopan parlamentin käsiteltäväksi, jos se korvaa ehdotuksensa, muuttaa sitä huomattavasti tai aikoo muuttaa sitä huomattavasti;</w:t>
      </w:r>
    </w:p>
    <w:p w14:paraId="4F5AB205" w14:textId="77777777" w:rsidR="004E5AC2" w:rsidRPr="001F43CC" w:rsidRDefault="004E5AC2" w:rsidP="004E5AC2">
      <w:pPr>
        <w:pStyle w:val="NormalHanging12a"/>
        <w:widowControl/>
      </w:pPr>
      <w:r w:rsidRPr="001F43CC">
        <w:t>3.</w:t>
      </w:r>
      <w:r w:rsidRPr="001F43CC">
        <w:tab/>
        <w:t>kehottaa puhemiestä välittämään parlamentin kannan neuvostolle ja komissiolle sekä kansallisille parlamenteille.</w:t>
      </w:r>
    </w:p>
    <w:p w14:paraId="1AAB6B32" w14:textId="77777777" w:rsidR="00736BC5" w:rsidRPr="001F43CC" w:rsidRDefault="00736BC5" w:rsidP="004E5AC2">
      <w:pPr>
        <w:widowControl/>
        <w:sectPr w:rsidR="00736BC5" w:rsidRPr="001F43CC" w:rsidSect="00DF1A2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C61A03" w14:textId="6916992E" w:rsidR="00736BC5" w:rsidRPr="001F43CC" w:rsidRDefault="00736BC5" w:rsidP="00736BC5">
      <w:pPr>
        <w:spacing w:after="240"/>
        <w:rPr>
          <w:b/>
          <w:szCs w:val="24"/>
        </w:rPr>
      </w:pPr>
      <w:r w:rsidRPr="001F43CC">
        <w:rPr>
          <w:b/>
          <w:szCs w:val="24"/>
        </w:rPr>
        <w:lastRenderedPageBreak/>
        <w:t>P10_TC1-COD(2025)0103</w:t>
      </w:r>
    </w:p>
    <w:p w14:paraId="765B9AE9" w14:textId="784D9176" w:rsidR="00736BC5" w:rsidRPr="001F43CC" w:rsidRDefault="00736BC5" w:rsidP="00736BC5">
      <w:pPr>
        <w:spacing w:after="240"/>
        <w:rPr>
          <w:rFonts w:eastAsia="Calibri"/>
          <w:b/>
          <w:szCs w:val="22"/>
          <w:lang w:eastAsia="en-US"/>
        </w:rPr>
      </w:pPr>
      <w:r w:rsidRPr="001F43CC">
        <w:rPr>
          <w:b/>
          <w:szCs w:val="24"/>
        </w:rPr>
        <w:t xml:space="preserve">Euroopan parlamentin kanta, vahvistettu ensimmäisessä käsittelyssä 16. joulukuuta 2025, Euroopan parlamentin ja neuvoston asetuksen (EU) 2025/… antamiseksi </w:t>
      </w:r>
      <w:r w:rsidRPr="001F43CC">
        <w:rPr>
          <w:rFonts w:eastAsia="Calibri"/>
          <w:b/>
          <w:szCs w:val="22"/>
          <w:lang w:eastAsia="en-US"/>
        </w:rPr>
        <w:t xml:space="preserve">asetusten (EU) 2021/694, (EU) 2021/695, (EU) 2021/697, (EU) 2021/1153 ja (EU) 2024/795 muuttamisesta siltä osin kuin on kyse puolustukseen liittyvien investointien edistämisestä EU:n talousarviossa </w:t>
      </w:r>
      <w:proofErr w:type="spellStart"/>
      <w:r w:rsidRPr="001F43CC">
        <w:rPr>
          <w:rFonts w:eastAsia="Calibri"/>
          <w:b/>
          <w:szCs w:val="22"/>
          <w:lang w:eastAsia="en-US"/>
        </w:rPr>
        <w:t>ReArm</w:t>
      </w:r>
      <w:proofErr w:type="spellEnd"/>
      <w:r w:rsidRPr="001F43CC">
        <w:rPr>
          <w:rFonts w:eastAsia="Calibri"/>
          <w:b/>
          <w:szCs w:val="22"/>
          <w:lang w:eastAsia="en-US"/>
        </w:rPr>
        <w:t xml:space="preserve"> Europe -suunnitelman toteuttamiseksi</w:t>
      </w:r>
    </w:p>
    <w:p w14:paraId="0F98D2C3" w14:textId="4AD418A1" w:rsidR="006A69C6" w:rsidRDefault="006A69C6" w:rsidP="006A69C6">
      <w:pPr>
        <w:suppressAutoHyphens/>
        <w:rPr>
          <w:i/>
          <w:szCs w:val="24"/>
        </w:rPr>
      </w:pPr>
      <w:r w:rsidRPr="001F43CC">
        <w:rPr>
          <w:i/>
          <w:szCs w:val="24"/>
        </w:rPr>
        <w:t>(Euroopan parlamentin ja neuvoston päästyä sopimukseen parlamentin kanta vastaa lopullista säädöstä, asetusta (EU) 2025/</w:t>
      </w:r>
      <w:r w:rsidRPr="001F43CC">
        <w:rPr>
          <w:i/>
          <w:noProof/>
          <w:snapToGrid w:val="0"/>
        </w:rPr>
        <w:t>2653</w:t>
      </w:r>
      <w:r w:rsidRPr="001F43CC">
        <w:rPr>
          <w:i/>
          <w:szCs w:val="24"/>
        </w:rPr>
        <w:t>.)</w:t>
      </w:r>
    </w:p>
    <w:sectPr w:rsidR="006A69C6" w:rsidSect="00DF1A2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7F061" w14:textId="77777777" w:rsidR="00DC605E" w:rsidRPr="00DF1A25" w:rsidRDefault="00DC605E">
      <w:r w:rsidRPr="00DF1A25">
        <w:separator/>
      </w:r>
    </w:p>
  </w:endnote>
  <w:endnote w:type="continuationSeparator" w:id="0">
    <w:p w14:paraId="68FDFBB4" w14:textId="77777777" w:rsidR="00DC605E" w:rsidRPr="00DF1A25" w:rsidRDefault="00DC605E">
      <w:r w:rsidRPr="00DF1A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4E0C" w14:textId="77777777" w:rsidR="00DC605E" w:rsidRPr="00DF1A25" w:rsidRDefault="00DC605E">
      <w:r w:rsidRPr="00DF1A25">
        <w:separator/>
      </w:r>
    </w:p>
  </w:footnote>
  <w:footnote w:type="continuationSeparator" w:id="0">
    <w:p w14:paraId="38600C8C" w14:textId="77777777" w:rsidR="00DC605E" w:rsidRPr="00DF1A25" w:rsidRDefault="00DC605E">
      <w:r w:rsidRPr="00DF1A25">
        <w:continuationSeparator/>
      </w:r>
    </w:p>
  </w:footnote>
  <w:footnote w:id="1">
    <w:p w14:paraId="1C21020E" w14:textId="55B3FC3E" w:rsidR="004E5AC2" w:rsidRPr="00DF1A25" w:rsidRDefault="004E5AC2" w:rsidP="004B4667">
      <w:pPr>
        <w:pStyle w:val="FootnoteText"/>
        <w:ind w:left="851" w:hanging="851"/>
        <w:rPr>
          <w:sz w:val="24"/>
          <w:szCs w:val="22"/>
          <w:lang w:val="fi-FI"/>
        </w:rPr>
      </w:pPr>
      <w:r w:rsidRPr="00DF1A25">
        <w:rPr>
          <w:rStyle w:val="FootnoteReference"/>
          <w:sz w:val="24"/>
          <w:szCs w:val="22"/>
          <w:lang w:val="fi-FI"/>
        </w:rPr>
        <w:footnoteRef/>
      </w:r>
      <w:r w:rsidR="00DF1A25" w:rsidRPr="00DF1A25">
        <w:rPr>
          <w:color w:val="1E1E1F"/>
          <w:sz w:val="24"/>
          <w:shd w:val="clear" w:color="auto" w:fill="FFFFFF"/>
          <w:lang w:val="fi-FI"/>
        </w:rPr>
        <w:t xml:space="preserve"> </w:t>
      </w:r>
      <w:r w:rsidR="00DF1A25" w:rsidRPr="00DF1A25">
        <w:rPr>
          <w:color w:val="1E1E1F"/>
          <w:sz w:val="24"/>
          <w:shd w:val="clear" w:color="auto" w:fill="FFFFFF"/>
          <w:lang w:val="fi-FI"/>
        </w:rPr>
        <w:tab/>
      </w:r>
      <w:r w:rsidRPr="00DF1A25">
        <w:rPr>
          <w:color w:val="1E1E1F"/>
          <w:sz w:val="24"/>
          <w:shd w:val="clear" w:color="auto" w:fill="FFFFFF"/>
          <w:lang w:val="fi-FI"/>
        </w:rPr>
        <w:t>Ei vielä julkaistu virallisessa lehdessä.</w:t>
      </w:r>
    </w:p>
  </w:footnote>
  <w:footnote w:id="2">
    <w:p w14:paraId="0D907D73" w14:textId="7D7B3AC5" w:rsidR="00A732E7" w:rsidRPr="003F79B5" w:rsidRDefault="00A732E7" w:rsidP="004B4667">
      <w:pPr>
        <w:pStyle w:val="FootnoteText"/>
        <w:ind w:left="851" w:hanging="851"/>
        <w:rPr>
          <w:sz w:val="24"/>
          <w:szCs w:val="24"/>
          <w:lang w:val="fi-FI"/>
        </w:rPr>
      </w:pPr>
      <w:r w:rsidRPr="003F79B5">
        <w:rPr>
          <w:rStyle w:val="FootnoteReference"/>
          <w:sz w:val="24"/>
          <w:szCs w:val="24"/>
        </w:rPr>
        <w:footnoteRef/>
      </w:r>
      <w:r w:rsidRPr="003F79B5">
        <w:rPr>
          <w:sz w:val="24"/>
          <w:szCs w:val="24"/>
          <w:lang w:val="fi-FI"/>
        </w:rPr>
        <w:tab/>
        <w:t>EUVL C, C/2025/6325, 3.12.2025, ELI: http://data.europa.eu/eli/C/2025/6325/oj.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8777317">
    <w:abstractNumId w:val="9"/>
  </w:num>
  <w:num w:numId="2" w16cid:durableId="1901359223">
    <w:abstractNumId w:val="9"/>
  </w:num>
  <w:num w:numId="3" w16cid:durableId="1203328242">
    <w:abstractNumId w:val="7"/>
  </w:num>
  <w:num w:numId="4" w16cid:durableId="224264379">
    <w:abstractNumId w:val="7"/>
  </w:num>
  <w:num w:numId="5" w16cid:durableId="1711413846">
    <w:abstractNumId w:val="6"/>
  </w:num>
  <w:num w:numId="6" w16cid:durableId="1115904554">
    <w:abstractNumId w:val="6"/>
  </w:num>
  <w:num w:numId="7" w16cid:durableId="1442140671">
    <w:abstractNumId w:val="5"/>
  </w:num>
  <w:num w:numId="8" w16cid:durableId="1329672635">
    <w:abstractNumId w:val="5"/>
  </w:num>
  <w:num w:numId="9" w16cid:durableId="1898399612">
    <w:abstractNumId w:val="4"/>
  </w:num>
  <w:num w:numId="10" w16cid:durableId="1612400497">
    <w:abstractNumId w:val="4"/>
  </w:num>
  <w:num w:numId="11" w16cid:durableId="2049913855">
    <w:abstractNumId w:val="8"/>
  </w:num>
  <w:num w:numId="12" w16cid:durableId="1431512456">
    <w:abstractNumId w:val="8"/>
  </w:num>
  <w:num w:numId="13" w16cid:durableId="814178109">
    <w:abstractNumId w:val="3"/>
  </w:num>
  <w:num w:numId="14" w16cid:durableId="288050899">
    <w:abstractNumId w:val="3"/>
  </w:num>
  <w:num w:numId="15" w16cid:durableId="680395260">
    <w:abstractNumId w:val="2"/>
  </w:num>
  <w:num w:numId="16" w16cid:durableId="1192648619">
    <w:abstractNumId w:val="2"/>
  </w:num>
  <w:num w:numId="17" w16cid:durableId="1758209272">
    <w:abstractNumId w:val="1"/>
  </w:num>
  <w:num w:numId="18" w16cid:durableId="712316311">
    <w:abstractNumId w:val="1"/>
  </w:num>
  <w:num w:numId="19" w16cid:durableId="997659727">
    <w:abstractNumId w:val="0"/>
  </w:num>
  <w:num w:numId="20" w16cid:durableId="606543036">
    <w:abstractNumId w:val="0"/>
  </w:num>
  <w:num w:numId="21" w16cid:durableId="1897010583">
    <w:abstractNumId w:val="9"/>
  </w:num>
  <w:num w:numId="22" w16cid:durableId="2071034112">
    <w:abstractNumId w:val="7"/>
  </w:num>
  <w:num w:numId="23" w16cid:durableId="1261716547">
    <w:abstractNumId w:val="6"/>
  </w:num>
  <w:num w:numId="24" w16cid:durableId="180977659">
    <w:abstractNumId w:val="5"/>
  </w:num>
  <w:num w:numId="25" w16cid:durableId="765921603">
    <w:abstractNumId w:val="4"/>
  </w:num>
  <w:num w:numId="26" w16cid:durableId="444814740">
    <w:abstractNumId w:val="8"/>
  </w:num>
  <w:num w:numId="27" w16cid:durableId="772362652">
    <w:abstractNumId w:val="3"/>
  </w:num>
  <w:num w:numId="28" w16cid:durableId="430709121">
    <w:abstractNumId w:val="2"/>
  </w:num>
  <w:num w:numId="29" w16cid:durableId="2095932666">
    <w:abstractNumId w:val="1"/>
  </w:num>
  <w:num w:numId="30" w16cid:durableId="2043165429">
    <w:abstractNumId w:val="0"/>
  </w:num>
  <w:num w:numId="31" w16cid:durableId="376583527">
    <w:abstractNumId w:val="9"/>
  </w:num>
  <w:num w:numId="32" w16cid:durableId="2011636326">
    <w:abstractNumId w:val="7"/>
  </w:num>
  <w:num w:numId="33" w16cid:durableId="1283077061">
    <w:abstractNumId w:val="6"/>
  </w:num>
  <w:num w:numId="34" w16cid:durableId="343627258">
    <w:abstractNumId w:val="5"/>
  </w:num>
  <w:num w:numId="35" w16cid:durableId="143279248">
    <w:abstractNumId w:val="4"/>
  </w:num>
  <w:num w:numId="36" w16cid:durableId="1918664412">
    <w:abstractNumId w:val="8"/>
  </w:num>
  <w:num w:numId="37" w16cid:durableId="1011449255">
    <w:abstractNumId w:val="3"/>
  </w:num>
  <w:num w:numId="38" w16cid:durableId="89787944">
    <w:abstractNumId w:val="2"/>
  </w:num>
  <w:num w:numId="39" w16cid:durableId="1994524627">
    <w:abstractNumId w:val="1"/>
  </w:num>
  <w:num w:numId="40" w16cid:durableId="1812673975">
    <w:abstractNumId w:val="0"/>
  </w:num>
  <w:num w:numId="41" w16cid:durableId="1425028548">
    <w:abstractNumId w:val="10"/>
  </w:num>
  <w:num w:numId="42" w16cid:durableId="1381520099">
    <w:abstractNumId w:val="10"/>
  </w:num>
  <w:num w:numId="43" w16cid:durableId="1164931405">
    <w:abstractNumId w:val="10"/>
  </w:num>
  <w:num w:numId="44" w16cid:durableId="10107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FI"/>
    <w:docVar w:name="dvnumam" w:val="63"/>
    <w:docVar w:name="dvpe" w:val="774.253"/>
    <w:docVar w:name="dvrapporteur" w:val="Esittelijä: "/>
    <w:docVar w:name="dvstar" w:val="***I"/>
    <w:docVar w:name="dvtitre" w:val="Euroopan parlamentin lainsäädäntöpäätöslauselma xx. joulukuuta 2025 ehdotuksesta Euroopan parlamentin ja neuvoston asetukseksi asetusten (EU) 2021/694, (EU) 2021/695, (EU) 2021/697, (EU) 2021/1153, (EU) 2023/1525 ja (EU) 2024/795 muuttamisesta siltä osin kuin on kyse puolustukseen liittyvien investointien edistämisestä EU:n talousarviossa ReARM Europe -suunnitelman toteuttamiseksi(COM(2025)0188 – C10-0070/2025 – 2025/0103(COD))"/>
  </w:docVars>
  <w:rsids>
    <w:rsidRoot w:val="00DC605E"/>
    <w:rsid w:val="00002272"/>
    <w:rsid w:val="00064002"/>
    <w:rsid w:val="000677B9"/>
    <w:rsid w:val="000831BA"/>
    <w:rsid w:val="00091AFB"/>
    <w:rsid w:val="000A42CC"/>
    <w:rsid w:val="000A6582"/>
    <w:rsid w:val="000B15C2"/>
    <w:rsid w:val="000E7DD9"/>
    <w:rsid w:val="000F404E"/>
    <w:rsid w:val="0010095E"/>
    <w:rsid w:val="00125B37"/>
    <w:rsid w:val="0017681B"/>
    <w:rsid w:val="00187494"/>
    <w:rsid w:val="001F32AE"/>
    <w:rsid w:val="001F43CC"/>
    <w:rsid w:val="002767FF"/>
    <w:rsid w:val="002B18FE"/>
    <w:rsid w:val="002B5493"/>
    <w:rsid w:val="002E5DC1"/>
    <w:rsid w:val="00343214"/>
    <w:rsid w:val="00352DDE"/>
    <w:rsid w:val="00361C00"/>
    <w:rsid w:val="00395FA1"/>
    <w:rsid w:val="003E15D4"/>
    <w:rsid w:val="003F206A"/>
    <w:rsid w:val="003F79B5"/>
    <w:rsid w:val="00411CCE"/>
    <w:rsid w:val="0041666E"/>
    <w:rsid w:val="00421060"/>
    <w:rsid w:val="00471C19"/>
    <w:rsid w:val="004867E3"/>
    <w:rsid w:val="00494A28"/>
    <w:rsid w:val="004A3D28"/>
    <w:rsid w:val="004B4667"/>
    <w:rsid w:val="004C0004"/>
    <w:rsid w:val="004C5D52"/>
    <w:rsid w:val="004E5AC2"/>
    <w:rsid w:val="0050519A"/>
    <w:rsid w:val="005072A1"/>
    <w:rsid w:val="00514517"/>
    <w:rsid w:val="00545827"/>
    <w:rsid w:val="00560270"/>
    <w:rsid w:val="00591A64"/>
    <w:rsid w:val="005C2568"/>
    <w:rsid w:val="005F1B17"/>
    <w:rsid w:val="006037C0"/>
    <w:rsid w:val="006631B6"/>
    <w:rsid w:val="00680577"/>
    <w:rsid w:val="0069641F"/>
    <w:rsid w:val="006A69C6"/>
    <w:rsid w:val="006E73D2"/>
    <w:rsid w:val="006F74FA"/>
    <w:rsid w:val="00731ADD"/>
    <w:rsid w:val="00734777"/>
    <w:rsid w:val="00736BC5"/>
    <w:rsid w:val="00747932"/>
    <w:rsid w:val="00751A4A"/>
    <w:rsid w:val="00756632"/>
    <w:rsid w:val="00762C74"/>
    <w:rsid w:val="007735D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8E2"/>
    <w:rsid w:val="00A07840"/>
    <w:rsid w:val="00A1687D"/>
    <w:rsid w:val="00A43E52"/>
    <w:rsid w:val="00A4678D"/>
    <w:rsid w:val="00A732E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67B"/>
    <w:rsid w:val="00C61C0C"/>
    <w:rsid w:val="00C941CB"/>
    <w:rsid w:val="00CB1421"/>
    <w:rsid w:val="00CC2357"/>
    <w:rsid w:val="00CF071A"/>
    <w:rsid w:val="00D058B8"/>
    <w:rsid w:val="00D56A91"/>
    <w:rsid w:val="00D56C11"/>
    <w:rsid w:val="00D834A0"/>
    <w:rsid w:val="00D872DF"/>
    <w:rsid w:val="00D91E21"/>
    <w:rsid w:val="00DA7FCD"/>
    <w:rsid w:val="00DC605E"/>
    <w:rsid w:val="00DF1A25"/>
    <w:rsid w:val="00E365E1"/>
    <w:rsid w:val="00E820A4"/>
    <w:rsid w:val="00EB006A"/>
    <w:rsid w:val="00EB4772"/>
    <w:rsid w:val="00EC6761"/>
    <w:rsid w:val="00EC680E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24649"/>
  <w15:chartTrackingRefBased/>
  <w15:docId w15:val="{9BE77185-E699-4541-B68D-2AF0AD07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6582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5AC2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4E5AC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E5AC2"/>
    <w:rPr>
      <w:b/>
      <w:sz w:val="24"/>
      <w:lang w:val="fi-FI"/>
    </w:rPr>
  </w:style>
  <w:style w:type="paragraph" w:customStyle="1" w:styleId="NormalHanging12a">
    <w:name w:val="NormalHanging12a"/>
    <w:basedOn w:val="Normal"/>
    <w:uiPriority w:val="99"/>
    <w:rsid w:val="004E5AC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E5AC2"/>
    <w:pPr>
      <w:spacing w:after="240"/>
      <w:jc w:val="center"/>
    </w:pPr>
  </w:style>
  <w:style w:type="paragraph" w:customStyle="1" w:styleId="AmNumberTabs">
    <w:name w:val="AmNumberTabs"/>
    <w:basedOn w:val="Normal"/>
    <w:rsid w:val="004E5AC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E5AC2"/>
    <w:pPr>
      <w:spacing w:before="720" w:after="240"/>
      <w:jc w:val="center"/>
    </w:pPr>
  </w:style>
  <w:style w:type="character" w:styleId="Hyperlink">
    <w:name w:val="Hyperlink"/>
    <w:unhideWhenUsed/>
    <w:rsid w:val="004E5AC2"/>
    <w:rPr>
      <w:color w:val="0000FF"/>
      <w:u w:val="single"/>
    </w:rPr>
  </w:style>
  <w:style w:type="paragraph" w:customStyle="1" w:styleId="Text1">
    <w:name w:val="Text 1"/>
    <w:basedOn w:val="Normal"/>
    <w:rsid w:val="004E5AC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E5AC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E5AC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E5AC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4E5AC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E5AC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E5AC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E5AC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E5AC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E5AC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E5AC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E5AC2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E5AC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rsid w:val="004E5AC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AC2"/>
    <w:rPr>
      <w:lang w:val="fi-FI"/>
    </w:rPr>
  </w:style>
  <w:style w:type="paragraph" w:styleId="Footer">
    <w:name w:val="footer"/>
    <w:basedOn w:val="Normal"/>
    <w:link w:val="FooterChar"/>
    <w:rsid w:val="00D56A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56A91"/>
    <w:rPr>
      <w:sz w:val="24"/>
      <w:lang w:val="fi-FI"/>
    </w:rPr>
  </w:style>
  <w:style w:type="paragraph" w:styleId="Revision">
    <w:name w:val="Revision"/>
    <w:hidden/>
    <w:uiPriority w:val="99"/>
    <w:semiHidden/>
    <w:rsid w:val="00A732E7"/>
    <w:rPr>
      <w:sz w:val="24"/>
      <w:lang w:val="fi-FI"/>
    </w:rPr>
  </w:style>
  <w:style w:type="character" w:styleId="CommentReference">
    <w:name w:val="annotation reference"/>
    <w:basedOn w:val="DefaultParagraphFont"/>
    <w:uiPriority w:val="99"/>
    <w:rsid w:val="000A658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A6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6582"/>
    <w:rPr>
      <w:b/>
      <w:bCs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736B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2026-03-12T10:04:00Z</dcterms:created>
  <dcterms:modified xsi:type="dcterms:W3CDTF">2026-03-12T10:04:00Z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